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608D7" w14:textId="3D2AD444" w:rsidR="00C50A2B" w:rsidRPr="0059267A" w:rsidRDefault="00377835" w:rsidP="00D15955">
      <w:pPr>
        <w:pStyle w:val="SCVreporttitle"/>
        <w:spacing w:before="160"/>
      </w:pPr>
      <w:r>
        <w:t>Sentinel</w:t>
      </w:r>
      <w:r w:rsidR="00824FA7">
        <w:t xml:space="preserve"> </w:t>
      </w:r>
      <w:r w:rsidR="00D6265B">
        <w:t>e</w:t>
      </w:r>
      <w:r>
        <w:t>vents</w:t>
      </w:r>
    </w:p>
    <w:p w14:paraId="458DEC28" w14:textId="330E6255" w:rsidR="00C50A2B" w:rsidRPr="0059267A" w:rsidRDefault="00377835" w:rsidP="00C50A2B">
      <w:pPr>
        <w:pStyle w:val="SCVreportsubtitle"/>
      </w:pPr>
      <w:r>
        <w:t>Annual</w:t>
      </w:r>
      <w:r w:rsidR="00824FA7">
        <w:t xml:space="preserve"> </w:t>
      </w:r>
      <w:r w:rsidR="00D6265B">
        <w:t>r</w:t>
      </w:r>
      <w:r>
        <w:t>eport</w:t>
      </w:r>
      <w:r w:rsidR="00824FA7">
        <w:t xml:space="preserve"> </w:t>
      </w:r>
      <w:r>
        <w:t>202</w:t>
      </w:r>
      <w:r w:rsidR="0166A352">
        <w:t>4</w:t>
      </w:r>
      <w:r w:rsidR="00D6265B">
        <w:t>–</w:t>
      </w:r>
      <w:r w:rsidR="6EB1EE20">
        <w:t>2</w:t>
      </w:r>
      <w:r w:rsidR="6D959EFE">
        <w:t>5</w:t>
      </w:r>
    </w:p>
    <w:p w14:paraId="70A9A261" w14:textId="77777777" w:rsidR="00C50A2B" w:rsidRPr="0059267A" w:rsidRDefault="00377835" w:rsidP="0057201C">
      <w:pPr>
        <w:pStyle w:val="SCVprotectivemarkingbelowsubtitle"/>
      </w:pPr>
      <w:fldSimple w:instr="FILLIN  &quot;Type the protective marking&quot; \d OFFICIAL \o  \* MERGEFORMAT">
        <w:r>
          <w:t>OFFICIAL</w:t>
        </w:r>
      </w:fldSimple>
    </w:p>
    <w:p w14:paraId="36C75A00" w14:textId="77777777" w:rsidR="009A35AA" w:rsidRPr="0059267A" w:rsidRDefault="009A35AA" w:rsidP="00A46288">
      <w:pPr>
        <w:pStyle w:val="NoSpacing"/>
      </w:pPr>
    </w:p>
    <w:p w14:paraId="18D48818" w14:textId="32C2F931" w:rsidR="00A46288" w:rsidRPr="00377943" w:rsidRDefault="00A46288" w:rsidP="0057201C">
      <w:pPr>
        <w:pStyle w:val="SCVbody"/>
        <w:sectPr w:rsidR="00A46288" w:rsidRPr="00377943" w:rsidSect="005E1B76">
          <w:headerReference w:type="default" r:id="rId11"/>
          <w:footerReference w:type="even" r:id="rId12"/>
          <w:footerReference w:type="default" r:id="rId13"/>
          <w:footerReference w:type="first" r:id="rId14"/>
          <w:pgSz w:w="11906" w:h="16838" w:code="9"/>
          <w:pgMar w:top="4536" w:right="3402" w:bottom="1361" w:left="851" w:header="454" w:footer="454" w:gutter="0"/>
          <w:pgBorders w:offsetFrom="page">
            <w:bottom w:val="single" w:sz="8" w:space="24" w:color="FFFFFF"/>
          </w:pgBorders>
          <w:cols w:space="284"/>
          <w:docGrid w:linePitch="360"/>
        </w:sectPr>
      </w:pPr>
    </w:p>
    <w:p w14:paraId="4B14B2F2" w14:textId="485BF141" w:rsidR="007249BD" w:rsidRPr="00E66748" w:rsidRDefault="007249BD" w:rsidP="0057201C">
      <w:pPr>
        <w:pStyle w:val="SCVaccessibilitypara"/>
        <w:rPr>
          <w:sz w:val="28"/>
          <w:szCs w:val="28"/>
        </w:rPr>
      </w:pPr>
      <w:r w:rsidRPr="00E66748">
        <w:rPr>
          <w:sz w:val="28"/>
          <w:szCs w:val="28"/>
        </w:rPr>
        <w:lastRenderedPageBreak/>
        <w:t xml:space="preserve">To receive this publication in an accessible format </w:t>
      </w:r>
      <w:hyperlink r:id="rId15">
        <w:r w:rsidRPr="4BD4BB00">
          <w:rPr>
            <w:rStyle w:val="Hyperlink"/>
            <w:sz w:val="28"/>
            <w:szCs w:val="28"/>
          </w:rPr>
          <w:t>email Safer Care Victoria</w:t>
        </w:r>
      </w:hyperlink>
      <w:r w:rsidRPr="00E66748">
        <w:rPr>
          <w:sz w:val="28"/>
          <w:szCs w:val="28"/>
        </w:rPr>
        <w:t xml:space="preserve"> &lt;info@safercare</w:t>
      </w:r>
      <w:r w:rsidR="004C14D5">
        <w:rPr>
          <w:sz w:val="28"/>
          <w:szCs w:val="28"/>
        </w:rPr>
        <w:t>victoria</w:t>
      </w:r>
      <w:r w:rsidRPr="00E66748">
        <w:rPr>
          <w:sz w:val="28"/>
          <w:szCs w:val="28"/>
        </w:rPr>
        <w:t>.vic.gov.au&gt;</w:t>
      </w:r>
      <w:r w:rsidR="00510BE1" w:rsidRPr="00E66748">
        <w:rPr>
          <w:sz w:val="28"/>
          <w:szCs w:val="28"/>
        </w:rPr>
        <w:t xml:space="preserve">. </w:t>
      </w:r>
    </w:p>
    <w:p w14:paraId="7421BB89" w14:textId="77777777" w:rsidR="007249BD" w:rsidRPr="00510BE1" w:rsidRDefault="007249BD" w:rsidP="0057201C">
      <w:pPr>
        <w:pStyle w:val="SCVimprint"/>
      </w:pPr>
      <w:r w:rsidRPr="00510BE1">
        <w:t xml:space="preserve">Authorised and </w:t>
      </w:r>
      <w:r w:rsidRPr="00510BE1">
        <w:rPr>
          <w:spacing w:val="-2"/>
        </w:rPr>
        <w:t>published by the Victorian</w:t>
      </w:r>
      <w:r w:rsidRPr="00510BE1">
        <w:t xml:space="preserve"> Government, 1 Treasury Place, Melbourne.</w:t>
      </w:r>
    </w:p>
    <w:p w14:paraId="4D247DDD" w14:textId="4067A028" w:rsidR="007249BD" w:rsidRPr="00510BE1" w:rsidRDefault="007249BD" w:rsidP="0057201C">
      <w:pPr>
        <w:pStyle w:val="SCVimprint"/>
      </w:pPr>
      <w:r>
        <w:t xml:space="preserve">© State of Victoria, Australia, Safer Care Victoria, </w:t>
      </w:r>
      <w:r w:rsidR="343B3EA9">
        <w:t>Ju</w:t>
      </w:r>
      <w:r w:rsidR="00E66748">
        <w:t>ly</w:t>
      </w:r>
      <w:r w:rsidR="0060153E">
        <w:t xml:space="preserve"> </w:t>
      </w:r>
      <w:r>
        <w:t>202</w:t>
      </w:r>
      <w:r w:rsidR="0F98F8C8">
        <w:t>6</w:t>
      </w:r>
      <w:r w:rsidR="0060153E">
        <w:t>.</w:t>
      </w:r>
    </w:p>
    <w:p w14:paraId="03F77906" w14:textId="77777777" w:rsidR="00E66748" w:rsidRDefault="007249BD" w:rsidP="0057201C">
      <w:pPr>
        <w:pStyle w:val="SCVimprint"/>
      </w:pPr>
      <w:r w:rsidRPr="00510BE1">
        <w:t xml:space="preserve"> ISBN 2206-3625 (online)</w:t>
      </w:r>
    </w:p>
    <w:p w14:paraId="0BFD744F" w14:textId="51C4BF9B" w:rsidR="007249BD" w:rsidRPr="00510BE1" w:rsidRDefault="007249BD" w:rsidP="0057201C">
      <w:pPr>
        <w:pStyle w:val="SCVimprint"/>
      </w:pPr>
      <w:r w:rsidRPr="00510BE1">
        <w:t xml:space="preserve">Available at the </w:t>
      </w:r>
      <w:hyperlink r:id="rId16">
        <w:r w:rsidRPr="00510BE1">
          <w:rPr>
            <w:rStyle w:val="Hyperlink"/>
            <w:szCs w:val="24"/>
          </w:rPr>
          <w:t>Safer Care Victoria website</w:t>
        </w:r>
      </w:hyperlink>
      <w:r w:rsidRPr="00510BE1">
        <w:t xml:space="preserve"> &lt;https://</w:t>
      </w:r>
      <w:hyperlink r:id="rId17">
        <w:r w:rsidRPr="00510BE1">
          <w:t>www.safercare.vic</w:t>
        </w:r>
      </w:hyperlink>
      <w:r w:rsidRPr="00510BE1">
        <w:t>.gov.au&gt;</w:t>
      </w:r>
    </w:p>
    <w:p w14:paraId="1563B931" w14:textId="77777777" w:rsidR="007249BD" w:rsidRPr="0059267A" w:rsidRDefault="007249BD" w:rsidP="0057201C">
      <w:pPr>
        <w:pStyle w:val="SCVbody"/>
      </w:pPr>
    </w:p>
    <w:p w14:paraId="6E30B9A3" w14:textId="77777777" w:rsidR="00F91661" w:rsidRDefault="00F91661" w:rsidP="0057201C">
      <w:pPr>
        <w:pStyle w:val="SCVbody"/>
        <w:sectPr w:rsidR="00F91661" w:rsidSect="005E1B76">
          <w:headerReference w:type="even" r:id="rId18"/>
          <w:headerReference w:type="default" r:id="rId19"/>
          <w:footerReference w:type="even" r:id="rId20"/>
          <w:footerReference w:type="default" r:id="rId21"/>
          <w:footerReference w:type="first" r:id="rId22"/>
          <w:pgSz w:w="11906" w:h="16838" w:code="9"/>
          <w:pgMar w:top="3402" w:right="851" w:bottom="1361" w:left="851" w:header="851" w:footer="851" w:gutter="0"/>
          <w:pgBorders w:offsetFrom="page">
            <w:bottom w:val="single" w:sz="8" w:space="24" w:color="FFFFFF"/>
          </w:pgBorders>
          <w:pgNumType w:fmt="lowerRoman"/>
          <w:cols w:space="284"/>
          <w:docGrid w:linePitch="360"/>
        </w:sectPr>
      </w:pPr>
    </w:p>
    <w:p w14:paraId="0FA1BA14" w14:textId="18983745" w:rsidR="00085E18" w:rsidRDefault="7D4C2696" w:rsidP="00085E18">
      <w:pPr>
        <w:pStyle w:val="SCVbody"/>
        <w:rPr>
          <w:rStyle w:val="Heading1Char"/>
        </w:rPr>
      </w:pPr>
      <w:bookmarkStart w:id="0" w:name="_Toc238026626"/>
      <w:r w:rsidRPr="509B18F9">
        <w:rPr>
          <w:rStyle w:val="Heading1Char"/>
        </w:rPr>
        <w:lastRenderedPageBreak/>
        <w:t>Foreword</w:t>
      </w:r>
      <w:r w:rsidR="437FA31C" w:rsidRPr="509B18F9">
        <w:rPr>
          <w:rStyle w:val="Heading1Char"/>
        </w:rPr>
        <w:t xml:space="preserve"> – Louise McKinlay, CEO</w:t>
      </w:r>
      <w:bookmarkEnd w:id="0"/>
    </w:p>
    <w:p w14:paraId="67939AF9" w14:textId="28983C0A" w:rsidR="73381A52" w:rsidRDefault="73381A52" w:rsidP="00FE3B8C">
      <w:pPr>
        <w:pStyle w:val="SCVbody"/>
      </w:pPr>
      <w:r>
        <w:t>Safer Care Victoria (SCV) is committed to continuous improvement to support a safer health system for all Victorians. While most care delivered in Victoria leads to positive outcomes, there are times when things go wrong and patients, families, carers, consumers and staff are deeply affected. In those moments, it is essential that we respond with honesty, compassion and a shared commitment to learning.</w:t>
      </w:r>
    </w:p>
    <w:p w14:paraId="3FC81996" w14:textId="1F6792BE" w:rsidR="73381A52" w:rsidRDefault="73381A52" w:rsidP="00FE3B8C">
      <w:pPr>
        <w:pStyle w:val="SCVbody"/>
      </w:pPr>
      <w:r>
        <w:t>SCV works in partnership with health services to lead improvement, provide insight and strengthen the quality and safety of care across the health system. We seek to understand the system factors that contribute to serious patient harm and to support health services to listen to, involve and support affected patients</w:t>
      </w:r>
      <w:r w:rsidR="6CD8E506">
        <w:t>, carers, famil</w:t>
      </w:r>
      <w:r w:rsidR="1F2AA7F4">
        <w:t>i</w:t>
      </w:r>
      <w:r w:rsidR="6CD8E506">
        <w:t xml:space="preserve">es and those </w:t>
      </w:r>
      <w:r>
        <w:t>close to them. Their experiences are critical to shaping safer care and informing action to prevent similar events in the future.</w:t>
      </w:r>
    </w:p>
    <w:p w14:paraId="19AC4E3B" w14:textId="4FCA8029" w:rsidR="73381A52" w:rsidRDefault="73381A52" w:rsidP="00FE3B8C">
      <w:pPr>
        <w:pStyle w:val="SCVbody"/>
      </w:pPr>
      <w:r>
        <w:t>Insights from sentinel event reviews are vital to improving patient safety and reducing the risk of future harm. This report shares data, analysis and system insights from across Victoria to support health services to strengthen the care they provide.</w:t>
      </w:r>
    </w:p>
    <w:p w14:paraId="50850FA7" w14:textId="1D2535C3" w:rsidR="73381A52" w:rsidRDefault="73381A52" w:rsidP="00FE3B8C">
      <w:pPr>
        <w:pStyle w:val="SCVbody"/>
      </w:pPr>
      <w:r>
        <w:t>This report includes analysis of reported harm events, emerging themes, a case study, guidance and recommendations for health services. It also highlights relevant resources and examples of improvement activity underway across SCV and the broader health sector.</w:t>
      </w:r>
    </w:p>
    <w:p w14:paraId="04E42671" w14:textId="6366A312" w:rsidR="005E28E5" w:rsidRPr="001B289D" w:rsidRDefault="00085E18" w:rsidP="00FE3B8C">
      <w:pPr>
        <w:pStyle w:val="SCVbody"/>
      </w:pPr>
      <w:r w:rsidRPr="73381A52">
        <w:rPr>
          <w:rStyle w:val="normaltextrun"/>
        </w:rPr>
        <w:t xml:space="preserve">This year’s report shows continued improvement in </w:t>
      </w:r>
      <w:r w:rsidR="1320E326">
        <w:t>several areas:</w:t>
      </w:r>
      <w:r w:rsidR="00F226F4">
        <w:t xml:space="preserve"> </w:t>
      </w:r>
    </w:p>
    <w:p w14:paraId="5D0D8249" w14:textId="44747DB1" w:rsidR="73381A52" w:rsidRDefault="73381A52" w:rsidP="00FE3B8C">
      <w:pPr>
        <w:pStyle w:val="SCVbullet1"/>
      </w:pPr>
      <w:r>
        <w:t>Reporting of sentinel events has remained strong, particularly in the private health sector. This reflects a maturing reporting culture and stronger partnership with health services to support quality and safety improvement.</w:t>
      </w:r>
    </w:p>
    <w:p w14:paraId="6B1FE283" w14:textId="054BA4CA" w:rsidR="73381A52" w:rsidRDefault="73381A52" w:rsidP="00C5152C">
      <w:pPr>
        <w:pStyle w:val="SCVbullet1"/>
      </w:pPr>
      <w:r>
        <w:t>Consumer representation on review panels has increased from 70% in 2021–22 to 99% in 2024–25. This indicates growing maturity in how health services partner with consumers and ensure review outcomes are informed by lived experience.</w:t>
      </w:r>
    </w:p>
    <w:p w14:paraId="5A701439" w14:textId="108CF7F2" w:rsidR="73381A52" w:rsidRDefault="73381A52" w:rsidP="001D6BC6">
      <w:pPr>
        <w:pStyle w:val="SCVbullet1"/>
      </w:pPr>
      <w:r>
        <w:t>External expert representation on review panels also increased to 99% in 2024–25, strengthening the rigour, independence and transparency of review processes.</w:t>
      </w:r>
    </w:p>
    <w:p w14:paraId="216CA689" w14:textId="4FB67F38" w:rsidR="73381A52" w:rsidRDefault="7352595A" w:rsidP="001D6BC6">
      <w:pPr>
        <w:pStyle w:val="SCVbullet1"/>
      </w:pPr>
      <w:r>
        <w:t xml:space="preserve">Completion rates for review recommendations at </w:t>
      </w:r>
      <w:r w:rsidR="16DE76ED">
        <w:t>six</w:t>
      </w:r>
      <w:r>
        <w:t xml:space="preserve"> and 12 months continue to improve, alongside a reduction in the time taken to complete reviews. This means more recommendations are being implemented sooner, supporting earlier learning and reducing the risk of recurrence.</w:t>
      </w:r>
    </w:p>
    <w:p w14:paraId="33300F33" w14:textId="3007CD39" w:rsidR="73381A52" w:rsidRDefault="73381A52" w:rsidP="001D6BC6">
      <w:pPr>
        <w:pStyle w:val="SCVbullet1"/>
      </w:pPr>
      <w:r>
        <w:t xml:space="preserve">Open disclosure data for sentinel events continues to improve across Victorian health services. This reflects the growing integration of the statutory duty of candour into </w:t>
      </w:r>
      <w:r>
        <w:lastRenderedPageBreak/>
        <w:t>everyday practice. A case study from St Vincent’s Health highlights leading practice in how the statutory duty of candour can be operationalised to support openness, transparency, partnership with consumers and continuous learning.</w:t>
      </w:r>
    </w:p>
    <w:p w14:paraId="0035BCCA" w14:textId="6733CBC0" w:rsidR="73381A52" w:rsidRDefault="73381A52" w:rsidP="001D6BC6">
      <w:pPr>
        <w:pStyle w:val="SCVbullet1"/>
      </w:pPr>
      <w:r>
        <w:t xml:space="preserve">Recommendations written using </w:t>
      </w:r>
      <w:r w:rsidR="00CB0284">
        <w:t>specific, measurable, achievable, re</w:t>
      </w:r>
      <w:r w:rsidR="00612C6E">
        <w:t>alistic</w:t>
      </w:r>
      <w:r w:rsidR="00CB0284">
        <w:t xml:space="preserve"> and time-bound (</w:t>
      </w:r>
      <w:r>
        <w:t>SMART</w:t>
      </w:r>
      <w:r w:rsidR="00CB0284">
        <w:t>)</w:t>
      </w:r>
      <w:r>
        <w:t xml:space="preserve"> principles increased from 61% in 2021–22 to 81% in 2024–25, reflecting a stronger focus on recommendations that are clearer, more actionable and more likely to be implemented.</w:t>
      </w:r>
    </w:p>
    <w:p w14:paraId="05304AFB" w14:textId="21E847C9" w:rsidR="73381A52" w:rsidRDefault="7352595A" w:rsidP="001D6BC6">
      <w:pPr>
        <w:pStyle w:val="SCVbody"/>
      </w:pPr>
      <w:r>
        <w:t xml:space="preserve">Several themes emerged strongly in 2024–25. This year’s report focuses on </w:t>
      </w:r>
      <w:r w:rsidR="6142648F">
        <w:t>four</w:t>
      </w:r>
      <w:r w:rsidR="06FE3906">
        <w:t xml:space="preserve"> </w:t>
      </w:r>
      <w:r>
        <w:t>key areas where systems can be strengthened to improve the quality and safety of care:</w:t>
      </w:r>
    </w:p>
    <w:p w14:paraId="03F9F476" w14:textId="650EA075" w:rsidR="73381A52" w:rsidRDefault="00A03ED6" w:rsidP="001D6BC6">
      <w:pPr>
        <w:pStyle w:val="SCVbullet1"/>
      </w:pPr>
      <w:r>
        <w:rPr>
          <w:b/>
          <w:bCs/>
        </w:rPr>
        <w:t>P</w:t>
      </w:r>
      <w:r w:rsidRPr="00A03ED6">
        <w:rPr>
          <w:b/>
          <w:bCs/>
        </w:rPr>
        <w:t>erioperative care (surgery-related</w:t>
      </w:r>
      <w:r w:rsidRPr="36FDF90C">
        <w:rPr>
          <w:b/>
          <w:bCs/>
        </w:rPr>
        <w:t>)</w:t>
      </w:r>
      <w:r w:rsidR="73381A52" w:rsidRPr="36FDF90C">
        <w:rPr>
          <w:b/>
          <w:bCs/>
        </w:rPr>
        <w:t>:</w:t>
      </w:r>
      <w:r w:rsidR="73381A52">
        <w:t xml:space="preserve"> examining events to strengthen recognition and response to deterioration, improve adherence to protocols and policies, and support safer communication and coordination across perioperative care.</w:t>
      </w:r>
    </w:p>
    <w:p w14:paraId="0F53226B" w14:textId="4958CABC" w:rsidR="73381A52" w:rsidRDefault="73381A52" w:rsidP="001D6BC6">
      <w:pPr>
        <w:pStyle w:val="SCVbullet1"/>
      </w:pPr>
      <w:r w:rsidRPr="73381A52">
        <w:rPr>
          <w:b/>
          <w:bCs/>
        </w:rPr>
        <w:t>Maternity and paediatric</w:t>
      </w:r>
      <w:r w:rsidR="00A03ED6">
        <w:rPr>
          <w:b/>
          <w:bCs/>
        </w:rPr>
        <w:t xml:space="preserve"> </w:t>
      </w:r>
      <w:r w:rsidR="00A03ED6" w:rsidRPr="7D50BF61">
        <w:rPr>
          <w:b/>
          <w:bCs/>
        </w:rPr>
        <w:t>care</w:t>
      </w:r>
      <w:r w:rsidRPr="73381A52">
        <w:rPr>
          <w:b/>
          <w:bCs/>
        </w:rPr>
        <w:t>:</w:t>
      </w:r>
      <w:r>
        <w:t xml:space="preserve"> analysing events to identify ways to improve outcomes for mothers, babies and children through stronger systems, earlier recognition of deterioration and better partnership with families and carers.</w:t>
      </w:r>
    </w:p>
    <w:p w14:paraId="7DCD400D" w14:textId="2B442955" w:rsidR="73381A52" w:rsidRDefault="7352595A" w:rsidP="45662AE7">
      <w:pPr>
        <w:pStyle w:val="SCVbullet1"/>
      </w:pPr>
      <w:r w:rsidRPr="509B18F9">
        <w:rPr>
          <w:b/>
          <w:bCs/>
        </w:rPr>
        <w:t>Mental health</w:t>
      </w:r>
      <w:r w:rsidR="0B1C3103" w:rsidRPr="509B18F9">
        <w:rPr>
          <w:b/>
          <w:bCs/>
        </w:rPr>
        <w:t xml:space="preserve"> and self-harm</w:t>
      </w:r>
      <w:r w:rsidRPr="509B18F9">
        <w:rPr>
          <w:b/>
          <w:bCs/>
        </w:rPr>
        <w:t>:</w:t>
      </w:r>
      <w:r>
        <w:t xml:space="preserve"> strengthening support and interventions after discharge to reduce the risk of self-harm, including through adopti</w:t>
      </w:r>
      <w:r w:rsidR="06FE3906">
        <w:t>ng</w:t>
      </w:r>
      <w:r>
        <w:t xml:space="preserve"> the </w:t>
      </w:r>
      <w:r w:rsidRPr="509B18F9">
        <w:rPr>
          <w:i/>
          <w:iCs/>
        </w:rPr>
        <w:t xml:space="preserve">Zero </w:t>
      </w:r>
      <w:r w:rsidR="4B48DE87" w:rsidRPr="509B18F9">
        <w:rPr>
          <w:i/>
          <w:iCs/>
        </w:rPr>
        <w:t>S</w:t>
      </w:r>
      <w:r w:rsidRPr="509B18F9">
        <w:rPr>
          <w:i/>
          <w:iCs/>
        </w:rPr>
        <w:t xml:space="preserve">uicide </w:t>
      </w:r>
      <w:r w:rsidR="025AA462" w:rsidRPr="509B18F9">
        <w:rPr>
          <w:i/>
          <w:iCs/>
        </w:rPr>
        <w:t>F</w:t>
      </w:r>
      <w:r w:rsidRPr="509B18F9">
        <w:rPr>
          <w:i/>
          <w:iCs/>
        </w:rPr>
        <w:t>ramework</w:t>
      </w:r>
      <w:r w:rsidR="3C07A87D" w:rsidRPr="509B18F9">
        <w:rPr>
          <w:i/>
          <w:iCs/>
        </w:rPr>
        <w:t xml:space="preserve"> </w:t>
      </w:r>
      <w:r w:rsidR="3C07A87D">
        <w:t>to improve the pathway of care</w:t>
      </w:r>
      <w:r>
        <w:t>.</w:t>
      </w:r>
    </w:p>
    <w:p w14:paraId="6F457FD2" w14:textId="466BA3A2" w:rsidR="73381A52" w:rsidRDefault="36F59CC7" w:rsidP="001D6BC6">
      <w:pPr>
        <w:pStyle w:val="SCVbullet1"/>
      </w:pPr>
      <w:r w:rsidRPr="44677765">
        <w:rPr>
          <w:b/>
          <w:bCs/>
        </w:rPr>
        <w:t>Medication errors:</w:t>
      </w:r>
      <w:r>
        <w:t xml:space="preserve"> </w:t>
      </w:r>
      <w:r w:rsidR="5C836E7B" w:rsidRPr="44677765">
        <w:rPr>
          <w:rFonts w:eastAsiaTheme="minorEastAsia"/>
          <w:color w:val="000000" w:themeColor="text1"/>
        </w:rPr>
        <w:t>identifying system</w:t>
      </w:r>
      <w:r w:rsidR="00E66748">
        <w:rPr>
          <w:rFonts w:eastAsiaTheme="minorEastAsia"/>
          <w:color w:val="000000" w:themeColor="text1"/>
        </w:rPr>
        <w:t>-wide</w:t>
      </w:r>
      <w:r w:rsidR="5C836E7B" w:rsidRPr="44677765">
        <w:rPr>
          <w:rFonts w:eastAsiaTheme="minorEastAsia"/>
          <w:color w:val="000000" w:themeColor="text1"/>
        </w:rPr>
        <w:t xml:space="preserve"> issues to promote safer medication management, particularly for anticoagulants, which continue to be the leading cause of medication-related sentinel events.</w:t>
      </w:r>
    </w:p>
    <w:p w14:paraId="4C42D42C" w14:textId="00D1162A" w:rsidR="73381A52" w:rsidRDefault="73381A52" w:rsidP="005E7DE4">
      <w:pPr>
        <w:pStyle w:val="SCVbodyafterheading"/>
      </w:pPr>
      <w:r>
        <w:t>Safe care depends on every member of the health service team, including clinicians, administrative staff and support staff. Health services also work alongside government agencies that provide leadership, insight and guidance in adverse event management. Through this shared effort, we continue to learn from serious patient harm and strengthen the systems that support safe, high-quality care for all Victorians.</w:t>
      </w:r>
    </w:p>
    <w:p w14:paraId="644811CB" w14:textId="77777777" w:rsidR="00085E18" w:rsidRPr="00A46EA6" w:rsidRDefault="00085E18" w:rsidP="00085E18">
      <w:pPr>
        <w:pStyle w:val="SCVbody"/>
        <w:rPr>
          <w:rStyle w:val="normaltextrun"/>
        </w:rPr>
      </w:pPr>
    </w:p>
    <w:p w14:paraId="3BDF7CB4" w14:textId="77777777" w:rsidR="00085E18" w:rsidRPr="007249BD" w:rsidRDefault="00085E18" w:rsidP="00085E18">
      <w:pPr>
        <w:pStyle w:val="SCVbody"/>
        <w:rPr>
          <w:rStyle w:val="normaltextrun"/>
          <w:rFonts w:cstheme="minorHAnsi"/>
        </w:rPr>
      </w:pPr>
      <w:r w:rsidRPr="00834EF2">
        <w:rPr>
          <w:rStyle w:val="normaltextrun"/>
          <w:b/>
          <w:bCs/>
        </w:rPr>
        <w:t>Louise McKinlay</w:t>
      </w:r>
      <w:r w:rsidRPr="00E712E6">
        <w:br/>
      </w:r>
      <w:r w:rsidRPr="00E712E6">
        <w:rPr>
          <w:rStyle w:val="normaltextrun"/>
        </w:rPr>
        <w:t>Chief Executive Officer</w:t>
      </w:r>
      <w:r w:rsidRPr="00E712E6">
        <w:br/>
      </w:r>
      <w:r w:rsidRPr="00E712E6">
        <w:rPr>
          <w:rStyle w:val="normaltextrun"/>
        </w:rPr>
        <w:t>Safer Care Victoria</w:t>
      </w:r>
    </w:p>
    <w:bookmarkStart w:id="1" w:name="_Toc185595222" w:displacedByCustomXml="next"/>
    <w:bookmarkStart w:id="2" w:name="_Toc55899367" w:displacedByCustomXml="next"/>
    <w:bookmarkStart w:id="3" w:name="_Toc43470670" w:displacedByCustomXml="next"/>
    <w:sdt>
      <w:sdtPr>
        <w:rPr>
          <w:rFonts w:asciiTheme="minorHAnsi" w:eastAsiaTheme="minorEastAsia" w:hAnsiTheme="minorHAnsi" w:cstheme="minorBidi"/>
          <w:b w:val="0"/>
          <w:bCs w:val="0"/>
          <w:noProof/>
          <w:color w:val="auto"/>
          <w:spacing w:val="0"/>
          <w:sz w:val="24"/>
          <w:szCs w:val="24"/>
          <w:lang w:eastAsia="en-US"/>
        </w:rPr>
        <w:id w:val="815043950"/>
        <w:docPartObj>
          <w:docPartGallery w:val="Table of Contents"/>
          <w:docPartUnique/>
        </w:docPartObj>
      </w:sdtPr>
      <w:sdtEndPr>
        <w:rPr>
          <w:sz w:val="2"/>
          <w:szCs w:val="2"/>
        </w:rPr>
      </w:sdtEndPr>
      <w:sdtContent>
        <w:p w14:paraId="099EA5A2" w14:textId="7CDE6B7C" w:rsidR="00AA7C73" w:rsidRPr="006F4DE6" w:rsidRDefault="00AA7C73" w:rsidP="00A14234">
          <w:pPr>
            <w:pStyle w:val="TOCHeading"/>
            <w:tabs>
              <w:tab w:val="left" w:pos="3074"/>
            </w:tabs>
          </w:pPr>
          <w:r w:rsidRPr="006F4DE6">
            <w:t>Contents</w:t>
          </w:r>
        </w:p>
        <w:p w14:paraId="33D824F2" w14:textId="01C31280" w:rsidR="00B7668C" w:rsidRDefault="00F62ED3">
          <w:pPr>
            <w:pStyle w:val="TOC1"/>
            <w:rPr>
              <w:kern w:val="2"/>
              <w:szCs w:val="24"/>
              <w:lang w:eastAsia="en-AU"/>
              <w14:ligatures w14:val="standardContextual"/>
            </w:rPr>
          </w:pPr>
          <w:r w:rsidRPr="73D890B6">
            <w:rPr>
              <w:b/>
              <w:bCs/>
            </w:rPr>
            <w:fldChar w:fldCharType="begin"/>
          </w:r>
          <w:r w:rsidRPr="006F4DE6">
            <w:rPr>
              <w:b/>
              <w:bCs/>
            </w:rPr>
            <w:instrText>TOC \o "1-2" \z \u \h</w:instrText>
          </w:r>
          <w:r w:rsidRPr="73D890B6">
            <w:rPr>
              <w:b/>
              <w:bCs/>
            </w:rPr>
            <w:fldChar w:fldCharType="separate"/>
          </w:r>
          <w:hyperlink w:anchor="_Toc238026626" w:history="1">
            <w:r w:rsidR="00B7668C" w:rsidRPr="00CE7AD0">
              <w:rPr>
                <w:rStyle w:val="Hyperlink"/>
              </w:rPr>
              <w:t>Foreword – Louise McKinlay, CEO</w:t>
            </w:r>
            <w:r w:rsidR="00B7668C">
              <w:rPr>
                <w:webHidden/>
              </w:rPr>
              <w:tab/>
            </w:r>
            <w:r w:rsidR="00B7668C">
              <w:rPr>
                <w:webHidden/>
              </w:rPr>
              <w:fldChar w:fldCharType="begin"/>
            </w:r>
            <w:r w:rsidR="00B7668C">
              <w:rPr>
                <w:webHidden/>
              </w:rPr>
              <w:instrText xml:space="preserve"> PAGEREF _Toc238026626 \h </w:instrText>
            </w:r>
            <w:r w:rsidR="00B7668C">
              <w:rPr>
                <w:webHidden/>
              </w:rPr>
            </w:r>
            <w:r w:rsidR="00B7668C">
              <w:rPr>
                <w:webHidden/>
              </w:rPr>
              <w:fldChar w:fldCharType="separate"/>
            </w:r>
            <w:r w:rsidR="00B7668C">
              <w:rPr>
                <w:webHidden/>
              </w:rPr>
              <w:t>3</w:t>
            </w:r>
            <w:r w:rsidR="00B7668C">
              <w:rPr>
                <w:webHidden/>
              </w:rPr>
              <w:fldChar w:fldCharType="end"/>
            </w:r>
          </w:hyperlink>
        </w:p>
        <w:p w14:paraId="060E17AF" w14:textId="02980A6B" w:rsidR="00B7668C" w:rsidRDefault="00B7668C">
          <w:pPr>
            <w:pStyle w:val="TOC1"/>
            <w:rPr>
              <w:kern w:val="2"/>
              <w:szCs w:val="24"/>
              <w:lang w:eastAsia="en-AU"/>
              <w14:ligatures w14:val="standardContextual"/>
            </w:rPr>
          </w:pPr>
          <w:hyperlink w:anchor="_Toc238026627" w:history="1">
            <w:r w:rsidRPr="00CE7AD0">
              <w:rPr>
                <w:rStyle w:val="Hyperlink"/>
              </w:rPr>
              <w:t>Acknowledgements</w:t>
            </w:r>
            <w:r>
              <w:rPr>
                <w:webHidden/>
              </w:rPr>
              <w:tab/>
            </w:r>
            <w:r>
              <w:rPr>
                <w:webHidden/>
              </w:rPr>
              <w:fldChar w:fldCharType="begin"/>
            </w:r>
            <w:r>
              <w:rPr>
                <w:webHidden/>
              </w:rPr>
              <w:instrText xml:space="preserve"> PAGEREF _Toc238026627 \h </w:instrText>
            </w:r>
            <w:r>
              <w:rPr>
                <w:webHidden/>
              </w:rPr>
            </w:r>
            <w:r>
              <w:rPr>
                <w:webHidden/>
              </w:rPr>
              <w:fldChar w:fldCharType="separate"/>
            </w:r>
            <w:r>
              <w:rPr>
                <w:webHidden/>
              </w:rPr>
              <w:t>7</w:t>
            </w:r>
            <w:r>
              <w:rPr>
                <w:webHidden/>
              </w:rPr>
              <w:fldChar w:fldCharType="end"/>
            </w:r>
          </w:hyperlink>
        </w:p>
        <w:p w14:paraId="65AF37CA" w14:textId="74DB8908" w:rsidR="00B7668C" w:rsidRDefault="00B7668C">
          <w:pPr>
            <w:pStyle w:val="TOC2"/>
            <w:rPr>
              <w:color w:val="auto"/>
              <w:kern w:val="2"/>
              <w:szCs w:val="24"/>
              <w14:ligatures w14:val="standardContextual"/>
            </w:rPr>
          </w:pPr>
          <w:hyperlink w:anchor="_Toc238026628" w:history="1">
            <w:r w:rsidRPr="00CE7AD0">
              <w:rPr>
                <w:rStyle w:val="Hyperlink"/>
              </w:rPr>
              <w:t>Acknowledgement of Country</w:t>
            </w:r>
            <w:r>
              <w:rPr>
                <w:webHidden/>
              </w:rPr>
              <w:tab/>
            </w:r>
            <w:r>
              <w:rPr>
                <w:webHidden/>
              </w:rPr>
              <w:fldChar w:fldCharType="begin"/>
            </w:r>
            <w:r>
              <w:rPr>
                <w:webHidden/>
              </w:rPr>
              <w:instrText xml:space="preserve"> PAGEREF _Toc238026628 \h </w:instrText>
            </w:r>
            <w:r>
              <w:rPr>
                <w:webHidden/>
              </w:rPr>
            </w:r>
            <w:r>
              <w:rPr>
                <w:webHidden/>
              </w:rPr>
              <w:fldChar w:fldCharType="separate"/>
            </w:r>
            <w:r>
              <w:rPr>
                <w:webHidden/>
              </w:rPr>
              <w:t>7</w:t>
            </w:r>
            <w:r>
              <w:rPr>
                <w:webHidden/>
              </w:rPr>
              <w:fldChar w:fldCharType="end"/>
            </w:r>
          </w:hyperlink>
        </w:p>
        <w:p w14:paraId="0DFC2876" w14:textId="16889956" w:rsidR="00B7668C" w:rsidRDefault="00B7668C">
          <w:pPr>
            <w:pStyle w:val="TOC2"/>
            <w:rPr>
              <w:color w:val="auto"/>
              <w:kern w:val="2"/>
              <w:szCs w:val="24"/>
              <w14:ligatures w14:val="standardContextual"/>
            </w:rPr>
          </w:pPr>
          <w:hyperlink w:anchor="_Toc238026629" w:history="1">
            <w:r w:rsidRPr="00CE7AD0">
              <w:rPr>
                <w:rStyle w:val="Hyperlink"/>
              </w:rPr>
              <w:t>Content warning</w:t>
            </w:r>
            <w:r>
              <w:rPr>
                <w:webHidden/>
              </w:rPr>
              <w:tab/>
            </w:r>
            <w:r>
              <w:rPr>
                <w:webHidden/>
              </w:rPr>
              <w:fldChar w:fldCharType="begin"/>
            </w:r>
            <w:r>
              <w:rPr>
                <w:webHidden/>
              </w:rPr>
              <w:instrText xml:space="preserve"> PAGEREF _Toc238026629 \h </w:instrText>
            </w:r>
            <w:r>
              <w:rPr>
                <w:webHidden/>
              </w:rPr>
            </w:r>
            <w:r>
              <w:rPr>
                <w:webHidden/>
              </w:rPr>
              <w:fldChar w:fldCharType="separate"/>
            </w:r>
            <w:r>
              <w:rPr>
                <w:webHidden/>
              </w:rPr>
              <w:t>7</w:t>
            </w:r>
            <w:r>
              <w:rPr>
                <w:webHidden/>
              </w:rPr>
              <w:fldChar w:fldCharType="end"/>
            </w:r>
          </w:hyperlink>
        </w:p>
        <w:p w14:paraId="1DA8F5CF" w14:textId="710CA217" w:rsidR="00B7668C" w:rsidRDefault="00B7668C">
          <w:pPr>
            <w:pStyle w:val="TOC2"/>
            <w:rPr>
              <w:color w:val="auto"/>
              <w:kern w:val="2"/>
              <w:szCs w:val="24"/>
              <w14:ligatures w14:val="standardContextual"/>
            </w:rPr>
          </w:pPr>
          <w:hyperlink w:anchor="_Toc238026630" w:history="1">
            <w:r w:rsidRPr="00CE7AD0">
              <w:rPr>
                <w:rStyle w:val="Hyperlink"/>
              </w:rPr>
              <w:t>Acknowledgment of terminology</w:t>
            </w:r>
            <w:r>
              <w:rPr>
                <w:webHidden/>
              </w:rPr>
              <w:tab/>
            </w:r>
            <w:r>
              <w:rPr>
                <w:webHidden/>
              </w:rPr>
              <w:fldChar w:fldCharType="begin"/>
            </w:r>
            <w:r>
              <w:rPr>
                <w:webHidden/>
              </w:rPr>
              <w:instrText xml:space="preserve"> PAGEREF _Toc238026630 \h </w:instrText>
            </w:r>
            <w:r>
              <w:rPr>
                <w:webHidden/>
              </w:rPr>
            </w:r>
            <w:r>
              <w:rPr>
                <w:webHidden/>
              </w:rPr>
              <w:fldChar w:fldCharType="separate"/>
            </w:r>
            <w:r>
              <w:rPr>
                <w:webHidden/>
              </w:rPr>
              <w:t>8</w:t>
            </w:r>
            <w:r>
              <w:rPr>
                <w:webHidden/>
              </w:rPr>
              <w:fldChar w:fldCharType="end"/>
            </w:r>
          </w:hyperlink>
        </w:p>
        <w:p w14:paraId="75EACFDA" w14:textId="5470486C" w:rsidR="00B7668C" w:rsidRDefault="00B7668C">
          <w:pPr>
            <w:pStyle w:val="TOC2"/>
            <w:rPr>
              <w:color w:val="auto"/>
              <w:kern w:val="2"/>
              <w:szCs w:val="24"/>
              <w14:ligatures w14:val="standardContextual"/>
            </w:rPr>
          </w:pPr>
          <w:hyperlink w:anchor="_Toc238026631" w:history="1">
            <w:r w:rsidRPr="00CE7AD0">
              <w:rPr>
                <w:rStyle w:val="Hyperlink"/>
              </w:rPr>
              <w:t>Thank you</w:t>
            </w:r>
            <w:r>
              <w:rPr>
                <w:webHidden/>
              </w:rPr>
              <w:tab/>
            </w:r>
            <w:r>
              <w:rPr>
                <w:webHidden/>
              </w:rPr>
              <w:fldChar w:fldCharType="begin"/>
            </w:r>
            <w:r>
              <w:rPr>
                <w:webHidden/>
              </w:rPr>
              <w:instrText xml:space="preserve"> PAGEREF _Toc238026631 \h </w:instrText>
            </w:r>
            <w:r>
              <w:rPr>
                <w:webHidden/>
              </w:rPr>
            </w:r>
            <w:r>
              <w:rPr>
                <w:webHidden/>
              </w:rPr>
              <w:fldChar w:fldCharType="separate"/>
            </w:r>
            <w:r>
              <w:rPr>
                <w:webHidden/>
              </w:rPr>
              <w:t>8</w:t>
            </w:r>
            <w:r>
              <w:rPr>
                <w:webHidden/>
              </w:rPr>
              <w:fldChar w:fldCharType="end"/>
            </w:r>
          </w:hyperlink>
        </w:p>
        <w:p w14:paraId="4C34CD3D" w14:textId="30D76E52" w:rsidR="00B7668C" w:rsidRDefault="00B7668C">
          <w:pPr>
            <w:pStyle w:val="TOC1"/>
            <w:rPr>
              <w:kern w:val="2"/>
              <w:szCs w:val="24"/>
              <w:lang w:eastAsia="en-AU"/>
              <w14:ligatures w14:val="standardContextual"/>
            </w:rPr>
          </w:pPr>
          <w:hyperlink w:anchor="_Toc238026632" w:history="1">
            <w:r w:rsidRPr="00CE7AD0">
              <w:rPr>
                <w:rStyle w:val="Hyperlink"/>
              </w:rPr>
              <w:t>Introduction</w:t>
            </w:r>
            <w:r>
              <w:rPr>
                <w:webHidden/>
              </w:rPr>
              <w:tab/>
            </w:r>
            <w:r>
              <w:rPr>
                <w:webHidden/>
              </w:rPr>
              <w:fldChar w:fldCharType="begin"/>
            </w:r>
            <w:r>
              <w:rPr>
                <w:webHidden/>
              </w:rPr>
              <w:instrText xml:space="preserve"> PAGEREF _Toc238026632 \h </w:instrText>
            </w:r>
            <w:r>
              <w:rPr>
                <w:webHidden/>
              </w:rPr>
            </w:r>
            <w:r>
              <w:rPr>
                <w:webHidden/>
              </w:rPr>
              <w:fldChar w:fldCharType="separate"/>
            </w:r>
            <w:r>
              <w:rPr>
                <w:webHidden/>
              </w:rPr>
              <w:t>9</w:t>
            </w:r>
            <w:r>
              <w:rPr>
                <w:webHidden/>
              </w:rPr>
              <w:fldChar w:fldCharType="end"/>
            </w:r>
          </w:hyperlink>
        </w:p>
        <w:p w14:paraId="20B27E7F" w14:textId="243BD987" w:rsidR="00B7668C" w:rsidRDefault="00B7668C">
          <w:pPr>
            <w:pStyle w:val="TOC2"/>
            <w:rPr>
              <w:color w:val="auto"/>
              <w:kern w:val="2"/>
              <w:szCs w:val="24"/>
              <w14:ligatures w14:val="standardContextual"/>
            </w:rPr>
          </w:pPr>
          <w:hyperlink w:anchor="_Toc238026633" w:history="1">
            <w:r w:rsidRPr="00CE7AD0">
              <w:rPr>
                <w:rStyle w:val="Hyperlink"/>
              </w:rPr>
              <w:t>Feedback and future reports</w:t>
            </w:r>
            <w:r>
              <w:rPr>
                <w:webHidden/>
              </w:rPr>
              <w:tab/>
            </w:r>
            <w:r>
              <w:rPr>
                <w:webHidden/>
              </w:rPr>
              <w:fldChar w:fldCharType="begin"/>
            </w:r>
            <w:r>
              <w:rPr>
                <w:webHidden/>
              </w:rPr>
              <w:instrText xml:space="preserve"> PAGEREF _Toc238026633 \h </w:instrText>
            </w:r>
            <w:r>
              <w:rPr>
                <w:webHidden/>
              </w:rPr>
            </w:r>
            <w:r>
              <w:rPr>
                <w:webHidden/>
              </w:rPr>
              <w:fldChar w:fldCharType="separate"/>
            </w:r>
            <w:r>
              <w:rPr>
                <w:webHidden/>
              </w:rPr>
              <w:t>11</w:t>
            </w:r>
            <w:r>
              <w:rPr>
                <w:webHidden/>
              </w:rPr>
              <w:fldChar w:fldCharType="end"/>
            </w:r>
          </w:hyperlink>
        </w:p>
        <w:p w14:paraId="7AAB7FBC" w14:textId="640206F3" w:rsidR="00B7668C" w:rsidRDefault="00B7668C">
          <w:pPr>
            <w:pStyle w:val="TOC2"/>
            <w:rPr>
              <w:color w:val="auto"/>
              <w:kern w:val="2"/>
              <w:szCs w:val="24"/>
              <w14:ligatures w14:val="standardContextual"/>
            </w:rPr>
          </w:pPr>
          <w:hyperlink w:anchor="_Toc238026634" w:history="1">
            <w:r w:rsidRPr="00CE7AD0">
              <w:rPr>
                <w:rStyle w:val="Hyperlink"/>
              </w:rPr>
              <w:t>What is a sentinel event?</w:t>
            </w:r>
            <w:r>
              <w:rPr>
                <w:webHidden/>
              </w:rPr>
              <w:tab/>
            </w:r>
            <w:r>
              <w:rPr>
                <w:webHidden/>
              </w:rPr>
              <w:fldChar w:fldCharType="begin"/>
            </w:r>
            <w:r>
              <w:rPr>
                <w:webHidden/>
              </w:rPr>
              <w:instrText xml:space="preserve"> PAGEREF _Toc238026634 \h </w:instrText>
            </w:r>
            <w:r>
              <w:rPr>
                <w:webHidden/>
              </w:rPr>
            </w:r>
            <w:r>
              <w:rPr>
                <w:webHidden/>
              </w:rPr>
              <w:fldChar w:fldCharType="separate"/>
            </w:r>
            <w:r>
              <w:rPr>
                <w:webHidden/>
              </w:rPr>
              <w:t>12</w:t>
            </w:r>
            <w:r>
              <w:rPr>
                <w:webHidden/>
              </w:rPr>
              <w:fldChar w:fldCharType="end"/>
            </w:r>
          </w:hyperlink>
        </w:p>
        <w:p w14:paraId="205058F1" w14:textId="4DEACE57" w:rsidR="00B7668C" w:rsidRDefault="00B7668C">
          <w:pPr>
            <w:pStyle w:val="TOC2"/>
            <w:rPr>
              <w:color w:val="auto"/>
              <w:kern w:val="2"/>
              <w:szCs w:val="24"/>
              <w14:ligatures w14:val="standardContextual"/>
            </w:rPr>
          </w:pPr>
          <w:hyperlink w:anchor="_Toc238026635" w:history="1">
            <w:r w:rsidRPr="00CE7AD0">
              <w:rPr>
                <w:rStyle w:val="Hyperlink"/>
              </w:rPr>
              <w:t>Which events are notifiable in Victoria?</w:t>
            </w:r>
            <w:r>
              <w:rPr>
                <w:webHidden/>
              </w:rPr>
              <w:tab/>
            </w:r>
            <w:r>
              <w:rPr>
                <w:webHidden/>
              </w:rPr>
              <w:fldChar w:fldCharType="begin"/>
            </w:r>
            <w:r>
              <w:rPr>
                <w:webHidden/>
              </w:rPr>
              <w:instrText xml:space="preserve"> PAGEREF _Toc238026635 \h </w:instrText>
            </w:r>
            <w:r>
              <w:rPr>
                <w:webHidden/>
              </w:rPr>
            </w:r>
            <w:r>
              <w:rPr>
                <w:webHidden/>
              </w:rPr>
              <w:fldChar w:fldCharType="separate"/>
            </w:r>
            <w:r>
              <w:rPr>
                <w:webHidden/>
              </w:rPr>
              <w:t>12</w:t>
            </w:r>
            <w:r>
              <w:rPr>
                <w:webHidden/>
              </w:rPr>
              <w:fldChar w:fldCharType="end"/>
            </w:r>
          </w:hyperlink>
        </w:p>
        <w:p w14:paraId="4570E2F4" w14:textId="06190B89" w:rsidR="00B7668C" w:rsidRDefault="00B7668C">
          <w:pPr>
            <w:pStyle w:val="TOC2"/>
            <w:rPr>
              <w:color w:val="auto"/>
              <w:kern w:val="2"/>
              <w:szCs w:val="24"/>
              <w14:ligatures w14:val="standardContextual"/>
            </w:rPr>
          </w:pPr>
          <w:hyperlink w:anchor="_Toc238026636" w:history="1">
            <w:r w:rsidRPr="00CE7AD0">
              <w:rPr>
                <w:rStyle w:val="Hyperlink"/>
              </w:rPr>
              <w:t>Sentinel event identification</w:t>
            </w:r>
            <w:r>
              <w:rPr>
                <w:webHidden/>
              </w:rPr>
              <w:tab/>
            </w:r>
            <w:r>
              <w:rPr>
                <w:webHidden/>
              </w:rPr>
              <w:fldChar w:fldCharType="begin"/>
            </w:r>
            <w:r>
              <w:rPr>
                <w:webHidden/>
              </w:rPr>
              <w:instrText xml:space="preserve"> PAGEREF _Toc238026636 \h </w:instrText>
            </w:r>
            <w:r>
              <w:rPr>
                <w:webHidden/>
              </w:rPr>
            </w:r>
            <w:r>
              <w:rPr>
                <w:webHidden/>
              </w:rPr>
              <w:fldChar w:fldCharType="separate"/>
            </w:r>
            <w:r>
              <w:rPr>
                <w:webHidden/>
              </w:rPr>
              <w:t>12</w:t>
            </w:r>
            <w:r>
              <w:rPr>
                <w:webHidden/>
              </w:rPr>
              <w:fldChar w:fldCharType="end"/>
            </w:r>
          </w:hyperlink>
        </w:p>
        <w:p w14:paraId="16BF7679" w14:textId="621204C7" w:rsidR="00B7668C" w:rsidRDefault="00B7668C">
          <w:pPr>
            <w:pStyle w:val="TOC2"/>
            <w:rPr>
              <w:color w:val="auto"/>
              <w:kern w:val="2"/>
              <w:szCs w:val="24"/>
              <w14:ligatures w14:val="standardContextual"/>
            </w:rPr>
          </w:pPr>
          <w:hyperlink w:anchor="_Toc238026637" w:history="1">
            <w:r w:rsidRPr="00CE7AD0">
              <w:rPr>
                <w:rStyle w:val="Hyperlink"/>
              </w:rPr>
              <w:t>2024–25 sentinel event data at a glance</w:t>
            </w:r>
            <w:r>
              <w:rPr>
                <w:webHidden/>
              </w:rPr>
              <w:tab/>
            </w:r>
            <w:r>
              <w:rPr>
                <w:webHidden/>
              </w:rPr>
              <w:fldChar w:fldCharType="begin"/>
            </w:r>
            <w:r>
              <w:rPr>
                <w:webHidden/>
              </w:rPr>
              <w:instrText xml:space="preserve"> PAGEREF _Toc238026637 \h </w:instrText>
            </w:r>
            <w:r>
              <w:rPr>
                <w:webHidden/>
              </w:rPr>
            </w:r>
            <w:r>
              <w:rPr>
                <w:webHidden/>
              </w:rPr>
              <w:fldChar w:fldCharType="separate"/>
            </w:r>
            <w:r>
              <w:rPr>
                <w:webHidden/>
              </w:rPr>
              <w:t>13</w:t>
            </w:r>
            <w:r>
              <w:rPr>
                <w:webHidden/>
              </w:rPr>
              <w:fldChar w:fldCharType="end"/>
            </w:r>
          </w:hyperlink>
        </w:p>
        <w:p w14:paraId="4A30AC8A" w14:textId="1D46CF92" w:rsidR="00B7668C" w:rsidRDefault="00B7668C">
          <w:pPr>
            <w:pStyle w:val="TOC2"/>
            <w:rPr>
              <w:color w:val="auto"/>
              <w:kern w:val="2"/>
              <w:szCs w:val="24"/>
              <w14:ligatures w14:val="standardContextual"/>
            </w:rPr>
          </w:pPr>
          <w:hyperlink w:anchor="_Toc238026638" w:history="1">
            <w:r w:rsidRPr="00CE7AD0">
              <w:rPr>
                <w:rStyle w:val="Hyperlink"/>
              </w:rPr>
              <w:t>Review panel composition</w:t>
            </w:r>
            <w:r>
              <w:rPr>
                <w:webHidden/>
              </w:rPr>
              <w:tab/>
            </w:r>
            <w:r>
              <w:rPr>
                <w:webHidden/>
              </w:rPr>
              <w:fldChar w:fldCharType="begin"/>
            </w:r>
            <w:r>
              <w:rPr>
                <w:webHidden/>
              </w:rPr>
              <w:instrText xml:space="preserve"> PAGEREF _Toc238026638 \h </w:instrText>
            </w:r>
            <w:r>
              <w:rPr>
                <w:webHidden/>
              </w:rPr>
            </w:r>
            <w:r>
              <w:rPr>
                <w:webHidden/>
              </w:rPr>
              <w:fldChar w:fldCharType="separate"/>
            </w:r>
            <w:r>
              <w:rPr>
                <w:webHidden/>
              </w:rPr>
              <w:t>14</w:t>
            </w:r>
            <w:r>
              <w:rPr>
                <w:webHidden/>
              </w:rPr>
              <w:fldChar w:fldCharType="end"/>
            </w:r>
          </w:hyperlink>
        </w:p>
        <w:p w14:paraId="485806E5" w14:textId="4F9207EA" w:rsidR="00B7668C" w:rsidRDefault="00B7668C">
          <w:pPr>
            <w:pStyle w:val="TOC1"/>
            <w:rPr>
              <w:kern w:val="2"/>
              <w:szCs w:val="24"/>
              <w:lang w:eastAsia="en-AU"/>
              <w14:ligatures w14:val="standardContextual"/>
            </w:rPr>
          </w:pPr>
          <w:hyperlink w:anchor="_Toc238026639" w:history="1">
            <w:r w:rsidRPr="00CE7AD0">
              <w:rPr>
                <w:rStyle w:val="Hyperlink"/>
              </w:rPr>
              <w:t>Key sentinel event themes in 2024–25</w:t>
            </w:r>
            <w:r>
              <w:rPr>
                <w:webHidden/>
              </w:rPr>
              <w:tab/>
            </w:r>
            <w:r>
              <w:rPr>
                <w:webHidden/>
              </w:rPr>
              <w:fldChar w:fldCharType="begin"/>
            </w:r>
            <w:r>
              <w:rPr>
                <w:webHidden/>
              </w:rPr>
              <w:instrText xml:space="preserve"> PAGEREF _Toc238026639 \h </w:instrText>
            </w:r>
            <w:r>
              <w:rPr>
                <w:webHidden/>
              </w:rPr>
            </w:r>
            <w:r>
              <w:rPr>
                <w:webHidden/>
              </w:rPr>
              <w:fldChar w:fldCharType="separate"/>
            </w:r>
            <w:r>
              <w:rPr>
                <w:webHidden/>
              </w:rPr>
              <w:t>17</w:t>
            </w:r>
            <w:r>
              <w:rPr>
                <w:webHidden/>
              </w:rPr>
              <w:fldChar w:fldCharType="end"/>
            </w:r>
          </w:hyperlink>
        </w:p>
        <w:p w14:paraId="740D5415" w14:textId="1AF2CE32" w:rsidR="00B7668C" w:rsidRDefault="00B7668C">
          <w:pPr>
            <w:pStyle w:val="TOC2"/>
            <w:rPr>
              <w:color w:val="auto"/>
              <w:kern w:val="2"/>
              <w:szCs w:val="24"/>
              <w14:ligatures w14:val="standardContextual"/>
            </w:rPr>
          </w:pPr>
          <w:hyperlink w:anchor="_Toc238026640" w:history="1">
            <w:r w:rsidRPr="00CE7AD0">
              <w:rPr>
                <w:rStyle w:val="Hyperlink"/>
              </w:rPr>
              <w:t>1. Sentinel events relating to perioperative care (surgery-related)</w:t>
            </w:r>
            <w:r>
              <w:rPr>
                <w:webHidden/>
              </w:rPr>
              <w:tab/>
            </w:r>
            <w:r>
              <w:rPr>
                <w:webHidden/>
              </w:rPr>
              <w:fldChar w:fldCharType="begin"/>
            </w:r>
            <w:r>
              <w:rPr>
                <w:webHidden/>
              </w:rPr>
              <w:instrText xml:space="preserve"> PAGEREF _Toc238026640 \h </w:instrText>
            </w:r>
            <w:r>
              <w:rPr>
                <w:webHidden/>
              </w:rPr>
            </w:r>
            <w:r>
              <w:rPr>
                <w:webHidden/>
              </w:rPr>
              <w:fldChar w:fldCharType="separate"/>
            </w:r>
            <w:r>
              <w:rPr>
                <w:webHidden/>
              </w:rPr>
              <w:t>17</w:t>
            </w:r>
            <w:r>
              <w:rPr>
                <w:webHidden/>
              </w:rPr>
              <w:fldChar w:fldCharType="end"/>
            </w:r>
          </w:hyperlink>
        </w:p>
        <w:p w14:paraId="3E5FA21D" w14:textId="0EF09F71" w:rsidR="00B7668C" w:rsidRDefault="00B7668C">
          <w:pPr>
            <w:pStyle w:val="TOC2"/>
            <w:rPr>
              <w:color w:val="auto"/>
              <w:kern w:val="2"/>
              <w:szCs w:val="24"/>
              <w14:ligatures w14:val="standardContextual"/>
            </w:rPr>
          </w:pPr>
          <w:hyperlink w:anchor="_Toc238026641" w:history="1">
            <w:r w:rsidRPr="00CE7AD0">
              <w:rPr>
                <w:rStyle w:val="Hyperlink"/>
              </w:rPr>
              <w:t>2. Sentinel events relating to maternity and paediatric care</w:t>
            </w:r>
            <w:r>
              <w:rPr>
                <w:webHidden/>
              </w:rPr>
              <w:tab/>
            </w:r>
            <w:r>
              <w:rPr>
                <w:webHidden/>
              </w:rPr>
              <w:fldChar w:fldCharType="begin"/>
            </w:r>
            <w:r>
              <w:rPr>
                <w:webHidden/>
              </w:rPr>
              <w:instrText xml:space="preserve"> PAGEREF _Toc238026641 \h </w:instrText>
            </w:r>
            <w:r>
              <w:rPr>
                <w:webHidden/>
              </w:rPr>
            </w:r>
            <w:r>
              <w:rPr>
                <w:webHidden/>
              </w:rPr>
              <w:fldChar w:fldCharType="separate"/>
            </w:r>
            <w:r>
              <w:rPr>
                <w:webHidden/>
              </w:rPr>
              <w:t>23</w:t>
            </w:r>
            <w:r>
              <w:rPr>
                <w:webHidden/>
              </w:rPr>
              <w:fldChar w:fldCharType="end"/>
            </w:r>
          </w:hyperlink>
        </w:p>
        <w:p w14:paraId="75DB0F5E" w14:textId="5C633C29" w:rsidR="00B7668C" w:rsidRDefault="00B7668C">
          <w:pPr>
            <w:pStyle w:val="TOC2"/>
            <w:rPr>
              <w:color w:val="auto"/>
              <w:kern w:val="2"/>
              <w:szCs w:val="24"/>
              <w14:ligatures w14:val="standardContextual"/>
            </w:rPr>
          </w:pPr>
          <w:hyperlink w:anchor="_Toc238026642" w:history="1">
            <w:r w:rsidRPr="00CE7AD0">
              <w:rPr>
                <w:rStyle w:val="Hyperlink"/>
              </w:rPr>
              <w:t>3. Sentinel events related to mental health and self-harm</w:t>
            </w:r>
            <w:r>
              <w:rPr>
                <w:webHidden/>
              </w:rPr>
              <w:tab/>
            </w:r>
            <w:r>
              <w:rPr>
                <w:webHidden/>
              </w:rPr>
              <w:fldChar w:fldCharType="begin"/>
            </w:r>
            <w:r>
              <w:rPr>
                <w:webHidden/>
              </w:rPr>
              <w:instrText xml:space="preserve"> PAGEREF _Toc238026642 \h </w:instrText>
            </w:r>
            <w:r>
              <w:rPr>
                <w:webHidden/>
              </w:rPr>
            </w:r>
            <w:r>
              <w:rPr>
                <w:webHidden/>
              </w:rPr>
              <w:fldChar w:fldCharType="separate"/>
            </w:r>
            <w:r>
              <w:rPr>
                <w:webHidden/>
              </w:rPr>
              <w:t>30</w:t>
            </w:r>
            <w:r>
              <w:rPr>
                <w:webHidden/>
              </w:rPr>
              <w:fldChar w:fldCharType="end"/>
            </w:r>
          </w:hyperlink>
        </w:p>
        <w:p w14:paraId="6FE98B5F" w14:textId="57FE71AB" w:rsidR="00B7668C" w:rsidRDefault="00B7668C">
          <w:pPr>
            <w:pStyle w:val="TOC2"/>
            <w:rPr>
              <w:color w:val="auto"/>
              <w:kern w:val="2"/>
              <w:szCs w:val="24"/>
              <w14:ligatures w14:val="standardContextual"/>
            </w:rPr>
          </w:pPr>
          <w:hyperlink w:anchor="_Toc238026643" w:history="1">
            <w:r w:rsidRPr="00CE7AD0">
              <w:rPr>
                <w:rStyle w:val="Hyperlink"/>
              </w:rPr>
              <w:t>4. Sentinel events related to medication errors</w:t>
            </w:r>
            <w:r>
              <w:rPr>
                <w:webHidden/>
              </w:rPr>
              <w:tab/>
            </w:r>
            <w:r>
              <w:rPr>
                <w:webHidden/>
              </w:rPr>
              <w:fldChar w:fldCharType="begin"/>
            </w:r>
            <w:r>
              <w:rPr>
                <w:webHidden/>
              </w:rPr>
              <w:instrText xml:space="preserve"> PAGEREF _Toc238026643 \h </w:instrText>
            </w:r>
            <w:r>
              <w:rPr>
                <w:webHidden/>
              </w:rPr>
            </w:r>
            <w:r>
              <w:rPr>
                <w:webHidden/>
              </w:rPr>
              <w:fldChar w:fldCharType="separate"/>
            </w:r>
            <w:r>
              <w:rPr>
                <w:webHidden/>
              </w:rPr>
              <w:t>33</w:t>
            </w:r>
            <w:r>
              <w:rPr>
                <w:webHidden/>
              </w:rPr>
              <w:fldChar w:fldCharType="end"/>
            </w:r>
          </w:hyperlink>
        </w:p>
        <w:p w14:paraId="6D94B006" w14:textId="706339DC" w:rsidR="00B7668C" w:rsidRDefault="00B7668C">
          <w:pPr>
            <w:pStyle w:val="TOC1"/>
            <w:rPr>
              <w:kern w:val="2"/>
              <w:szCs w:val="24"/>
              <w:lang w:eastAsia="en-AU"/>
              <w14:ligatures w14:val="standardContextual"/>
            </w:rPr>
          </w:pPr>
          <w:hyperlink w:anchor="_Toc238026644" w:history="1">
            <w:r w:rsidRPr="00CE7AD0">
              <w:rPr>
                <w:rStyle w:val="Hyperlink"/>
              </w:rPr>
              <w:t>Recommendations from sentinel event reviews</w:t>
            </w:r>
            <w:r>
              <w:rPr>
                <w:webHidden/>
              </w:rPr>
              <w:tab/>
            </w:r>
            <w:r>
              <w:rPr>
                <w:webHidden/>
              </w:rPr>
              <w:fldChar w:fldCharType="begin"/>
            </w:r>
            <w:r>
              <w:rPr>
                <w:webHidden/>
              </w:rPr>
              <w:instrText xml:space="preserve"> PAGEREF _Toc238026644 \h </w:instrText>
            </w:r>
            <w:r>
              <w:rPr>
                <w:webHidden/>
              </w:rPr>
            </w:r>
            <w:r>
              <w:rPr>
                <w:webHidden/>
              </w:rPr>
              <w:fldChar w:fldCharType="separate"/>
            </w:r>
            <w:r>
              <w:rPr>
                <w:webHidden/>
              </w:rPr>
              <w:t>37</w:t>
            </w:r>
            <w:r>
              <w:rPr>
                <w:webHidden/>
              </w:rPr>
              <w:fldChar w:fldCharType="end"/>
            </w:r>
          </w:hyperlink>
        </w:p>
        <w:p w14:paraId="7C31C166" w14:textId="523E45A2" w:rsidR="00B7668C" w:rsidRDefault="00B7668C">
          <w:pPr>
            <w:pStyle w:val="TOC2"/>
            <w:rPr>
              <w:color w:val="auto"/>
              <w:kern w:val="2"/>
              <w:szCs w:val="24"/>
              <w14:ligatures w14:val="standardContextual"/>
            </w:rPr>
          </w:pPr>
          <w:hyperlink w:anchor="_Toc238026645" w:history="1">
            <w:r w:rsidRPr="00CE7AD0">
              <w:rPr>
                <w:rStyle w:val="Hyperlink"/>
              </w:rPr>
              <w:t>Developing recommendations</w:t>
            </w:r>
            <w:r>
              <w:rPr>
                <w:webHidden/>
              </w:rPr>
              <w:tab/>
            </w:r>
            <w:r>
              <w:rPr>
                <w:webHidden/>
              </w:rPr>
              <w:fldChar w:fldCharType="begin"/>
            </w:r>
            <w:r>
              <w:rPr>
                <w:webHidden/>
              </w:rPr>
              <w:instrText xml:space="preserve"> PAGEREF _Toc238026645 \h </w:instrText>
            </w:r>
            <w:r>
              <w:rPr>
                <w:webHidden/>
              </w:rPr>
            </w:r>
            <w:r>
              <w:rPr>
                <w:webHidden/>
              </w:rPr>
              <w:fldChar w:fldCharType="separate"/>
            </w:r>
            <w:r>
              <w:rPr>
                <w:webHidden/>
              </w:rPr>
              <w:t>37</w:t>
            </w:r>
            <w:r>
              <w:rPr>
                <w:webHidden/>
              </w:rPr>
              <w:fldChar w:fldCharType="end"/>
            </w:r>
          </w:hyperlink>
        </w:p>
        <w:p w14:paraId="1BD56390" w14:textId="00560F32" w:rsidR="00B7668C" w:rsidRDefault="00B7668C">
          <w:pPr>
            <w:pStyle w:val="TOC2"/>
            <w:rPr>
              <w:color w:val="auto"/>
              <w:kern w:val="2"/>
              <w:szCs w:val="24"/>
              <w14:ligatures w14:val="standardContextual"/>
            </w:rPr>
          </w:pPr>
          <w:hyperlink w:anchor="_Toc238026646" w:history="1">
            <w:r w:rsidRPr="00CE7AD0">
              <w:rPr>
                <w:rStyle w:val="Hyperlink"/>
              </w:rPr>
              <w:t>Writing recommendations</w:t>
            </w:r>
            <w:r>
              <w:rPr>
                <w:webHidden/>
              </w:rPr>
              <w:tab/>
            </w:r>
            <w:r>
              <w:rPr>
                <w:webHidden/>
              </w:rPr>
              <w:fldChar w:fldCharType="begin"/>
            </w:r>
            <w:r>
              <w:rPr>
                <w:webHidden/>
              </w:rPr>
              <w:instrText xml:space="preserve"> PAGEREF _Toc238026646 \h </w:instrText>
            </w:r>
            <w:r>
              <w:rPr>
                <w:webHidden/>
              </w:rPr>
            </w:r>
            <w:r>
              <w:rPr>
                <w:webHidden/>
              </w:rPr>
              <w:fldChar w:fldCharType="separate"/>
            </w:r>
            <w:r>
              <w:rPr>
                <w:webHidden/>
              </w:rPr>
              <w:t>37</w:t>
            </w:r>
            <w:r>
              <w:rPr>
                <w:webHidden/>
              </w:rPr>
              <w:fldChar w:fldCharType="end"/>
            </w:r>
          </w:hyperlink>
        </w:p>
        <w:p w14:paraId="64594861" w14:textId="6B60BC0A" w:rsidR="00B7668C" w:rsidRDefault="00B7668C">
          <w:pPr>
            <w:pStyle w:val="TOC2"/>
            <w:rPr>
              <w:color w:val="auto"/>
              <w:kern w:val="2"/>
              <w:szCs w:val="24"/>
              <w14:ligatures w14:val="standardContextual"/>
            </w:rPr>
          </w:pPr>
          <w:hyperlink w:anchor="_Toc238026647" w:history="1">
            <w:r w:rsidRPr="00CE7AD0">
              <w:rPr>
                <w:rStyle w:val="Hyperlink"/>
              </w:rPr>
              <w:t>Recommendation strength</w:t>
            </w:r>
            <w:r>
              <w:rPr>
                <w:webHidden/>
              </w:rPr>
              <w:tab/>
            </w:r>
            <w:r>
              <w:rPr>
                <w:webHidden/>
              </w:rPr>
              <w:fldChar w:fldCharType="begin"/>
            </w:r>
            <w:r>
              <w:rPr>
                <w:webHidden/>
              </w:rPr>
              <w:instrText xml:space="preserve"> PAGEREF _Toc238026647 \h </w:instrText>
            </w:r>
            <w:r>
              <w:rPr>
                <w:webHidden/>
              </w:rPr>
            </w:r>
            <w:r>
              <w:rPr>
                <w:webHidden/>
              </w:rPr>
              <w:fldChar w:fldCharType="separate"/>
            </w:r>
            <w:r>
              <w:rPr>
                <w:webHidden/>
              </w:rPr>
              <w:t>37</w:t>
            </w:r>
            <w:r>
              <w:rPr>
                <w:webHidden/>
              </w:rPr>
              <w:fldChar w:fldCharType="end"/>
            </w:r>
          </w:hyperlink>
        </w:p>
        <w:p w14:paraId="503A8C80" w14:textId="0FC8B51A" w:rsidR="00B7668C" w:rsidRDefault="00B7668C">
          <w:pPr>
            <w:pStyle w:val="TOC1"/>
            <w:rPr>
              <w:kern w:val="2"/>
              <w:szCs w:val="24"/>
              <w:lang w:eastAsia="en-AU"/>
              <w14:ligatures w14:val="standardContextual"/>
            </w:rPr>
          </w:pPr>
          <w:hyperlink w:anchor="_Toc238026648" w:history="1">
            <w:r w:rsidRPr="00CE7AD0">
              <w:rPr>
                <w:rStyle w:val="Hyperlink"/>
              </w:rPr>
              <w:t>Engaging with impacted consumers, families and carers</w:t>
            </w:r>
            <w:r>
              <w:rPr>
                <w:webHidden/>
              </w:rPr>
              <w:tab/>
            </w:r>
            <w:r>
              <w:rPr>
                <w:webHidden/>
              </w:rPr>
              <w:fldChar w:fldCharType="begin"/>
            </w:r>
            <w:r>
              <w:rPr>
                <w:webHidden/>
              </w:rPr>
              <w:instrText xml:space="preserve"> PAGEREF _Toc238026648 \h </w:instrText>
            </w:r>
            <w:r>
              <w:rPr>
                <w:webHidden/>
              </w:rPr>
            </w:r>
            <w:r>
              <w:rPr>
                <w:webHidden/>
              </w:rPr>
              <w:fldChar w:fldCharType="separate"/>
            </w:r>
            <w:r>
              <w:rPr>
                <w:webHidden/>
              </w:rPr>
              <w:t>40</w:t>
            </w:r>
            <w:r>
              <w:rPr>
                <w:webHidden/>
              </w:rPr>
              <w:fldChar w:fldCharType="end"/>
            </w:r>
          </w:hyperlink>
        </w:p>
        <w:p w14:paraId="712CED7A" w14:textId="069F2626" w:rsidR="00B7668C" w:rsidRDefault="00B7668C">
          <w:pPr>
            <w:pStyle w:val="TOC2"/>
            <w:rPr>
              <w:color w:val="auto"/>
              <w:kern w:val="2"/>
              <w:szCs w:val="24"/>
              <w14:ligatures w14:val="standardContextual"/>
            </w:rPr>
          </w:pPr>
          <w:hyperlink w:anchor="_Toc238026649" w:history="1">
            <w:r w:rsidRPr="00CE7AD0">
              <w:rPr>
                <w:rStyle w:val="Hyperlink"/>
              </w:rPr>
              <w:t>Healthcare Complaints Analysis Tool</w:t>
            </w:r>
            <w:r>
              <w:rPr>
                <w:webHidden/>
              </w:rPr>
              <w:tab/>
            </w:r>
            <w:r>
              <w:rPr>
                <w:webHidden/>
              </w:rPr>
              <w:fldChar w:fldCharType="begin"/>
            </w:r>
            <w:r>
              <w:rPr>
                <w:webHidden/>
              </w:rPr>
              <w:instrText xml:space="preserve"> PAGEREF _Toc238026649 \h </w:instrText>
            </w:r>
            <w:r>
              <w:rPr>
                <w:webHidden/>
              </w:rPr>
            </w:r>
            <w:r>
              <w:rPr>
                <w:webHidden/>
              </w:rPr>
              <w:fldChar w:fldCharType="separate"/>
            </w:r>
            <w:r>
              <w:rPr>
                <w:webHidden/>
              </w:rPr>
              <w:t>40</w:t>
            </w:r>
            <w:r>
              <w:rPr>
                <w:webHidden/>
              </w:rPr>
              <w:fldChar w:fldCharType="end"/>
            </w:r>
          </w:hyperlink>
        </w:p>
        <w:p w14:paraId="639F5F7F" w14:textId="36ECACA8" w:rsidR="00B7668C" w:rsidRDefault="00B7668C">
          <w:pPr>
            <w:pStyle w:val="TOC2"/>
            <w:rPr>
              <w:color w:val="auto"/>
              <w:kern w:val="2"/>
              <w:szCs w:val="24"/>
              <w14:ligatures w14:val="standardContextual"/>
            </w:rPr>
          </w:pPr>
          <w:hyperlink w:anchor="_Toc238026650" w:history="1">
            <w:r w:rsidRPr="00CE7AD0">
              <w:rPr>
                <w:rStyle w:val="Hyperlink"/>
              </w:rPr>
              <w:t>Open disclosure</w:t>
            </w:r>
            <w:r>
              <w:rPr>
                <w:webHidden/>
              </w:rPr>
              <w:tab/>
            </w:r>
            <w:r>
              <w:rPr>
                <w:webHidden/>
              </w:rPr>
              <w:fldChar w:fldCharType="begin"/>
            </w:r>
            <w:r>
              <w:rPr>
                <w:webHidden/>
              </w:rPr>
              <w:instrText xml:space="preserve"> PAGEREF _Toc238026650 \h </w:instrText>
            </w:r>
            <w:r>
              <w:rPr>
                <w:webHidden/>
              </w:rPr>
            </w:r>
            <w:r>
              <w:rPr>
                <w:webHidden/>
              </w:rPr>
              <w:fldChar w:fldCharType="separate"/>
            </w:r>
            <w:r>
              <w:rPr>
                <w:webHidden/>
              </w:rPr>
              <w:t>41</w:t>
            </w:r>
            <w:r>
              <w:rPr>
                <w:webHidden/>
              </w:rPr>
              <w:fldChar w:fldCharType="end"/>
            </w:r>
          </w:hyperlink>
        </w:p>
        <w:p w14:paraId="741F86D7" w14:textId="4C91AC98" w:rsidR="00B7668C" w:rsidRDefault="00B7668C">
          <w:pPr>
            <w:pStyle w:val="TOC2"/>
            <w:rPr>
              <w:color w:val="auto"/>
              <w:kern w:val="2"/>
              <w:szCs w:val="24"/>
              <w14:ligatures w14:val="standardContextual"/>
            </w:rPr>
          </w:pPr>
          <w:hyperlink w:anchor="_Toc238026651" w:history="1">
            <w:r w:rsidRPr="00CE7AD0">
              <w:rPr>
                <w:rStyle w:val="Hyperlink"/>
              </w:rPr>
              <w:t>Statutory duty of candour</w:t>
            </w:r>
            <w:r>
              <w:rPr>
                <w:webHidden/>
              </w:rPr>
              <w:tab/>
            </w:r>
            <w:r>
              <w:rPr>
                <w:webHidden/>
              </w:rPr>
              <w:fldChar w:fldCharType="begin"/>
            </w:r>
            <w:r>
              <w:rPr>
                <w:webHidden/>
              </w:rPr>
              <w:instrText xml:space="preserve"> PAGEREF _Toc238026651 \h </w:instrText>
            </w:r>
            <w:r>
              <w:rPr>
                <w:webHidden/>
              </w:rPr>
            </w:r>
            <w:r>
              <w:rPr>
                <w:webHidden/>
              </w:rPr>
              <w:fldChar w:fldCharType="separate"/>
            </w:r>
            <w:r>
              <w:rPr>
                <w:webHidden/>
              </w:rPr>
              <w:t>42</w:t>
            </w:r>
            <w:r>
              <w:rPr>
                <w:webHidden/>
              </w:rPr>
              <w:fldChar w:fldCharType="end"/>
            </w:r>
          </w:hyperlink>
        </w:p>
        <w:p w14:paraId="7884E209" w14:textId="42C371C6" w:rsidR="00B7668C" w:rsidRDefault="00B7668C">
          <w:pPr>
            <w:pStyle w:val="TOC1"/>
            <w:rPr>
              <w:kern w:val="2"/>
              <w:szCs w:val="24"/>
              <w:lang w:eastAsia="en-AU"/>
              <w14:ligatures w14:val="standardContextual"/>
            </w:rPr>
          </w:pPr>
          <w:hyperlink w:anchor="_Toc238026652" w:history="1">
            <w:r w:rsidRPr="00CE7AD0">
              <w:rPr>
                <w:rStyle w:val="Hyperlink"/>
              </w:rPr>
              <w:t>Further reading: improvement initiatives and resources</w:t>
            </w:r>
            <w:r>
              <w:rPr>
                <w:webHidden/>
              </w:rPr>
              <w:tab/>
            </w:r>
            <w:r>
              <w:rPr>
                <w:webHidden/>
              </w:rPr>
              <w:fldChar w:fldCharType="begin"/>
            </w:r>
            <w:r>
              <w:rPr>
                <w:webHidden/>
              </w:rPr>
              <w:instrText xml:space="preserve"> PAGEREF _Toc238026652 \h </w:instrText>
            </w:r>
            <w:r>
              <w:rPr>
                <w:webHidden/>
              </w:rPr>
            </w:r>
            <w:r>
              <w:rPr>
                <w:webHidden/>
              </w:rPr>
              <w:fldChar w:fldCharType="separate"/>
            </w:r>
            <w:r>
              <w:rPr>
                <w:webHidden/>
              </w:rPr>
              <w:t>46</w:t>
            </w:r>
            <w:r>
              <w:rPr>
                <w:webHidden/>
              </w:rPr>
              <w:fldChar w:fldCharType="end"/>
            </w:r>
          </w:hyperlink>
        </w:p>
        <w:p w14:paraId="1CE05DE5" w14:textId="4B334428" w:rsidR="00B7668C" w:rsidRDefault="00B7668C">
          <w:pPr>
            <w:pStyle w:val="TOC2"/>
            <w:rPr>
              <w:color w:val="auto"/>
              <w:kern w:val="2"/>
              <w:szCs w:val="24"/>
              <w14:ligatures w14:val="standardContextual"/>
            </w:rPr>
          </w:pPr>
          <w:hyperlink w:anchor="_Toc238026653" w:history="1">
            <w:r w:rsidRPr="00CE7AD0">
              <w:rPr>
                <w:rStyle w:val="Hyperlink"/>
              </w:rPr>
              <w:t>Resources for health services and leaders</w:t>
            </w:r>
            <w:r>
              <w:rPr>
                <w:webHidden/>
              </w:rPr>
              <w:tab/>
            </w:r>
            <w:r>
              <w:rPr>
                <w:webHidden/>
              </w:rPr>
              <w:fldChar w:fldCharType="begin"/>
            </w:r>
            <w:r>
              <w:rPr>
                <w:webHidden/>
              </w:rPr>
              <w:instrText xml:space="preserve"> PAGEREF _Toc238026653 \h </w:instrText>
            </w:r>
            <w:r>
              <w:rPr>
                <w:webHidden/>
              </w:rPr>
            </w:r>
            <w:r>
              <w:rPr>
                <w:webHidden/>
              </w:rPr>
              <w:fldChar w:fldCharType="separate"/>
            </w:r>
            <w:r>
              <w:rPr>
                <w:webHidden/>
              </w:rPr>
              <w:t>46</w:t>
            </w:r>
            <w:r>
              <w:rPr>
                <w:webHidden/>
              </w:rPr>
              <w:fldChar w:fldCharType="end"/>
            </w:r>
          </w:hyperlink>
        </w:p>
        <w:p w14:paraId="667EDFF3" w14:textId="5D6C6AB3" w:rsidR="00B7668C" w:rsidRDefault="00B7668C">
          <w:pPr>
            <w:pStyle w:val="TOC2"/>
            <w:rPr>
              <w:color w:val="auto"/>
              <w:kern w:val="2"/>
              <w:szCs w:val="24"/>
              <w14:ligatures w14:val="standardContextual"/>
            </w:rPr>
          </w:pPr>
          <w:hyperlink w:anchor="_Toc238026654" w:history="1">
            <w:r w:rsidRPr="00CE7AD0">
              <w:rPr>
                <w:rStyle w:val="Hyperlink"/>
              </w:rPr>
              <w:t>Resources for patients, families and carers</w:t>
            </w:r>
            <w:r>
              <w:rPr>
                <w:webHidden/>
              </w:rPr>
              <w:tab/>
            </w:r>
            <w:r>
              <w:rPr>
                <w:webHidden/>
              </w:rPr>
              <w:fldChar w:fldCharType="begin"/>
            </w:r>
            <w:r>
              <w:rPr>
                <w:webHidden/>
              </w:rPr>
              <w:instrText xml:space="preserve"> PAGEREF _Toc238026654 \h </w:instrText>
            </w:r>
            <w:r>
              <w:rPr>
                <w:webHidden/>
              </w:rPr>
            </w:r>
            <w:r>
              <w:rPr>
                <w:webHidden/>
              </w:rPr>
              <w:fldChar w:fldCharType="separate"/>
            </w:r>
            <w:r>
              <w:rPr>
                <w:webHidden/>
              </w:rPr>
              <w:t>47</w:t>
            </w:r>
            <w:r>
              <w:rPr>
                <w:webHidden/>
              </w:rPr>
              <w:fldChar w:fldCharType="end"/>
            </w:r>
          </w:hyperlink>
        </w:p>
        <w:p w14:paraId="2C624B3D" w14:textId="58E7F0A5" w:rsidR="00B7668C" w:rsidRDefault="00B7668C">
          <w:pPr>
            <w:pStyle w:val="TOC1"/>
            <w:rPr>
              <w:kern w:val="2"/>
              <w:szCs w:val="24"/>
              <w:lang w:eastAsia="en-AU"/>
              <w14:ligatures w14:val="standardContextual"/>
            </w:rPr>
          </w:pPr>
          <w:hyperlink w:anchor="_Toc238026655" w:history="1">
            <w:r w:rsidRPr="00CE7AD0">
              <w:rPr>
                <w:rStyle w:val="Hyperlink"/>
              </w:rPr>
              <w:t>Appendix 1: Data supplement</w:t>
            </w:r>
            <w:r>
              <w:rPr>
                <w:webHidden/>
              </w:rPr>
              <w:tab/>
            </w:r>
            <w:r>
              <w:rPr>
                <w:webHidden/>
              </w:rPr>
              <w:fldChar w:fldCharType="begin"/>
            </w:r>
            <w:r>
              <w:rPr>
                <w:webHidden/>
              </w:rPr>
              <w:instrText xml:space="preserve"> PAGEREF _Toc238026655 \h </w:instrText>
            </w:r>
            <w:r>
              <w:rPr>
                <w:webHidden/>
              </w:rPr>
            </w:r>
            <w:r>
              <w:rPr>
                <w:webHidden/>
              </w:rPr>
              <w:fldChar w:fldCharType="separate"/>
            </w:r>
            <w:r>
              <w:rPr>
                <w:webHidden/>
              </w:rPr>
              <w:t>48</w:t>
            </w:r>
            <w:r>
              <w:rPr>
                <w:webHidden/>
              </w:rPr>
              <w:fldChar w:fldCharType="end"/>
            </w:r>
          </w:hyperlink>
        </w:p>
        <w:p w14:paraId="51ED3475" w14:textId="25EEA154" w:rsidR="00B7668C" w:rsidRDefault="00B7668C">
          <w:pPr>
            <w:pStyle w:val="TOC2"/>
            <w:rPr>
              <w:color w:val="auto"/>
              <w:kern w:val="2"/>
              <w:szCs w:val="24"/>
              <w14:ligatures w14:val="standardContextual"/>
            </w:rPr>
          </w:pPr>
          <w:hyperlink w:anchor="_Toc238026656" w:history="1">
            <w:r w:rsidRPr="00CE7AD0">
              <w:rPr>
                <w:rStyle w:val="Hyperlink"/>
              </w:rPr>
              <w:t>Sentinel events reporting by category and subcategory</w:t>
            </w:r>
            <w:r>
              <w:rPr>
                <w:webHidden/>
              </w:rPr>
              <w:tab/>
            </w:r>
            <w:r>
              <w:rPr>
                <w:webHidden/>
              </w:rPr>
              <w:fldChar w:fldCharType="begin"/>
            </w:r>
            <w:r>
              <w:rPr>
                <w:webHidden/>
              </w:rPr>
              <w:instrText xml:space="preserve"> PAGEREF _Toc238026656 \h </w:instrText>
            </w:r>
            <w:r>
              <w:rPr>
                <w:webHidden/>
              </w:rPr>
            </w:r>
            <w:r>
              <w:rPr>
                <w:webHidden/>
              </w:rPr>
              <w:fldChar w:fldCharType="separate"/>
            </w:r>
            <w:r>
              <w:rPr>
                <w:webHidden/>
              </w:rPr>
              <w:t>48</w:t>
            </w:r>
            <w:r>
              <w:rPr>
                <w:webHidden/>
              </w:rPr>
              <w:fldChar w:fldCharType="end"/>
            </w:r>
          </w:hyperlink>
        </w:p>
        <w:p w14:paraId="1402496B" w14:textId="4E204E81" w:rsidR="00B7668C" w:rsidRDefault="00B7668C">
          <w:pPr>
            <w:pStyle w:val="TOC2"/>
            <w:rPr>
              <w:color w:val="auto"/>
              <w:kern w:val="2"/>
              <w:szCs w:val="24"/>
              <w14:ligatures w14:val="standardContextual"/>
            </w:rPr>
          </w:pPr>
          <w:hyperlink w:anchor="_Toc238026657" w:history="1">
            <w:r w:rsidRPr="00CE7AD0">
              <w:rPr>
                <w:rStyle w:val="Hyperlink"/>
              </w:rPr>
              <w:t>Age of affected patient</w:t>
            </w:r>
            <w:r>
              <w:rPr>
                <w:webHidden/>
              </w:rPr>
              <w:tab/>
            </w:r>
            <w:r>
              <w:rPr>
                <w:webHidden/>
              </w:rPr>
              <w:fldChar w:fldCharType="begin"/>
            </w:r>
            <w:r>
              <w:rPr>
                <w:webHidden/>
              </w:rPr>
              <w:instrText xml:space="preserve"> PAGEREF _Toc238026657 \h </w:instrText>
            </w:r>
            <w:r>
              <w:rPr>
                <w:webHidden/>
              </w:rPr>
            </w:r>
            <w:r>
              <w:rPr>
                <w:webHidden/>
              </w:rPr>
              <w:fldChar w:fldCharType="separate"/>
            </w:r>
            <w:r>
              <w:rPr>
                <w:webHidden/>
              </w:rPr>
              <w:t>50</w:t>
            </w:r>
            <w:r>
              <w:rPr>
                <w:webHidden/>
              </w:rPr>
              <w:fldChar w:fldCharType="end"/>
            </w:r>
          </w:hyperlink>
        </w:p>
        <w:p w14:paraId="36C74A57" w14:textId="2343152A" w:rsidR="00B7668C" w:rsidRDefault="00B7668C">
          <w:pPr>
            <w:pStyle w:val="TOC2"/>
            <w:rPr>
              <w:color w:val="auto"/>
              <w:kern w:val="2"/>
              <w:szCs w:val="24"/>
              <w14:ligatures w14:val="standardContextual"/>
            </w:rPr>
          </w:pPr>
          <w:hyperlink w:anchor="_Toc238026658" w:history="1">
            <w:r w:rsidRPr="00CE7AD0">
              <w:rPr>
                <w:rStyle w:val="Hyperlink"/>
              </w:rPr>
              <w:t>Top admitting specialties</w:t>
            </w:r>
            <w:r>
              <w:rPr>
                <w:webHidden/>
              </w:rPr>
              <w:tab/>
            </w:r>
            <w:r>
              <w:rPr>
                <w:webHidden/>
              </w:rPr>
              <w:fldChar w:fldCharType="begin"/>
            </w:r>
            <w:r>
              <w:rPr>
                <w:webHidden/>
              </w:rPr>
              <w:instrText xml:space="preserve"> PAGEREF _Toc238026658 \h </w:instrText>
            </w:r>
            <w:r>
              <w:rPr>
                <w:webHidden/>
              </w:rPr>
            </w:r>
            <w:r>
              <w:rPr>
                <w:webHidden/>
              </w:rPr>
              <w:fldChar w:fldCharType="separate"/>
            </w:r>
            <w:r>
              <w:rPr>
                <w:webHidden/>
              </w:rPr>
              <w:t>51</w:t>
            </w:r>
            <w:r>
              <w:rPr>
                <w:webHidden/>
              </w:rPr>
              <w:fldChar w:fldCharType="end"/>
            </w:r>
          </w:hyperlink>
        </w:p>
        <w:p w14:paraId="167BB57D" w14:textId="24FDF4D0" w:rsidR="00B7668C" w:rsidRDefault="00B7668C">
          <w:pPr>
            <w:pStyle w:val="TOC2"/>
            <w:rPr>
              <w:color w:val="auto"/>
              <w:kern w:val="2"/>
              <w:szCs w:val="24"/>
              <w14:ligatures w14:val="standardContextual"/>
            </w:rPr>
          </w:pPr>
          <w:hyperlink w:anchor="_Toc238026659" w:history="1">
            <w:r w:rsidRPr="00CE7AD0">
              <w:rPr>
                <w:rStyle w:val="Hyperlink"/>
              </w:rPr>
              <w:t>Sentinel event peer group and location</w:t>
            </w:r>
            <w:r>
              <w:rPr>
                <w:webHidden/>
              </w:rPr>
              <w:tab/>
            </w:r>
            <w:r>
              <w:rPr>
                <w:webHidden/>
              </w:rPr>
              <w:fldChar w:fldCharType="begin"/>
            </w:r>
            <w:r>
              <w:rPr>
                <w:webHidden/>
              </w:rPr>
              <w:instrText xml:space="preserve"> PAGEREF _Toc238026659 \h </w:instrText>
            </w:r>
            <w:r>
              <w:rPr>
                <w:webHidden/>
              </w:rPr>
            </w:r>
            <w:r>
              <w:rPr>
                <w:webHidden/>
              </w:rPr>
              <w:fldChar w:fldCharType="separate"/>
            </w:r>
            <w:r>
              <w:rPr>
                <w:webHidden/>
              </w:rPr>
              <w:t>52</w:t>
            </w:r>
            <w:r>
              <w:rPr>
                <w:webHidden/>
              </w:rPr>
              <w:fldChar w:fldCharType="end"/>
            </w:r>
          </w:hyperlink>
        </w:p>
        <w:p w14:paraId="22EE33A2" w14:textId="16BFAD56" w:rsidR="00B7668C" w:rsidRDefault="00B7668C">
          <w:pPr>
            <w:pStyle w:val="TOC2"/>
            <w:rPr>
              <w:color w:val="auto"/>
              <w:kern w:val="2"/>
              <w:szCs w:val="24"/>
              <w14:ligatures w14:val="standardContextual"/>
            </w:rPr>
          </w:pPr>
          <w:hyperlink w:anchor="_Toc238026660" w:history="1">
            <w:r w:rsidRPr="00CE7AD0">
              <w:rPr>
                <w:rStyle w:val="Hyperlink"/>
              </w:rPr>
              <w:t>Time to notify sentinel events</w:t>
            </w:r>
            <w:r>
              <w:rPr>
                <w:webHidden/>
              </w:rPr>
              <w:tab/>
            </w:r>
            <w:r>
              <w:rPr>
                <w:webHidden/>
              </w:rPr>
              <w:fldChar w:fldCharType="begin"/>
            </w:r>
            <w:r>
              <w:rPr>
                <w:webHidden/>
              </w:rPr>
              <w:instrText xml:space="preserve"> PAGEREF _Toc238026660 \h </w:instrText>
            </w:r>
            <w:r>
              <w:rPr>
                <w:webHidden/>
              </w:rPr>
            </w:r>
            <w:r>
              <w:rPr>
                <w:webHidden/>
              </w:rPr>
              <w:fldChar w:fldCharType="separate"/>
            </w:r>
            <w:r>
              <w:rPr>
                <w:webHidden/>
              </w:rPr>
              <w:t>53</w:t>
            </w:r>
            <w:r>
              <w:rPr>
                <w:webHidden/>
              </w:rPr>
              <w:fldChar w:fldCharType="end"/>
            </w:r>
          </w:hyperlink>
        </w:p>
        <w:p w14:paraId="273FA2AC" w14:textId="31F57742" w:rsidR="00B7668C" w:rsidRDefault="00B7668C">
          <w:pPr>
            <w:pStyle w:val="TOC2"/>
            <w:rPr>
              <w:color w:val="auto"/>
              <w:kern w:val="2"/>
              <w:szCs w:val="24"/>
              <w14:ligatures w14:val="standardContextual"/>
            </w:rPr>
          </w:pPr>
          <w:hyperlink w:anchor="_Toc238026661" w:history="1">
            <w:r w:rsidRPr="00CE7AD0">
              <w:rPr>
                <w:rStyle w:val="Hyperlink"/>
              </w:rPr>
              <w:t>Time to review sentinel events</w:t>
            </w:r>
            <w:r>
              <w:rPr>
                <w:webHidden/>
              </w:rPr>
              <w:tab/>
            </w:r>
            <w:r>
              <w:rPr>
                <w:webHidden/>
              </w:rPr>
              <w:fldChar w:fldCharType="begin"/>
            </w:r>
            <w:r>
              <w:rPr>
                <w:webHidden/>
              </w:rPr>
              <w:instrText xml:space="preserve"> PAGEREF _Toc238026661 \h </w:instrText>
            </w:r>
            <w:r>
              <w:rPr>
                <w:webHidden/>
              </w:rPr>
            </w:r>
            <w:r>
              <w:rPr>
                <w:webHidden/>
              </w:rPr>
              <w:fldChar w:fldCharType="separate"/>
            </w:r>
            <w:r>
              <w:rPr>
                <w:webHidden/>
              </w:rPr>
              <w:t>54</w:t>
            </w:r>
            <w:r>
              <w:rPr>
                <w:webHidden/>
              </w:rPr>
              <w:fldChar w:fldCharType="end"/>
            </w:r>
          </w:hyperlink>
        </w:p>
        <w:p w14:paraId="4F506BA3" w14:textId="0CC4CA9A" w:rsidR="00B7668C" w:rsidRDefault="00B7668C">
          <w:pPr>
            <w:pStyle w:val="TOC1"/>
            <w:rPr>
              <w:kern w:val="2"/>
              <w:szCs w:val="24"/>
              <w:lang w:eastAsia="en-AU"/>
              <w14:ligatures w14:val="standardContextual"/>
            </w:rPr>
          </w:pPr>
          <w:hyperlink w:anchor="_Toc238026662" w:history="1">
            <w:r w:rsidRPr="00CE7AD0">
              <w:rPr>
                <w:rStyle w:val="Hyperlink"/>
              </w:rPr>
              <w:t>Appendix 2: Sentinel event identification and review process</w:t>
            </w:r>
            <w:r>
              <w:rPr>
                <w:webHidden/>
              </w:rPr>
              <w:tab/>
            </w:r>
            <w:r>
              <w:rPr>
                <w:webHidden/>
              </w:rPr>
              <w:fldChar w:fldCharType="begin"/>
            </w:r>
            <w:r>
              <w:rPr>
                <w:webHidden/>
              </w:rPr>
              <w:instrText xml:space="preserve"> PAGEREF _Toc238026662 \h </w:instrText>
            </w:r>
            <w:r>
              <w:rPr>
                <w:webHidden/>
              </w:rPr>
            </w:r>
            <w:r>
              <w:rPr>
                <w:webHidden/>
              </w:rPr>
              <w:fldChar w:fldCharType="separate"/>
            </w:r>
            <w:r>
              <w:rPr>
                <w:webHidden/>
              </w:rPr>
              <w:t>56</w:t>
            </w:r>
            <w:r>
              <w:rPr>
                <w:webHidden/>
              </w:rPr>
              <w:fldChar w:fldCharType="end"/>
            </w:r>
          </w:hyperlink>
        </w:p>
        <w:p w14:paraId="5B3E2D2C" w14:textId="4EE00829" w:rsidR="00B7668C" w:rsidRDefault="00B7668C">
          <w:pPr>
            <w:pStyle w:val="TOC2"/>
            <w:rPr>
              <w:color w:val="auto"/>
              <w:kern w:val="2"/>
              <w:szCs w:val="24"/>
              <w14:ligatures w14:val="standardContextual"/>
            </w:rPr>
          </w:pPr>
          <w:hyperlink w:anchor="_Toc238026663" w:history="1">
            <w:r w:rsidRPr="00CE7AD0">
              <w:rPr>
                <w:rStyle w:val="Hyperlink"/>
              </w:rPr>
              <w:t>Sentinel event identification</w:t>
            </w:r>
            <w:r>
              <w:rPr>
                <w:webHidden/>
              </w:rPr>
              <w:tab/>
            </w:r>
            <w:r>
              <w:rPr>
                <w:webHidden/>
              </w:rPr>
              <w:fldChar w:fldCharType="begin"/>
            </w:r>
            <w:r>
              <w:rPr>
                <w:webHidden/>
              </w:rPr>
              <w:instrText xml:space="preserve"> PAGEREF _Toc238026663 \h </w:instrText>
            </w:r>
            <w:r>
              <w:rPr>
                <w:webHidden/>
              </w:rPr>
            </w:r>
            <w:r>
              <w:rPr>
                <w:webHidden/>
              </w:rPr>
              <w:fldChar w:fldCharType="separate"/>
            </w:r>
            <w:r>
              <w:rPr>
                <w:webHidden/>
              </w:rPr>
              <w:t>56</w:t>
            </w:r>
            <w:r>
              <w:rPr>
                <w:webHidden/>
              </w:rPr>
              <w:fldChar w:fldCharType="end"/>
            </w:r>
          </w:hyperlink>
        </w:p>
        <w:p w14:paraId="7B57CC78" w14:textId="102F7959" w:rsidR="00B7668C" w:rsidRDefault="00B7668C">
          <w:pPr>
            <w:pStyle w:val="TOC2"/>
            <w:rPr>
              <w:color w:val="auto"/>
              <w:kern w:val="2"/>
              <w:szCs w:val="24"/>
              <w14:ligatures w14:val="standardContextual"/>
            </w:rPr>
          </w:pPr>
          <w:hyperlink w:anchor="_Toc238026664" w:history="1">
            <w:r w:rsidRPr="00CE7AD0">
              <w:rPr>
                <w:rStyle w:val="Hyperlink"/>
              </w:rPr>
              <w:t>The sentinel events review process</w:t>
            </w:r>
            <w:r>
              <w:rPr>
                <w:webHidden/>
              </w:rPr>
              <w:tab/>
            </w:r>
            <w:r>
              <w:rPr>
                <w:webHidden/>
              </w:rPr>
              <w:fldChar w:fldCharType="begin"/>
            </w:r>
            <w:r>
              <w:rPr>
                <w:webHidden/>
              </w:rPr>
              <w:instrText xml:space="preserve"> PAGEREF _Toc238026664 \h </w:instrText>
            </w:r>
            <w:r>
              <w:rPr>
                <w:webHidden/>
              </w:rPr>
            </w:r>
            <w:r>
              <w:rPr>
                <w:webHidden/>
              </w:rPr>
              <w:fldChar w:fldCharType="separate"/>
            </w:r>
            <w:r>
              <w:rPr>
                <w:webHidden/>
              </w:rPr>
              <w:t>57</w:t>
            </w:r>
            <w:r>
              <w:rPr>
                <w:webHidden/>
              </w:rPr>
              <w:fldChar w:fldCharType="end"/>
            </w:r>
          </w:hyperlink>
        </w:p>
        <w:p w14:paraId="724C0F7A" w14:textId="5C8EBA78" w:rsidR="00B7668C" w:rsidRDefault="00B7668C">
          <w:pPr>
            <w:pStyle w:val="TOC2"/>
            <w:rPr>
              <w:color w:val="auto"/>
              <w:kern w:val="2"/>
              <w:szCs w:val="24"/>
              <w14:ligatures w14:val="standardContextual"/>
            </w:rPr>
          </w:pPr>
          <w:hyperlink w:anchor="_Toc238026665" w:history="1">
            <w:r w:rsidRPr="00CE7AD0">
              <w:rPr>
                <w:rStyle w:val="Hyperlink"/>
              </w:rPr>
              <w:t>Developing recommendations</w:t>
            </w:r>
            <w:r>
              <w:rPr>
                <w:webHidden/>
              </w:rPr>
              <w:tab/>
            </w:r>
            <w:r>
              <w:rPr>
                <w:webHidden/>
              </w:rPr>
              <w:fldChar w:fldCharType="begin"/>
            </w:r>
            <w:r>
              <w:rPr>
                <w:webHidden/>
              </w:rPr>
              <w:instrText xml:space="preserve"> PAGEREF _Toc238026665 \h </w:instrText>
            </w:r>
            <w:r>
              <w:rPr>
                <w:webHidden/>
              </w:rPr>
            </w:r>
            <w:r>
              <w:rPr>
                <w:webHidden/>
              </w:rPr>
              <w:fldChar w:fldCharType="separate"/>
            </w:r>
            <w:r>
              <w:rPr>
                <w:webHidden/>
              </w:rPr>
              <w:t>57</w:t>
            </w:r>
            <w:r>
              <w:rPr>
                <w:webHidden/>
              </w:rPr>
              <w:fldChar w:fldCharType="end"/>
            </w:r>
          </w:hyperlink>
        </w:p>
        <w:p w14:paraId="6AFAAD22" w14:textId="5CB24394" w:rsidR="00B7668C" w:rsidRDefault="00B7668C">
          <w:pPr>
            <w:pStyle w:val="TOC1"/>
            <w:rPr>
              <w:kern w:val="2"/>
              <w:szCs w:val="24"/>
              <w:lang w:eastAsia="en-AU"/>
              <w14:ligatures w14:val="standardContextual"/>
            </w:rPr>
          </w:pPr>
          <w:hyperlink w:anchor="_Toc238026666" w:history="1">
            <w:r w:rsidRPr="00CE7AD0">
              <w:rPr>
                <w:rStyle w:val="Hyperlink"/>
              </w:rPr>
              <w:t xml:space="preserve">Appendix 3: </w:t>
            </w:r>
            <w:r w:rsidRPr="003E550E">
              <w:rPr>
                <w:rStyle w:val="Hyperlink"/>
                <w:sz w:val="2"/>
                <w:szCs w:val="2"/>
              </w:rPr>
              <w:t>Guide</w:t>
            </w:r>
            <w:r w:rsidRPr="00CE7AD0">
              <w:rPr>
                <w:rStyle w:val="Hyperlink"/>
              </w:rPr>
              <w:t xml:space="preserve"> to recommendation strength</w:t>
            </w:r>
            <w:r>
              <w:rPr>
                <w:webHidden/>
              </w:rPr>
              <w:tab/>
            </w:r>
            <w:r>
              <w:rPr>
                <w:webHidden/>
              </w:rPr>
              <w:fldChar w:fldCharType="begin"/>
            </w:r>
            <w:r>
              <w:rPr>
                <w:webHidden/>
              </w:rPr>
              <w:instrText xml:space="preserve"> PAGEREF _Toc238026666 \h </w:instrText>
            </w:r>
            <w:r>
              <w:rPr>
                <w:webHidden/>
              </w:rPr>
            </w:r>
            <w:r>
              <w:rPr>
                <w:webHidden/>
              </w:rPr>
              <w:fldChar w:fldCharType="separate"/>
            </w:r>
            <w:r>
              <w:rPr>
                <w:webHidden/>
              </w:rPr>
              <w:t>59</w:t>
            </w:r>
            <w:r>
              <w:rPr>
                <w:webHidden/>
              </w:rPr>
              <w:fldChar w:fldCharType="end"/>
            </w:r>
          </w:hyperlink>
        </w:p>
        <w:p w14:paraId="2DD0EE42" w14:textId="0B9163C2" w:rsidR="00B7668C" w:rsidRDefault="00B7668C">
          <w:pPr>
            <w:pStyle w:val="TOC1"/>
            <w:rPr>
              <w:kern w:val="2"/>
              <w:szCs w:val="24"/>
              <w:lang w:eastAsia="en-AU"/>
              <w14:ligatures w14:val="standardContextual"/>
            </w:rPr>
          </w:pPr>
          <w:hyperlink w:anchor="_Toc238026667" w:history="1">
            <w:r w:rsidRPr="00CE7AD0">
              <w:rPr>
                <w:rStyle w:val="Hyperlink"/>
              </w:rPr>
              <w:t>Glossary</w:t>
            </w:r>
            <w:r>
              <w:rPr>
                <w:webHidden/>
              </w:rPr>
              <w:tab/>
            </w:r>
            <w:r>
              <w:rPr>
                <w:webHidden/>
              </w:rPr>
              <w:fldChar w:fldCharType="begin"/>
            </w:r>
            <w:r>
              <w:rPr>
                <w:webHidden/>
              </w:rPr>
              <w:instrText xml:space="preserve"> PAGEREF _Toc238026667 \h </w:instrText>
            </w:r>
            <w:r>
              <w:rPr>
                <w:webHidden/>
              </w:rPr>
            </w:r>
            <w:r>
              <w:rPr>
                <w:webHidden/>
              </w:rPr>
              <w:fldChar w:fldCharType="separate"/>
            </w:r>
            <w:r>
              <w:rPr>
                <w:webHidden/>
              </w:rPr>
              <w:t>61</w:t>
            </w:r>
            <w:r>
              <w:rPr>
                <w:webHidden/>
              </w:rPr>
              <w:fldChar w:fldCharType="end"/>
            </w:r>
          </w:hyperlink>
        </w:p>
        <w:p w14:paraId="7508ECA6" w14:textId="56004FBA" w:rsidR="00715C22" w:rsidRPr="00177042" w:rsidRDefault="00F62ED3" w:rsidP="004A75A5">
          <w:pPr>
            <w:pStyle w:val="TOC1"/>
            <w:keepLines w:val="0"/>
            <w:pBdr>
              <w:bottom w:val="none" w:sz="0" w:space="0" w:color="auto"/>
              <w:between w:val="none" w:sz="0" w:space="0" w:color="auto"/>
            </w:pBdr>
            <w:tabs>
              <w:tab w:val="clear" w:pos="10206"/>
              <w:tab w:val="left" w:pos="830"/>
              <w:tab w:val="right" w:pos="10147"/>
            </w:tabs>
            <w:spacing w:before="0" w:line="20" w:lineRule="exact"/>
            <w:ind w:right="0"/>
            <w:rPr>
              <w:rStyle w:val="Hyperlink"/>
              <w:kern w:val="2"/>
              <w:sz w:val="2"/>
              <w:szCs w:val="2"/>
              <w14:ligatures w14:val="standardContextual"/>
            </w:rPr>
          </w:pPr>
          <w:r w:rsidRPr="73D890B6">
            <w:rPr>
              <w:b/>
              <w:bCs/>
            </w:rPr>
            <w:fldChar w:fldCharType="end"/>
          </w:r>
          <w:r w:rsidR="009925D5" w:rsidRPr="00177042">
            <w:rPr>
              <w:b/>
              <w:sz w:val="2"/>
              <w:szCs w:val="2"/>
            </w:rPr>
            <w:tab/>
          </w:r>
          <w:r w:rsidR="004A75A5">
            <w:tab/>
          </w:r>
        </w:p>
      </w:sdtContent>
    </w:sdt>
    <w:p w14:paraId="2644E782" w14:textId="7D75785A" w:rsidR="00AA7C73" w:rsidRPr="00177042" w:rsidRDefault="00AA7C73" w:rsidP="004A75A5">
      <w:pPr>
        <w:pStyle w:val="SCVbody"/>
        <w:spacing w:after="0"/>
        <w:rPr>
          <w:sz w:val="2"/>
          <w:szCs w:val="2"/>
        </w:rPr>
      </w:pPr>
    </w:p>
    <w:p w14:paraId="01911AA2" w14:textId="77777777" w:rsidR="00837CB0" w:rsidRDefault="00837CB0" w:rsidP="0057201C">
      <w:pPr>
        <w:pStyle w:val="SCVbody"/>
        <w:rPr>
          <w:rFonts w:asciiTheme="majorHAnsi" w:eastAsiaTheme="majorEastAsia" w:hAnsiTheme="majorHAnsi" w:cstheme="majorBidi"/>
          <w:sz w:val="26"/>
          <w:szCs w:val="26"/>
        </w:rPr>
      </w:pPr>
      <w:r>
        <w:br w:type="page"/>
      </w:r>
    </w:p>
    <w:p w14:paraId="4D0F69B9" w14:textId="77777777" w:rsidR="00085E18" w:rsidRDefault="5D390510" w:rsidP="00085E18">
      <w:pPr>
        <w:pStyle w:val="Heading1"/>
      </w:pPr>
      <w:bookmarkStart w:id="4" w:name="_Toc238026627"/>
      <w:bookmarkStart w:id="5" w:name="_Toc185595223"/>
      <w:bookmarkStart w:id="6" w:name="_Hlk190098827"/>
      <w:bookmarkEnd w:id="1"/>
      <w:r>
        <w:lastRenderedPageBreak/>
        <w:t>Acknowledgements</w:t>
      </w:r>
      <w:bookmarkEnd w:id="4"/>
      <w:r>
        <w:t xml:space="preserve"> </w:t>
      </w:r>
    </w:p>
    <w:p w14:paraId="6357BCEA" w14:textId="77777777" w:rsidR="00085E18" w:rsidRPr="005F78A1" w:rsidRDefault="5D390510" w:rsidP="00085E18">
      <w:pPr>
        <w:pStyle w:val="Heading2"/>
        <w:rPr>
          <w:color w:val="007586" w:themeColor="text2"/>
        </w:rPr>
      </w:pPr>
      <w:bookmarkStart w:id="7" w:name="_Toc238026628"/>
      <w:r w:rsidRPr="005F78A1">
        <w:rPr>
          <w:color w:val="007586" w:themeColor="text2"/>
        </w:rPr>
        <w:t>Acknowledgement of Country</w:t>
      </w:r>
      <w:bookmarkEnd w:id="7"/>
    </w:p>
    <w:p w14:paraId="3CE6245C" w14:textId="60C04163" w:rsidR="00085E18" w:rsidRPr="00377835" w:rsidRDefault="73381A52" w:rsidP="00085E18">
      <w:pPr>
        <w:pStyle w:val="SCVbody"/>
      </w:pPr>
      <w:r>
        <w:t>Safer Care Victoria acknowledges the strength, resilience and enduring cultures of First Nations peoples as members of the world’s oldest living cultures. We recognise First Nations peoples as Australia’s First Peoples and honour the richness and diversity of Traditional Owners and Elders across Victoria.</w:t>
      </w:r>
    </w:p>
    <w:p w14:paraId="54182C74" w14:textId="176DE792" w:rsidR="00EA45C1" w:rsidRDefault="15779839" w:rsidP="002A409B">
      <w:pPr>
        <w:pStyle w:val="SCVbody"/>
      </w:pPr>
      <w:r>
        <w:t xml:space="preserve">We respect the lore, customs and languages practised by First Nations </w:t>
      </w:r>
      <w:r w:rsidR="27B9AC4E">
        <w:t>p</w:t>
      </w:r>
      <w:r>
        <w:t>eople in Victoria, and their deep spiritual and cultural connections to land and water. We are committed to a future based on equality, truth and justice, and recognise the ongoing systemic injustices facing First Nations people. Victoria’s treaty offers a chance to address these wrongs, empowering First Nations people to make decisions for their communities, consistent with the principle of self-determination.</w:t>
      </w:r>
    </w:p>
    <w:p w14:paraId="4B5F0EF9" w14:textId="35235E4E" w:rsidR="00EA45C1" w:rsidRDefault="15779839" w:rsidP="002A409B">
      <w:pPr>
        <w:pStyle w:val="SCVbody"/>
      </w:pPr>
      <w:r>
        <w:t xml:space="preserve">We pay our deepest respects to ancestors, Elders and leaders, past and present, whose strength and fortitude have paved the way for future generations. </w:t>
      </w:r>
    </w:p>
    <w:p w14:paraId="5C55137A" w14:textId="3E292436" w:rsidR="00085E18" w:rsidRPr="005F78A1" w:rsidRDefault="00085E18" w:rsidP="002A409B">
      <w:pPr>
        <w:pStyle w:val="SCVbody"/>
        <w:rPr>
          <w:rFonts w:asciiTheme="majorHAnsi" w:eastAsiaTheme="minorEastAsia" w:hAnsiTheme="majorHAnsi" w:cstheme="majorBidi"/>
          <w:b/>
          <w:color w:val="007586" w:themeColor="text2"/>
          <w:sz w:val="28"/>
          <w:szCs w:val="28"/>
        </w:rPr>
      </w:pPr>
      <w:r w:rsidRPr="005F78A1">
        <w:rPr>
          <w:rFonts w:asciiTheme="majorHAnsi" w:hAnsiTheme="majorHAnsi" w:cstheme="majorBidi"/>
          <w:b/>
          <w:color w:val="007586" w:themeColor="text2"/>
          <w:sz w:val="28"/>
          <w:szCs w:val="28"/>
        </w:rPr>
        <w:t xml:space="preserve">Acknowledgement of lived and living experience </w:t>
      </w:r>
    </w:p>
    <w:p w14:paraId="46D92508" w14:textId="77777777" w:rsidR="00085E18" w:rsidRDefault="00085E18" w:rsidP="00085E18">
      <w:pPr>
        <w:pStyle w:val="SCVbody"/>
        <w:rPr>
          <w:rStyle w:val="normaltextrun"/>
        </w:rPr>
      </w:pPr>
      <w:r w:rsidRPr="4B0AE196">
        <w:rPr>
          <w:rStyle w:val="normaltextrun"/>
        </w:rPr>
        <w:t xml:space="preserve">Safer Care Victoria </w:t>
      </w:r>
      <w:r w:rsidRPr="00371627">
        <w:rPr>
          <w:rStyle w:val="normaltextrun"/>
        </w:rPr>
        <w:t>acknowledges</w:t>
      </w:r>
      <w:r w:rsidRPr="4B0AE196">
        <w:rPr>
          <w:rStyle w:val="normaltextrun"/>
        </w:rPr>
        <w:t xml:space="preserve"> the consumers, families, carers, friends and loved ones who have experienced, or have been affected by, sentinel events. We are deeply sorry for their distress and grief. We bear witness</w:t>
      </w:r>
      <w:r w:rsidRPr="419855D0">
        <w:rPr>
          <w:rStyle w:val="normaltextrun"/>
        </w:rPr>
        <w:t xml:space="preserve"> </w:t>
      </w:r>
      <w:r>
        <w:rPr>
          <w:rStyle w:val="normaltextrun"/>
        </w:rPr>
        <w:t>to</w:t>
      </w:r>
      <w:r w:rsidRPr="4B0AE196">
        <w:rPr>
          <w:rStyle w:val="normaltextrun"/>
        </w:rPr>
        <w:t xml:space="preserve"> their stories in the sincere hope of improving </w:t>
      </w:r>
      <w:r w:rsidRPr="2BFCB2DD">
        <w:rPr>
          <w:rStyle w:val="normaltextrun"/>
        </w:rPr>
        <w:t>safety</w:t>
      </w:r>
      <w:r w:rsidRPr="6E347C65">
        <w:rPr>
          <w:rStyle w:val="normaltextrun"/>
        </w:rPr>
        <w:t xml:space="preserve"> and </w:t>
      </w:r>
      <w:r w:rsidRPr="1E552F3D">
        <w:rPr>
          <w:rStyle w:val="normaltextrun"/>
        </w:rPr>
        <w:t xml:space="preserve">quality care </w:t>
      </w:r>
      <w:r w:rsidRPr="40F25CFC">
        <w:rPr>
          <w:rStyle w:val="normaltextrun"/>
        </w:rPr>
        <w:t>for others</w:t>
      </w:r>
      <w:r w:rsidRPr="1E552F3D">
        <w:rPr>
          <w:rStyle w:val="normaltextrun"/>
        </w:rPr>
        <w:t xml:space="preserve">. </w:t>
      </w:r>
    </w:p>
    <w:p w14:paraId="136E8B76" w14:textId="77777777" w:rsidR="00085E18" w:rsidRDefault="00085E18" w:rsidP="00085E18">
      <w:pPr>
        <w:pStyle w:val="SCVbody"/>
        <w:rPr>
          <w:rStyle w:val="normaltextrun"/>
        </w:rPr>
      </w:pPr>
      <w:r>
        <w:t>Our appreciation extends to the clinical and non-clinical workforces that support people with lived experience.</w:t>
      </w:r>
    </w:p>
    <w:p w14:paraId="12E8E265" w14:textId="77777777" w:rsidR="00085E18" w:rsidRPr="005F78A1" w:rsidRDefault="5D390510" w:rsidP="00085E18">
      <w:pPr>
        <w:pStyle w:val="Heading2"/>
        <w:rPr>
          <w:color w:val="007586" w:themeColor="text2"/>
        </w:rPr>
      </w:pPr>
      <w:bookmarkStart w:id="8" w:name="_Toc238026629"/>
      <w:r w:rsidRPr="005F78A1">
        <w:rPr>
          <w:color w:val="007586" w:themeColor="text2"/>
        </w:rPr>
        <w:t>Content warning</w:t>
      </w:r>
      <w:bookmarkEnd w:id="8"/>
    </w:p>
    <w:p w14:paraId="0B41FCD5" w14:textId="211E62E7" w:rsidR="00085E18" w:rsidRDefault="00085E18" w:rsidP="00085E18">
      <w:pPr>
        <w:pStyle w:val="SCVbody"/>
        <w:rPr>
          <w:rStyle w:val="normaltextrun"/>
        </w:rPr>
      </w:pPr>
      <w:r w:rsidRPr="69193B64">
        <w:rPr>
          <w:rStyle w:val="normaltextrun"/>
        </w:rPr>
        <w:t xml:space="preserve">The content in this report may be distressing because it references death and serious harm in patients of all ages, </w:t>
      </w:r>
      <w:r w:rsidR="00395D91">
        <w:rPr>
          <w:rStyle w:val="normaltextrun"/>
        </w:rPr>
        <w:t xml:space="preserve">as well as </w:t>
      </w:r>
      <w:r w:rsidRPr="69193B64">
        <w:rPr>
          <w:rStyle w:val="normaltextrun"/>
        </w:rPr>
        <w:t xml:space="preserve">death and harm </w:t>
      </w:r>
      <w:r>
        <w:rPr>
          <w:rStyle w:val="normaltextrun"/>
        </w:rPr>
        <w:t>from</w:t>
      </w:r>
      <w:r w:rsidRPr="69193B64">
        <w:rPr>
          <w:rStyle w:val="normaltextrun"/>
        </w:rPr>
        <w:t xml:space="preserve"> suicide, self-harm and mental illness.</w:t>
      </w:r>
    </w:p>
    <w:p w14:paraId="754C3D58" w14:textId="77777777" w:rsidR="00CC5BEE" w:rsidRDefault="00CC5BEE" w:rsidP="00085E18">
      <w:pPr>
        <w:pStyle w:val="SCVbody"/>
        <w:rPr>
          <w:rStyle w:val="normaltextrun"/>
        </w:rPr>
      </w:pPr>
    </w:p>
    <w:p w14:paraId="3979974E" w14:textId="77777777" w:rsidR="00CC5BEE" w:rsidRDefault="00CC5BEE" w:rsidP="00085E18">
      <w:pPr>
        <w:pStyle w:val="SCVbody"/>
        <w:rPr>
          <w:rStyle w:val="normaltextrun"/>
        </w:rPr>
      </w:pPr>
    </w:p>
    <w:p w14:paraId="196EB970" w14:textId="77777777" w:rsidR="00CC5BEE" w:rsidRDefault="00CC5BEE" w:rsidP="00085E18">
      <w:pPr>
        <w:pStyle w:val="SCVbody"/>
        <w:rPr>
          <w:rStyle w:val="normaltextrun"/>
        </w:rPr>
      </w:pPr>
    </w:p>
    <w:p w14:paraId="7D8D3D6F" w14:textId="77777777" w:rsidR="00085E18" w:rsidRPr="005F78A1" w:rsidRDefault="5D390510" w:rsidP="57EA0190">
      <w:pPr>
        <w:pStyle w:val="Heading2"/>
        <w:rPr>
          <w:rStyle w:val="normaltextrun"/>
          <w:rFonts w:asciiTheme="minorHAnsi" w:eastAsiaTheme="minorEastAsia" w:hAnsiTheme="minorHAnsi" w:cstheme="minorBidi"/>
          <w:b w:val="0"/>
          <w:bCs w:val="0"/>
          <w:color w:val="007586" w:themeColor="text2"/>
        </w:rPr>
      </w:pPr>
      <w:bookmarkStart w:id="9" w:name="_Toc238026630"/>
      <w:r w:rsidRPr="005F78A1">
        <w:rPr>
          <w:color w:val="007586" w:themeColor="text2"/>
        </w:rPr>
        <w:lastRenderedPageBreak/>
        <w:t>Acknowledgment of terminology</w:t>
      </w:r>
      <w:bookmarkEnd w:id="9"/>
    </w:p>
    <w:p w14:paraId="2E7AC529" w14:textId="651A2A15" w:rsidR="00085E18" w:rsidRDefault="00085E18" w:rsidP="00085E18">
      <w:pPr>
        <w:pStyle w:val="SCVbody"/>
      </w:pPr>
      <w:r w:rsidRPr="1A450436">
        <w:rPr>
          <w:rStyle w:val="normaltextrun"/>
        </w:rPr>
        <w:t>Due to the diversity of programs and specialties covered by the Sentinel Event Program we acknowledge different terms routinely used in these areas to refer to a ‘</w:t>
      </w:r>
      <w:r w:rsidRPr="7B090F7C">
        <w:t>patient’</w:t>
      </w:r>
      <w:r>
        <w:t xml:space="preserve"> </w:t>
      </w:r>
      <w:r w:rsidRPr="7B090F7C">
        <w:t>or</w:t>
      </w:r>
      <w:r>
        <w:t xml:space="preserve"> </w:t>
      </w:r>
      <w:r w:rsidRPr="7B090F7C">
        <w:t>‘consumer’</w:t>
      </w:r>
      <w:r>
        <w:t xml:space="preserve">. </w:t>
      </w:r>
    </w:p>
    <w:p w14:paraId="36EA76DC" w14:textId="6F80C32F" w:rsidR="00085E18" w:rsidRDefault="00085E18" w:rsidP="00085E18">
      <w:pPr>
        <w:pStyle w:val="SCVbody"/>
      </w:pPr>
      <w:r w:rsidRPr="140F1A82">
        <w:t>The</w:t>
      </w:r>
      <w:r>
        <w:t xml:space="preserve"> </w:t>
      </w:r>
      <w:r w:rsidRPr="140F1A82">
        <w:t>terms</w:t>
      </w:r>
      <w:r>
        <w:t xml:space="preserve"> ‘family’, ‘</w:t>
      </w:r>
      <w:r w:rsidR="00F206FF">
        <w:t>next of kin’</w:t>
      </w:r>
      <w:r w:rsidR="00CC12F6">
        <w:t xml:space="preserve"> and</w:t>
      </w:r>
      <w:r>
        <w:t xml:space="preserve"> ‘</w:t>
      </w:r>
      <w:r w:rsidRPr="140F1A82">
        <w:t>carer</w:t>
      </w:r>
      <w:r>
        <w:t>(</w:t>
      </w:r>
      <w:r w:rsidRPr="140F1A82">
        <w:t>s</w:t>
      </w:r>
      <w:r>
        <w:t xml:space="preserve">)’ </w:t>
      </w:r>
      <w:r w:rsidRPr="140F1A82">
        <w:t>may</w:t>
      </w:r>
      <w:r>
        <w:t xml:space="preserve"> </w:t>
      </w:r>
      <w:r w:rsidRPr="140F1A82">
        <w:t>also</w:t>
      </w:r>
      <w:r>
        <w:t xml:space="preserve"> </w:t>
      </w:r>
      <w:r w:rsidRPr="140F1A82">
        <w:t>be</w:t>
      </w:r>
      <w:r>
        <w:t xml:space="preserve"> </w:t>
      </w:r>
      <w:r w:rsidRPr="140F1A82">
        <w:t>used</w:t>
      </w:r>
      <w:r>
        <w:t xml:space="preserve"> </w:t>
      </w:r>
      <w:r w:rsidRPr="140F1A82">
        <w:t>interchangeably</w:t>
      </w:r>
      <w:r>
        <w:t xml:space="preserve">. We </w:t>
      </w:r>
      <w:r w:rsidRPr="140F1A82">
        <w:t>acknowledge</w:t>
      </w:r>
      <w:r>
        <w:t xml:space="preserve"> </w:t>
      </w:r>
      <w:r w:rsidRPr="140F1A82">
        <w:t>the</w:t>
      </w:r>
      <w:r>
        <w:t xml:space="preserve"> </w:t>
      </w:r>
      <w:r w:rsidRPr="140F1A82">
        <w:t>diversity</w:t>
      </w:r>
      <w:r>
        <w:t xml:space="preserve"> </w:t>
      </w:r>
      <w:r w:rsidRPr="140F1A82">
        <w:t>of</w:t>
      </w:r>
      <w:r>
        <w:t xml:space="preserve"> </w:t>
      </w:r>
      <w:r w:rsidRPr="140F1A82">
        <w:t>the</w:t>
      </w:r>
      <w:r>
        <w:t xml:space="preserve"> </w:t>
      </w:r>
      <w:r w:rsidRPr="140F1A82">
        <w:t>networks</w:t>
      </w:r>
      <w:r>
        <w:t xml:space="preserve"> that </w:t>
      </w:r>
      <w:r w:rsidRPr="140F1A82">
        <w:t>patients/consumers</w:t>
      </w:r>
      <w:r>
        <w:t xml:space="preserve"> affected </w:t>
      </w:r>
      <w:r w:rsidRPr="140F1A82">
        <w:t>by</w:t>
      </w:r>
      <w:r>
        <w:t xml:space="preserve"> </w:t>
      </w:r>
      <w:r w:rsidRPr="140F1A82">
        <w:t>sentinel</w:t>
      </w:r>
      <w:r>
        <w:t xml:space="preserve"> </w:t>
      </w:r>
      <w:r w:rsidRPr="140F1A82">
        <w:t>events</w:t>
      </w:r>
      <w:r>
        <w:t xml:space="preserve"> </w:t>
      </w:r>
      <w:r w:rsidRPr="140F1A82">
        <w:t>have</w:t>
      </w:r>
      <w:r>
        <w:t xml:space="preserve"> </w:t>
      </w:r>
      <w:r w:rsidRPr="140F1A82">
        <w:t>surrounding</w:t>
      </w:r>
      <w:r>
        <w:t xml:space="preserve"> </w:t>
      </w:r>
      <w:r w:rsidRPr="140F1A82">
        <w:t>them.</w:t>
      </w:r>
    </w:p>
    <w:p w14:paraId="5BDE9BE7" w14:textId="77777777" w:rsidR="00085E18" w:rsidRPr="005F78A1" w:rsidRDefault="5D390510" w:rsidP="00085E18">
      <w:pPr>
        <w:pStyle w:val="Heading2"/>
        <w:rPr>
          <w:color w:val="007586" w:themeColor="text2"/>
        </w:rPr>
      </w:pPr>
      <w:bookmarkStart w:id="10" w:name="_Toc238026631"/>
      <w:r w:rsidRPr="005F78A1">
        <w:rPr>
          <w:color w:val="007586" w:themeColor="text2"/>
        </w:rPr>
        <w:t>Thank you</w:t>
      </w:r>
      <w:bookmarkEnd w:id="10"/>
    </w:p>
    <w:p w14:paraId="5C2C4052" w14:textId="2A2EEA11" w:rsidR="00CE56CA" w:rsidRPr="00CE56CA" w:rsidRDefault="00085E18" w:rsidP="00CE56CA">
      <w:pPr>
        <w:pStyle w:val="SCVbody"/>
      </w:pPr>
      <w:r>
        <w:t>Safer Care Victoria’s Sentinel Events and Safety Review team prepared this report</w:t>
      </w:r>
      <w:r w:rsidR="00DF3953">
        <w:t xml:space="preserve"> </w:t>
      </w:r>
      <w:r w:rsidR="004902F9">
        <w:t>i</w:t>
      </w:r>
      <w:r w:rsidR="00DF3953">
        <w:t>n collaboration with experts</w:t>
      </w:r>
      <w:r w:rsidR="007B5D38">
        <w:t xml:space="preserve"> across the health system</w:t>
      </w:r>
      <w:r>
        <w:t xml:space="preserve">. The team </w:t>
      </w:r>
      <w:r w:rsidR="008205E3">
        <w:t>thanks</w:t>
      </w:r>
      <w:r>
        <w:t xml:space="preserve"> St Vincent’s Health and consumers for </w:t>
      </w:r>
      <w:r w:rsidR="00D873B8">
        <w:t>their invaluable contribution to this report</w:t>
      </w:r>
      <w:r w:rsidR="004C43F8">
        <w:t xml:space="preserve"> </w:t>
      </w:r>
      <w:r w:rsidR="008205E3">
        <w:t xml:space="preserve">and </w:t>
      </w:r>
      <w:r w:rsidR="004902F9">
        <w:t xml:space="preserve">for </w:t>
      </w:r>
      <w:r>
        <w:t>continuing to share</w:t>
      </w:r>
      <w:r w:rsidR="00687E6D">
        <w:t xml:space="preserve"> their experiences with the aim </w:t>
      </w:r>
      <w:r w:rsidR="5EE0CD0D">
        <w:t>of improving</w:t>
      </w:r>
      <w:r>
        <w:t xml:space="preserve"> our health system. Thank you </w:t>
      </w:r>
      <w:r w:rsidR="00886EAC">
        <w:t xml:space="preserve">also </w:t>
      </w:r>
      <w:r>
        <w:t xml:space="preserve">to </w:t>
      </w:r>
      <w:r w:rsidR="00C53F72">
        <w:t xml:space="preserve">Victorian health services for </w:t>
      </w:r>
      <w:r w:rsidR="00CE56CA">
        <w:t xml:space="preserve">sharing </w:t>
      </w:r>
      <w:r w:rsidR="00886EAC">
        <w:t xml:space="preserve">lessons from sentinel events as we </w:t>
      </w:r>
      <w:r w:rsidR="00C53F72">
        <w:t xml:space="preserve">strive </w:t>
      </w:r>
      <w:r w:rsidR="00CE56CA">
        <w:t xml:space="preserve">together </w:t>
      </w:r>
      <w:r w:rsidR="00C53F72">
        <w:t xml:space="preserve">to </w:t>
      </w:r>
      <w:r w:rsidR="00903965">
        <w:t xml:space="preserve">continuously </w:t>
      </w:r>
      <w:r w:rsidR="00C53F72">
        <w:t>improve the quality</w:t>
      </w:r>
      <w:r w:rsidR="00CE56CA">
        <w:t>,</w:t>
      </w:r>
      <w:r w:rsidR="00C53F72">
        <w:t xml:space="preserve"> safety and consumer experience</w:t>
      </w:r>
      <w:r w:rsidR="00CC6118">
        <w:t xml:space="preserve"> </w:t>
      </w:r>
      <w:r w:rsidR="00792B58">
        <w:t xml:space="preserve">of our </w:t>
      </w:r>
      <w:r w:rsidR="00CE56CA">
        <w:t>health</w:t>
      </w:r>
      <w:r w:rsidR="00792B58">
        <w:t xml:space="preserve"> system</w:t>
      </w:r>
      <w:r w:rsidR="00C53F72">
        <w:t>.</w:t>
      </w:r>
    </w:p>
    <w:p w14:paraId="060FDFC9" w14:textId="1EF343BC" w:rsidR="00085E18" w:rsidRPr="009F0157" w:rsidRDefault="00085E18" w:rsidP="00085E18">
      <w:pPr>
        <w:pStyle w:val="SCVbody"/>
      </w:pPr>
    </w:p>
    <w:p w14:paraId="78F97ABD" w14:textId="19E2D81A" w:rsidR="01B2AC5E" w:rsidRPr="00403E16" w:rsidRDefault="00C9E86F" w:rsidP="00403E16">
      <w:pPr>
        <w:pStyle w:val="Heading1"/>
        <w:rPr>
          <w:rStyle w:val="normaltextrun"/>
        </w:rPr>
      </w:pPr>
      <w:bookmarkStart w:id="11" w:name="_Toc238026632"/>
      <w:r w:rsidRPr="00403E16">
        <w:rPr>
          <w:rStyle w:val="normaltextrun"/>
        </w:rPr>
        <w:lastRenderedPageBreak/>
        <w:t>Introduction</w:t>
      </w:r>
      <w:bookmarkEnd w:id="5"/>
      <w:bookmarkEnd w:id="11"/>
    </w:p>
    <w:p w14:paraId="1537D076" w14:textId="724C5EB4" w:rsidR="004902F9" w:rsidRDefault="73381A52" w:rsidP="002A409B">
      <w:pPr>
        <w:pStyle w:val="SCVbody"/>
      </w:pPr>
      <w:r>
        <w:t xml:space="preserve">This report summarises the trends and insights Safer Care Victoria (SCV) </w:t>
      </w:r>
      <w:r w:rsidR="004902F9">
        <w:t xml:space="preserve">has identified </w:t>
      </w:r>
      <w:r>
        <w:t>through the Victorian Sentinel Event Program during the 2024–25 financial year.</w:t>
      </w:r>
      <w:r w:rsidR="004902F9">
        <w:t xml:space="preserve"> It</w:t>
      </w:r>
      <w:r>
        <w:t xml:space="preserve"> provides a clear and transparent account of </w:t>
      </w:r>
      <w:r w:rsidR="004902F9">
        <w:t xml:space="preserve">reported </w:t>
      </w:r>
      <w:r>
        <w:t xml:space="preserve">sentinel events and highlights opportunities to improve the quality and safety of care across Victoria. </w:t>
      </w:r>
    </w:p>
    <w:p w14:paraId="61851427" w14:textId="7848627C" w:rsidR="73381A52" w:rsidRDefault="004902F9" w:rsidP="002A409B">
      <w:pPr>
        <w:pStyle w:val="SCVbody"/>
      </w:pPr>
      <w:r>
        <w:t>The report’s</w:t>
      </w:r>
      <w:r w:rsidR="73381A52" w:rsidDel="004902F9">
        <w:t xml:space="preserve"> </w:t>
      </w:r>
      <w:r w:rsidR="73381A52">
        <w:t>purpose is to support health services to understand the system factors that contribute to serious harm and to use those insights, together with practical guidance and resources, to reduce the risk of recurrence.</w:t>
      </w:r>
      <w:r w:rsidR="0090528E">
        <w:t xml:space="preserve"> The themes</w:t>
      </w:r>
      <w:r w:rsidR="00386979">
        <w:t xml:space="preserve"> </w:t>
      </w:r>
      <w:r w:rsidR="0090528E">
        <w:t>are summarised throughout the report</w:t>
      </w:r>
      <w:r w:rsidR="00AF1CA4">
        <w:t xml:space="preserve">, </w:t>
      </w:r>
      <w:r>
        <w:t xml:space="preserve">but </w:t>
      </w:r>
      <w:r w:rsidR="00AF1CA4">
        <w:t xml:space="preserve">you will find more </w:t>
      </w:r>
      <w:r w:rsidR="0053142D">
        <w:t>detailed data</w:t>
      </w:r>
      <w:r w:rsidR="00386979">
        <w:t xml:space="preserve"> in</w:t>
      </w:r>
      <w:r w:rsidR="005E0598">
        <w:t xml:space="preserve"> </w:t>
      </w:r>
      <w:r w:rsidR="00386979">
        <w:t xml:space="preserve">Appendix </w:t>
      </w:r>
      <w:r w:rsidR="005E0598">
        <w:t xml:space="preserve">1: Data </w:t>
      </w:r>
      <w:r>
        <w:t>s</w:t>
      </w:r>
      <w:r w:rsidR="005E0598">
        <w:t>upplement.</w:t>
      </w:r>
      <w:r w:rsidR="00AF1CA4">
        <w:t xml:space="preserve"> </w:t>
      </w:r>
      <w:r>
        <w:t>Refer to Appendix 2 for</w:t>
      </w:r>
      <w:r w:rsidR="005E0598" w:rsidDel="004902F9">
        <w:t xml:space="preserve"> </w:t>
      </w:r>
      <w:r w:rsidR="005E0598">
        <w:t xml:space="preserve">more information </w:t>
      </w:r>
      <w:r w:rsidR="00C22175">
        <w:t>about the</w:t>
      </w:r>
      <w:r w:rsidR="007175AB">
        <w:t xml:space="preserve"> sentinel event identification</w:t>
      </w:r>
      <w:r w:rsidR="005E0598">
        <w:t xml:space="preserve">, </w:t>
      </w:r>
      <w:r w:rsidR="007175AB">
        <w:t xml:space="preserve">review </w:t>
      </w:r>
      <w:r w:rsidR="005E0598">
        <w:t xml:space="preserve">and recommendation development </w:t>
      </w:r>
      <w:r w:rsidR="007175AB" w:rsidRPr="00C22175">
        <w:t>process</w:t>
      </w:r>
      <w:r w:rsidR="00B23748" w:rsidRPr="00C22175">
        <w:t>.</w:t>
      </w:r>
      <w:r w:rsidR="00556DA7">
        <w:t xml:space="preserve"> </w:t>
      </w:r>
    </w:p>
    <w:p w14:paraId="2C6A5E29" w14:textId="4F342DE2" w:rsidR="73381A52" w:rsidRDefault="73381A52" w:rsidP="002A409B">
      <w:pPr>
        <w:pStyle w:val="SCVbody"/>
      </w:pPr>
      <w:r>
        <w:t>The report</w:t>
      </w:r>
      <w:r w:rsidDel="00BC60CE">
        <w:t xml:space="preserve"> </w:t>
      </w:r>
      <w:r w:rsidR="00BC60CE">
        <w:t xml:space="preserve">aims </w:t>
      </w:r>
      <w:r>
        <w:t>to be useful to consumers, carers and families by sharing evidence-informed information drawn from sentinel event data and highlighting SCV initiatives that support improvement across the health system.</w:t>
      </w:r>
    </w:p>
    <w:p w14:paraId="1992E07C" w14:textId="49792347" w:rsidR="73381A52" w:rsidRDefault="73381A52" w:rsidP="002A409B">
      <w:pPr>
        <w:pStyle w:val="SCVbody"/>
      </w:pPr>
      <w:r>
        <w:t>As we reflect on the findings of the 2023–24 annual report, SCV remains committed to working in partnership with consumers, carers and families. Learning from sentinel events is central to improving people’s experiences of safe, high-quality care and to strengthening the systems that support that care.</w:t>
      </w:r>
    </w:p>
    <w:p w14:paraId="3D2AB819" w14:textId="7ECDC405" w:rsidR="73381A52" w:rsidRDefault="7352595A" w:rsidP="00BC60CE">
      <w:pPr>
        <w:pStyle w:val="SCVbody"/>
      </w:pPr>
      <w:r>
        <w:t>Several key themes emerged during 2024–25</w:t>
      </w:r>
      <w:r w:rsidR="41430DFB">
        <w:t xml:space="preserve">, and this report focuses on the </w:t>
      </w:r>
      <w:r w:rsidR="52C29F82">
        <w:t>four</w:t>
      </w:r>
      <w:r w:rsidR="41430DFB">
        <w:t xml:space="preserve"> most common ones</w:t>
      </w:r>
      <w:r>
        <w:t>:</w:t>
      </w:r>
    </w:p>
    <w:p w14:paraId="4020B953" w14:textId="441D5EF3" w:rsidR="73381A52" w:rsidRDefault="73381A52" w:rsidP="002A409B">
      <w:pPr>
        <w:pStyle w:val="SCVbullet1"/>
      </w:pPr>
      <w:r>
        <w:t>perioperative care (surgery-related)</w:t>
      </w:r>
    </w:p>
    <w:p w14:paraId="0E08EBB2" w14:textId="3B026297" w:rsidR="0052712F" w:rsidRDefault="73381A52" w:rsidP="73381A52">
      <w:pPr>
        <w:pStyle w:val="SCVbullet1"/>
      </w:pPr>
      <w:r>
        <w:t>maternity and paediatric</w:t>
      </w:r>
      <w:r w:rsidR="00BC60CE">
        <w:t xml:space="preserve"> care</w:t>
      </w:r>
    </w:p>
    <w:p w14:paraId="104A8EA2" w14:textId="6383DAAA" w:rsidR="0052712F" w:rsidRPr="001B289D" w:rsidRDefault="73381A52" w:rsidP="002A409B">
      <w:pPr>
        <w:pStyle w:val="SCVbullet1"/>
      </w:pPr>
      <w:r>
        <w:t>mental health and self-harm</w:t>
      </w:r>
    </w:p>
    <w:p w14:paraId="39D9A999" w14:textId="5EF4D0E4" w:rsidR="73381A52" w:rsidRDefault="73381A52" w:rsidP="002A409B">
      <w:pPr>
        <w:pStyle w:val="SCVbullet1"/>
      </w:pPr>
      <w:r>
        <w:t>medication errors</w:t>
      </w:r>
      <w:r w:rsidR="00CF1CE7">
        <w:t>.</w:t>
      </w:r>
    </w:p>
    <w:p w14:paraId="2E51BA1C" w14:textId="2EF587A9" w:rsidR="00CF1CE7" w:rsidRPr="003F41C5" w:rsidRDefault="25127306" w:rsidP="57EA0190">
      <w:pPr>
        <w:pStyle w:val="SCVbodyafterheading"/>
      </w:pPr>
      <w:r>
        <w:t>This year’s report also includes a case study shared by a</w:t>
      </w:r>
      <w:r w:rsidR="2753C385">
        <w:t xml:space="preserve"> Victorian</w:t>
      </w:r>
      <w:r>
        <w:t xml:space="preserve"> health service that highlights improvements in meeting statutory duty of candour obligations (SDC) under the </w:t>
      </w:r>
      <w:r w:rsidRPr="57EA0190">
        <w:rPr>
          <w:i/>
          <w:iCs/>
        </w:rPr>
        <w:t>Health Services Act 1988</w:t>
      </w:r>
      <w:r>
        <w:t xml:space="preserve">. The case study </w:t>
      </w:r>
      <w:r w:rsidR="4CE9B5B2">
        <w:t>showcas</w:t>
      </w:r>
      <w:r w:rsidR="65C51739">
        <w:t>es</w:t>
      </w:r>
      <w:r w:rsidR="4CE9B5B2">
        <w:t xml:space="preserve"> a leading</w:t>
      </w:r>
      <w:r w:rsidR="795C4C70">
        <w:t xml:space="preserve"> practi</w:t>
      </w:r>
      <w:r w:rsidR="12ED09B0">
        <w:t>c</w:t>
      </w:r>
      <w:r w:rsidR="795C4C70">
        <w:t xml:space="preserve">e approach to implementing the </w:t>
      </w:r>
      <w:r w:rsidR="49C59A08">
        <w:t>SDC</w:t>
      </w:r>
      <w:r w:rsidR="2DF17124">
        <w:t xml:space="preserve"> through </w:t>
      </w:r>
      <w:r w:rsidR="2D099172">
        <w:t>partnering transparently</w:t>
      </w:r>
      <w:r w:rsidR="47FB126F">
        <w:t>, sensitively</w:t>
      </w:r>
      <w:r w:rsidR="2D099172">
        <w:t xml:space="preserve"> </w:t>
      </w:r>
      <w:r w:rsidR="4497A20B">
        <w:t>and proactively</w:t>
      </w:r>
      <w:r w:rsidR="026D56FF">
        <w:t xml:space="preserve"> </w:t>
      </w:r>
      <w:r w:rsidR="2D099172">
        <w:t>with consumers, carers and their families</w:t>
      </w:r>
      <w:r w:rsidR="2DF17124">
        <w:t>.</w:t>
      </w:r>
      <w:r w:rsidR="57D3A977">
        <w:t xml:space="preserve"> </w:t>
      </w:r>
    </w:p>
    <w:p w14:paraId="076324D7" w14:textId="22DDF629" w:rsidR="73381A52" w:rsidRDefault="73381A52" w:rsidP="002A409B">
      <w:pPr>
        <w:pStyle w:val="SCVbody"/>
      </w:pPr>
      <w:r>
        <w:t>At SCV, we recognise that strong partnership</w:t>
      </w:r>
      <w:r w:rsidR="00E862D0">
        <w:t>s</w:t>
      </w:r>
      <w:r>
        <w:t xml:space="preserve"> with health services </w:t>
      </w:r>
      <w:r w:rsidR="00E862D0">
        <w:t xml:space="preserve">are </w:t>
      </w:r>
      <w:r>
        <w:t xml:space="preserve">essential to improving quality and safety in health care. By sharing insight, promoting leading practice and supporting </w:t>
      </w:r>
      <w:r>
        <w:lastRenderedPageBreak/>
        <w:t>the adoption of effective models of care, we aim to strengthen care across Victorian health services.</w:t>
      </w:r>
    </w:p>
    <w:p w14:paraId="5E1327C5" w14:textId="411BD48D" w:rsidR="73381A52" w:rsidRDefault="73381A52" w:rsidP="002A409B">
      <w:pPr>
        <w:pStyle w:val="SCVbody"/>
      </w:pPr>
      <w:r>
        <w:t xml:space="preserve">Our goal is to strengthen sentinel event reporting and review processes in partnership with stakeholders while supporting consumers, carers and families </w:t>
      </w:r>
      <w:r w:rsidR="00E862D0">
        <w:t>–</w:t>
      </w:r>
      <w:r w:rsidR="00E07AEF">
        <w:t xml:space="preserve"> </w:t>
      </w:r>
      <w:r>
        <w:t xml:space="preserve">they are fundamental to </w:t>
      </w:r>
      <w:r w:rsidR="00E862D0">
        <w:t xml:space="preserve">this goal </w:t>
      </w:r>
      <w:r>
        <w:t>and central to strong clinical governance in Victori</w:t>
      </w:r>
      <w:r w:rsidRPr="00A652A2">
        <w:t>a.</w:t>
      </w:r>
    </w:p>
    <w:p w14:paraId="447B5FFA" w14:textId="51FF4143" w:rsidR="73381A52" w:rsidRDefault="73381A52" w:rsidP="002A409B">
      <w:pPr>
        <w:pStyle w:val="SCVbody"/>
      </w:pPr>
      <w:r w:rsidDel="73381A52">
        <w:t xml:space="preserve">This report discusses </w:t>
      </w:r>
      <w:r w:rsidRPr="6BE58DFE" w:rsidDel="73381A52">
        <w:rPr>
          <w:i/>
          <w:iCs/>
        </w:rPr>
        <w:t>real events</w:t>
      </w:r>
      <w:r w:rsidR="00E862D0">
        <w:t>.</w:t>
      </w:r>
      <w:r w:rsidDel="73381A52">
        <w:t xml:space="preserve"> </w:t>
      </w:r>
      <w:r w:rsidR="00E862D0">
        <w:t xml:space="preserve">It </w:t>
      </w:r>
      <w:r w:rsidDel="73381A52">
        <w:t>outlines improvements</w:t>
      </w:r>
      <w:r w:rsidR="00E862D0">
        <w:t xml:space="preserve"> SCV is implementing</w:t>
      </w:r>
      <w:r w:rsidDel="73381A52">
        <w:t xml:space="preserve"> at both </w:t>
      </w:r>
      <w:r w:rsidR="00E862D0">
        <w:t xml:space="preserve">the </w:t>
      </w:r>
      <w:r w:rsidDel="73381A52">
        <w:t>health service and system level</w:t>
      </w:r>
      <w:r w:rsidR="00E862D0">
        <w:t>s</w:t>
      </w:r>
      <w:r w:rsidDel="73381A52">
        <w:t xml:space="preserve">. By sharing these insights, we aim to support learning across the sector and </w:t>
      </w:r>
      <w:r w:rsidR="00E862D0">
        <w:t xml:space="preserve">to </w:t>
      </w:r>
      <w:r w:rsidDel="73381A52">
        <w:t xml:space="preserve">reduce avoidable harm across the </w:t>
      </w:r>
      <w:r>
        <w:t>health system.</w:t>
      </w:r>
    </w:p>
    <w:p w14:paraId="50301F7D" w14:textId="11DA316D" w:rsidR="4669A496" w:rsidRPr="00E1292C" w:rsidRDefault="4669A496" w:rsidP="0057201C">
      <w:pPr>
        <w:pStyle w:val="SCVbody"/>
        <w:rPr>
          <w:rStyle w:val="normaltextrun"/>
        </w:rPr>
      </w:pPr>
      <w:r w:rsidRPr="7A88B892">
        <w:rPr>
          <w:rStyle w:val="normaltextrun"/>
        </w:rPr>
        <w:t xml:space="preserve">We want this report to be accessible and relevant to </w:t>
      </w:r>
      <w:r w:rsidR="00D87937" w:rsidRPr="7A88B892">
        <w:rPr>
          <w:rStyle w:val="normaltextrun"/>
        </w:rPr>
        <w:t xml:space="preserve">Victorian </w:t>
      </w:r>
      <w:r w:rsidRPr="7A88B892">
        <w:rPr>
          <w:rStyle w:val="normaltextrun"/>
        </w:rPr>
        <w:t>consumers</w:t>
      </w:r>
      <w:r w:rsidR="32B22F85" w:rsidRPr="7A88B892">
        <w:rPr>
          <w:rStyle w:val="normaltextrun"/>
        </w:rPr>
        <w:t>, families and carers</w:t>
      </w:r>
      <w:r w:rsidRPr="7A88B892">
        <w:rPr>
          <w:rStyle w:val="normaltextrun"/>
        </w:rPr>
        <w:t xml:space="preserve"> and health services. To make this easier, you can find: </w:t>
      </w:r>
    </w:p>
    <w:p w14:paraId="6410F7F1" w14:textId="18F26F28" w:rsidR="4669A496" w:rsidRPr="001B289D" w:rsidRDefault="4669A496" w:rsidP="0057201C">
      <w:pPr>
        <w:pStyle w:val="SCVbullet1"/>
        <w:rPr>
          <w:rStyle w:val="normaltextrun"/>
        </w:rPr>
      </w:pPr>
      <w:r w:rsidRPr="6920BDC5">
        <w:rPr>
          <w:rStyle w:val="normaltextrun"/>
        </w:rPr>
        <w:t>actions that health services</w:t>
      </w:r>
      <w:r w:rsidR="2BC27455" w:rsidRPr="6920BDC5">
        <w:rPr>
          <w:rStyle w:val="normaltextrun"/>
        </w:rPr>
        <w:t>, consumers, carers and families</w:t>
      </w:r>
      <w:r w:rsidRPr="6920BDC5">
        <w:rPr>
          <w:rStyle w:val="normaltextrun"/>
        </w:rPr>
        <w:t xml:space="preserve"> may wish to take in response to information provided</w:t>
      </w:r>
    </w:p>
    <w:p w14:paraId="73126857" w14:textId="15B1410D" w:rsidR="4669A496" w:rsidRPr="001B289D" w:rsidRDefault="4669A496" w:rsidP="0057201C">
      <w:pPr>
        <w:pStyle w:val="SCVbullet1"/>
        <w:rPr>
          <w:rStyle w:val="normaltextrun"/>
        </w:rPr>
      </w:pPr>
      <w:r w:rsidRPr="001B289D">
        <w:rPr>
          <w:rStyle w:val="normaltextrun"/>
        </w:rPr>
        <w:t xml:space="preserve">links to further </w:t>
      </w:r>
      <w:r w:rsidR="00B54F36" w:rsidRPr="001B289D">
        <w:rPr>
          <w:rStyle w:val="normaltextrun"/>
        </w:rPr>
        <w:t xml:space="preserve">reading and </w:t>
      </w:r>
      <w:r w:rsidRPr="001B289D">
        <w:rPr>
          <w:rStyle w:val="normaltextrun"/>
        </w:rPr>
        <w:t>resources at the end of the report</w:t>
      </w:r>
      <w:r w:rsidR="7D9BB785" w:rsidRPr="001B289D" w:rsidDel="0052350D">
        <w:rPr>
          <w:rStyle w:val="normaltextrun"/>
        </w:rPr>
        <w:t xml:space="preserve"> </w:t>
      </w:r>
      <w:r w:rsidR="00B35007" w:rsidRPr="001B289D">
        <w:rPr>
          <w:rStyle w:val="normaltextrun"/>
        </w:rPr>
        <w:t>to</w:t>
      </w:r>
      <w:r w:rsidRPr="001B289D">
        <w:rPr>
          <w:rStyle w:val="normaltextrun"/>
        </w:rPr>
        <w:t xml:space="preserve"> help drive awareness of </w:t>
      </w:r>
      <w:r w:rsidR="00BE355F" w:rsidRPr="001B289D">
        <w:rPr>
          <w:rStyle w:val="normaltextrun"/>
        </w:rPr>
        <w:t xml:space="preserve">the </w:t>
      </w:r>
      <w:r w:rsidRPr="001B289D">
        <w:rPr>
          <w:rStyle w:val="normaltextrun"/>
        </w:rPr>
        <w:t>Sentinel Events Program</w:t>
      </w:r>
      <w:r w:rsidR="008036E4" w:rsidRPr="001B289D">
        <w:rPr>
          <w:rStyle w:val="normaltextrun"/>
        </w:rPr>
        <w:t xml:space="preserve"> </w:t>
      </w:r>
      <w:r w:rsidR="6AED49C9" w:rsidRPr="001B289D">
        <w:rPr>
          <w:rStyle w:val="normaltextrun"/>
        </w:rPr>
        <w:t>(including initiatives relevant to the key themes that extend beyond SCV)</w:t>
      </w:r>
      <w:r w:rsidR="008036E4" w:rsidRPr="001B289D">
        <w:rPr>
          <w:rStyle w:val="normaltextrun"/>
        </w:rPr>
        <w:t xml:space="preserve"> and </w:t>
      </w:r>
      <w:r w:rsidR="00423478" w:rsidRPr="001B289D">
        <w:rPr>
          <w:rStyle w:val="normaltextrun"/>
        </w:rPr>
        <w:t>continuous improvement</w:t>
      </w:r>
    </w:p>
    <w:p w14:paraId="73365053" w14:textId="547E64E7" w:rsidR="4669A496" w:rsidRPr="001B289D" w:rsidRDefault="006E5990" w:rsidP="0057201C">
      <w:pPr>
        <w:pStyle w:val="SCVbullet1"/>
        <w:rPr>
          <w:rStyle w:val="normaltextrun"/>
        </w:rPr>
      </w:pPr>
      <w:r w:rsidRPr="6BE58DFE">
        <w:rPr>
          <w:rStyle w:val="normaltextrun"/>
        </w:rPr>
        <w:t>a case study</w:t>
      </w:r>
      <w:r w:rsidR="004F09AB" w:rsidRPr="6BE58DFE">
        <w:rPr>
          <w:rStyle w:val="normaltextrun"/>
        </w:rPr>
        <w:t xml:space="preserve"> </w:t>
      </w:r>
      <w:r w:rsidRPr="6BE58DFE">
        <w:rPr>
          <w:rStyle w:val="normaltextrun"/>
        </w:rPr>
        <w:t xml:space="preserve">showcasing </w:t>
      </w:r>
      <w:r w:rsidR="00C33765" w:rsidRPr="6BE58DFE">
        <w:rPr>
          <w:rStyle w:val="normaltextrun"/>
        </w:rPr>
        <w:t xml:space="preserve">leading practice and </w:t>
      </w:r>
      <w:r w:rsidR="00893AE8" w:rsidRPr="6BE58DFE">
        <w:rPr>
          <w:rStyle w:val="normaltextrun"/>
        </w:rPr>
        <w:t xml:space="preserve">an </w:t>
      </w:r>
      <w:r w:rsidR="4669A496" w:rsidRPr="6BE58DFE">
        <w:rPr>
          <w:rStyle w:val="normaltextrun"/>
        </w:rPr>
        <w:t xml:space="preserve">area of significant health service </w:t>
      </w:r>
      <w:r w:rsidR="00CD3E2D" w:rsidRPr="6BE58DFE">
        <w:rPr>
          <w:rStyle w:val="normaltextrun"/>
        </w:rPr>
        <w:t>improvement</w:t>
      </w:r>
      <w:r w:rsidR="00893AE8" w:rsidRPr="6BE58DFE">
        <w:rPr>
          <w:rStyle w:val="normaltextrun"/>
        </w:rPr>
        <w:t xml:space="preserve"> in </w:t>
      </w:r>
      <w:r w:rsidR="004F4023" w:rsidRPr="6BE58DFE">
        <w:rPr>
          <w:rStyle w:val="normaltextrun"/>
        </w:rPr>
        <w:t>implementing the SDC</w:t>
      </w:r>
      <w:r w:rsidR="006C0EE0" w:rsidRPr="6BE58DFE">
        <w:rPr>
          <w:rStyle w:val="normaltextrun"/>
        </w:rPr>
        <w:t xml:space="preserve"> </w:t>
      </w:r>
      <w:r w:rsidRPr="6BE58DFE">
        <w:rPr>
          <w:rStyle w:val="normaltextrun"/>
        </w:rPr>
        <w:t>obligation under the Health Services Act</w:t>
      </w:r>
    </w:p>
    <w:p w14:paraId="3339E258" w14:textId="031CC708" w:rsidR="4669A496" w:rsidRPr="001B289D" w:rsidRDefault="4669A496" w:rsidP="0057201C">
      <w:pPr>
        <w:pStyle w:val="SCVbullet1"/>
        <w:rPr>
          <w:rStyle w:val="normaltextrun"/>
        </w:rPr>
      </w:pPr>
      <w:r w:rsidRPr="6BE58DFE">
        <w:rPr>
          <w:rStyle w:val="normaltextrun"/>
        </w:rPr>
        <w:t>a glossary at the end of the report</w:t>
      </w:r>
      <w:r w:rsidR="00AE0E29" w:rsidRPr="6BE58DFE">
        <w:rPr>
          <w:rStyle w:val="normaltextrun"/>
        </w:rPr>
        <w:t xml:space="preserve"> that </w:t>
      </w:r>
      <w:r w:rsidR="0052350D" w:rsidRPr="33134DDC">
        <w:rPr>
          <w:rStyle w:val="normaltextrun"/>
        </w:rPr>
        <w:t>explains</w:t>
      </w:r>
      <w:r w:rsidR="00AE0E29" w:rsidRPr="6BE58DFE">
        <w:rPr>
          <w:rStyle w:val="normaltextrun"/>
        </w:rPr>
        <w:t xml:space="preserve"> technical terms</w:t>
      </w:r>
      <w:r w:rsidRPr="6BE58DFE">
        <w:rPr>
          <w:rStyle w:val="normaltextrun"/>
        </w:rPr>
        <w:t>.</w:t>
      </w:r>
    </w:p>
    <w:p w14:paraId="383EA775" w14:textId="59744460" w:rsidR="00104997" w:rsidRDefault="34AD5EB4" w:rsidP="0057201C">
      <w:pPr>
        <w:pStyle w:val="SCVbodyafterheading"/>
        <w:rPr>
          <w:rStyle w:val="normaltextrun"/>
        </w:rPr>
      </w:pPr>
      <w:r w:rsidRPr="509B18F9">
        <w:rPr>
          <w:rStyle w:val="normaltextrun"/>
        </w:rPr>
        <w:t>Throughout</w:t>
      </w:r>
      <w:r w:rsidR="70CB60E8" w:rsidRPr="509B18F9">
        <w:rPr>
          <w:rStyle w:val="normaltextrun"/>
        </w:rPr>
        <w:t xml:space="preserve"> </w:t>
      </w:r>
      <w:r w:rsidRPr="509B18F9">
        <w:rPr>
          <w:rStyle w:val="normaltextrun"/>
        </w:rPr>
        <w:t>this</w:t>
      </w:r>
      <w:r w:rsidR="70CB60E8" w:rsidRPr="509B18F9">
        <w:rPr>
          <w:rStyle w:val="normaltextrun"/>
        </w:rPr>
        <w:t xml:space="preserve"> </w:t>
      </w:r>
      <w:r w:rsidRPr="509B18F9">
        <w:rPr>
          <w:rStyle w:val="normaltextrun"/>
        </w:rPr>
        <w:t>report,</w:t>
      </w:r>
      <w:r w:rsidR="70CB60E8" w:rsidRPr="509B18F9">
        <w:rPr>
          <w:rStyle w:val="normaltextrun"/>
        </w:rPr>
        <w:t xml:space="preserve"> </w:t>
      </w:r>
      <w:r w:rsidRPr="509B18F9">
        <w:rPr>
          <w:rStyle w:val="normaltextrun"/>
        </w:rPr>
        <w:t>names</w:t>
      </w:r>
      <w:r w:rsidR="58676A16" w:rsidRPr="509B18F9">
        <w:rPr>
          <w:rStyle w:val="normaltextrun"/>
        </w:rPr>
        <w:t>, data</w:t>
      </w:r>
      <w:r w:rsidR="70CB60E8" w:rsidRPr="509B18F9">
        <w:rPr>
          <w:rStyle w:val="normaltextrun"/>
        </w:rPr>
        <w:t xml:space="preserve"> </w:t>
      </w:r>
      <w:r w:rsidRPr="509B18F9">
        <w:rPr>
          <w:rStyle w:val="normaltextrun"/>
        </w:rPr>
        <w:t>and</w:t>
      </w:r>
      <w:r w:rsidR="70CB60E8" w:rsidRPr="509B18F9">
        <w:rPr>
          <w:rStyle w:val="normaltextrun"/>
        </w:rPr>
        <w:t xml:space="preserve"> </w:t>
      </w:r>
      <w:r w:rsidRPr="509B18F9">
        <w:rPr>
          <w:rStyle w:val="normaltextrun"/>
        </w:rPr>
        <w:t>clinical</w:t>
      </w:r>
      <w:r w:rsidR="70CB60E8" w:rsidRPr="509B18F9">
        <w:rPr>
          <w:rStyle w:val="normaltextrun"/>
        </w:rPr>
        <w:t xml:space="preserve"> </w:t>
      </w:r>
      <w:r w:rsidRPr="509B18F9">
        <w:rPr>
          <w:rStyle w:val="normaltextrun"/>
        </w:rPr>
        <w:t>details</w:t>
      </w:r>
      <w:r w:rsidR="70CB60E8" w:rsidRPr="509B18F9">
        <w:rPr>
          <w:rStyle w:val="normaltextrun"/>
        </w:rPr>
        <w:t xml:space="preserve"> </w:t>
      </w:r>
      <w:r w:rsidRPr="509B18F9">
        <w:rPr>
          <w:rStyle w:val="normaltextrun"/>
        </w:rPr>
        <w:t>have</w:t>
      </w:r>
      <w:r w:rsidR="70CB60E8" w:rsidRPr="509B18F9">
        <w:rPr>
          <w:rStyle w:val="normaltextrun"/>
        </w:rPr>
        <w:t xml:space="preserve"> </w:t>
      </w:r>
      <w:r w:rsidRPr="509B18F9">
        <w:rPr>
          <w:rStyle w:val="normaltextrun"/>
        </w:rPr>
        <w:t>been</w:t>
      </w:r>
      <w:r w:rsidR="70CB60E8" w:rsidRPr="509B18F9">
        <w:rPr>
          <w:rStyle w:val="normaltextrun"/>
        </w:rPr>
        <w:t xml:space="preserve"> </w:t>
      </w:r>
      <w:r w:rsidR="05F852A9" w:rsidRPr="509B18F9">
        <w:rPr>
          <w:rStyle w:val="normaltextrun"/>
        </w:rPr>
        <w:t>deidentified</w:t>
      </w:r>
      <w:r w:rsidR="70CB60E8" w:rsidRPr="509B18F9">
        <w:rPr>
          <w:rStyle w:val="normaltextrun"/>
        </w:rPr>
        <w:t xml:space="preserve"> </w:t>
      </w:r>
      <w:r w:rsidRPr="509B18F9">
        <w:rPr>
          <w:rStyle w:val="normaltextrun"/>
        </w:rPr>
        <w:t>to</w:t>
      </w:r>
      <w:r w:rsidR="70CB60E8" w:rsidRPr="509B18F9">
        <w:rPr>
          <w:rStyle w:val="normaltextrun"/>
        </w:rPr>
        <w:t xml:space="preserve"> </w:t>
      </w:r>
      <w:r w:rsidRPr="509B18F9">
        <w:rPr>
          <w:rStyle w:val="normaltextrun"/>
        </w:rPr>
        <w:t>protect</w:t>
      </w:r>
      <w:r w:rsidR="70CB60E8" w:rsidRPr="509B18F9">
        <w:rPr>
          <w:rStyle w:val="normaltextrun"/>
        </w:rPr>
        <w:t xml:space="preserve"> </w:t>
      </w:r>
      <w:r w:rsidRPr="509B18F9">
        <w:rPr>
          <w:rStyle w:val="normaltextrun"/>
        </w:rPr>
        <w:t>patient</w:t>
      </w:r>
      <w:r w:rsidR="70CB60E8" w:rsidRPr="509B18F9">
        <w:rPr>
          <w:rStyle w:val="normaltextrun"/>
        </w:rPr>
        <w:t xml:space="preserve"> </w:t>
      </w:r>
      <w:r w:rsidRPr="509B18F9">
        <w:rPr>
          <w:rStyle w:val="normaltextrun"/>
        </w:rPr>
        <w:t>and</w:t>
      </w:r>
      <w:r w:rsidR="70CB60E8" w:rsidRPr="509B18F9">
        <w:rPr>
          <w:rStyle w:val="normaltextrun"/>
        </w:rPr>
        <w:t xml:space="preserve"> </w:t>
      </w:r>
      <w:r w:rsidRPr="509B18F9">
        <w:rPr>
          <w:rStyle w:val="normaltextrun"/>
        </w:rPr>
        <w:t>staff</w:t>
      </w:r>
      <w:r w:rsidR="70CB60E8" w:rsidRPr="509B18F9">
        <w:rPr>
          <w:rStyle w:val="normaltextrun"/>
        </w:rPr>
        <w:t xml:space="preserve"> </w:t>
      </w:r>
      <w:r w:rsidRPr="509B18F9">
        <w:rPr>
          <w:rStyle w:val="normaltextrun"/>
        </w:rPr>
        <w:t>privacy.</w:t>
      </w:r>
      <w:r w:rsidR="70CB60E8" w:rsidRPr="509B18F9">
        <w:rPr>
          <w:rStyle w:val="normaltextrun"/>
        </w:rPr>
        <w:t xml:space="preserve"> </w:t>
      </w:r>
      <w:r w:rsidRPr="509B18F9">
        <w:rPr>
          <w:rStyle w:val="normaltextrun"/>
        </w:rPr>
        <w:t>Data</w:t>
      </w:r>
      <w:r w:rsidR="70CB60E8" w:rsidRPr="509B18F9">
        <w:rPr>
          <w:rStyle w:val="normaltextrun"/>
        </w:rPr>
        <w:t xml:space="preserve"> </w:t>
      </w:r>
      <w:r w:rsidRPr="509B18F9">
        <w:rPr>
          <w:rStyle w:val="normaltextrun"/>
        </w:rPr>
        <w:t>has</w:t>
      </w:r>
      <w:r w:rsidR="70CB60E8" w:rsidRPr="509B18F9">
        <w:rPr>
          <w:rStyle w:val="normaltextrun"/>
        </w:rPr>
        <w:t xml:space="preserve"> </w:t>
      </w:r>
      <w:r w:rsidRPr="509B18F9">
        <w:rPr>
          <w:rStyle w:val="normaltextrun"/>
        </w:rPr>
        <w:t>been</w:t>
      </w:r>
      <w:r w:rsidR="70CB60E8" w:rsidRPr="509B18F9">
        <w:rPr>
          <w:rStyle w:val="normaltextrun"/>
        </w:rPr>
        <w:t xml:space="preserve"> </w:t>
      </w:r>
      <w:r w:rsidRPr="509B18F9">
        <w:rPr>
          <w:rStyle w:val="normaltextrun"/>
        </w:rPr>
        <w:t>rounded</w:t>
      </w:r>
      <w:r w:rsidR="70CB60E8" w:rsidRPr="509B18F9">
        <w:rPr>
          <w:rStyle w:val="normaltextrun"/>
        </w:rPr>
        <w:t xml:space="preserve"> </w:t>
      </w:r>
      <w:r w:rsidRPr="509B18F9">
        <w:rPr>
          <w:rStyle w:val="normaltextrun"/>
        </w:rPr>
        <w:t>to</w:t>
      </w:r>
      <w:r w:rsidR="70CB60E8" w:rsidRPr="509B18F9">
        <w:rPr>
          <w:rStyle w:val="normaltextrun"/>
        </w:rPr>
        <w:t xml:space="preserve"> </w:t>
      </w:r>
      <w:r w:rsidRPr="509B18F9">
        <w:rPr>
          <w:rStyle w:val="normaltextrun"/>
        </w:rPr>
        <w:t>the</w:t>
      </w:r>
      <w:r w:rsidR="70CB60E8" w:rsidRPr="509B18F9">
        <w:rPr>
          <w:rStyle w:val="normaltextrun"/>
        </w:rPr>
        <w:t xml:space="preserve"> </w:t>
      </w:r>
      <w:r w:rsidRPr="509B18F9">
        <w:rPr>
          <w:rStyle w:val="normaltextrun"/>
        </w:rPr>
        <w:t>nearest</w:t>
      </w:r>
      <w:r w:rsidR="70CB60E8" w:rsidRPr="509B18F9">
        <w:rPr>
          <w:rStyle w:val="normaltextrun"/>
        </w:rPr>
        <w:t xml:space="preserve"> </w:t>
      </w:r>
      <w:r w:rsidRPr="509B18F9">
        <w:rPr>
          <w:rStyle w:val="normaltextrun"/>
        </w:rPr>
        <w:t>percentage</w:t>
      </w:r>
      <w:r w:rsidR="2AABB506" w:rsidRPr="509B18F9">
        <w:rPr>
          <w:rStyle w:val="normaltextrun"/>
        </w:rPr>
        <w:t>. W</w:t>
      </w:r>
      <w:r w:rsidRPr="509B18F9">
        <w:rPr>
          <w:rStyle w:val="normaltextrun"/>
        </w:rPr>
        <w:t>here</w:t>
      </w:r>
      <w:r w:rsidR="70CB60E8" w:rsidRPr="509B18F9">
        <w:rPr>
          <w:rStyle w:val="normaltextrun"/>
        </w:rPr>
        <w:t xml:space="preserve"> </w:t>
      </w:r>
      <w:r w:rsidRPr="509B18F9">
        <w:rPr>
          <w:rStyle w:val="normaltextrun"/>
        </w:rPr>
        <w:t>graph</w:t>
      </w:r>
      <w:r w:rsidR="07031D8F" w:rsidRPr="509B18F9">
        <w:rPr>
          <w:rStyle w:val="normaltextrun"/>
        </w:rPr>
        <w:t>s</w:t>
      </w:r>
      <w:r w:rsidR="70CB60E8" w:rsidRPr="509B18F9">
        <w:rPr>
          <w:rStyle w:val="normaltextrun"/>
        </w:rPr>
        <w:t xml:space="preserve"> </w:t>
      </w:r>
      <w:r w:rsidRPr="509B18F9">
        <w:rPr>
          <w:rStyle w:val="normaltextrun"/>
        </w:rPr>
        <w:t>show</w:t>
      </w:r>
      <w:r w:rsidR="70CB60E8" w:rsidRPr="509B18F9">
        <w:rPr>
          <w:rStyle w:val="normaltextrun"/>
        </w:rPr>
        <w:t xml:space="preserve"> </w:t>
      </w:r>
      <w:r w:rsidRPr="509B18F9">
        <w:rPr>
          <w:rStyle w:val="normaltextrun"/>
        </w:rPr>
        <w:t>multiple</w:t>
      </w:r>
      <w:r w:rsidR="70CB60E8" w:rsidRPr="509B18F9">
        <w:rPr>
          <w:rStyle w:val="normaltextrun"/>
        </w:rPr>
        <w:t xml:space="preserve"> </w:t>
      </w:r>
      <w:r w:rsidRPr="509B18F9">
        <w:rPr>
          <w:rStyle w:val="normaltextrun"/>
        </w:rPr>
        <w:t>categories,</w:t>
      </w:r>
      <w:r w:rsidR="70CB60E8" w:rsidRPr="509B18F9">
        <w:rPr>
          <w:rStyle w:val="normaltextrun"/>
        </w:rPr>
        <w:t xml:space="preserve"> </w:t>
      </w:r>
      <w:r w:rsidRPr="509B18F9">
        <w:rPr>
          <w:rStyle w:val="normaltextrun"/>
        </w:rPr>
        <w:t>only</w:t>
      </w:r>
      <w:r w:rsidR="70CB60E8" w:rsidRPr="509B18F9">
        <w:rPr>
          <w:rStyle w:val="normaltextrun"/>
        </w:rPr>
        <w:t xml:space="preserve"> </w:t>
      </w:r>
      <w:r w:rsidR="07031D8F" w:rsidRPr="509B18F9">
        <w:rPr>
          <w:rStyle w:val="normaltextrun"/>
        </w:rPr>
        <w:t>the top</w:t>
      </w:r>
      <w:r w:rsidR="70CB60E8" w:rsidRPr="509B18F9">
        <w:rPr>
          <w:rStyle w:val="normaltextrun"/>
        </w:rPr>
        <w:t xml:space="preserve"> </w:t>
      </w:r>
      <w:r w:rsidRPr="509B18F9">
        <w:rPr>
          <w:rStyle w:val="normaltextrun"/>
        </w:rPr>
        <w:t>80</w:t>
      </w:r>
      <w:r w:rsidR="3FAAF8D8" w:rsidRPr="509B18F9">
        <w:rPr>
          <w:rStyle w:val="normaltextrun"/>
        </w:rPr>
        <w:t>%</w:t>
      </w:r>
      <w:r w:rsidR="09FF4195" w:rsidRPr="509B18F9">
        <w:rPr>
          <w:rStyle w:val="normaltextrun"/>
        </w:rPr>
        <w:t xml:space="preserve"> </w:t>
      </w:r>
      <w:r w:rsidRPr="509B18F9">
        <w:rPr>
          <w:rStyle w:val="normaltextrun"/>
        </w:rPr>
        <w:t>of</w:t>
      </w:r>
      <w:r w:rsidR="70CB60E8" w:rsidRPr="509B18F9">
        <w:rPr>
          <w:rStyle w:val="normaltextrun"/>
        </w:rPr>
        <w:t xml:space="preserve"> </w:t>
      </w:r>
      <w:r w:rsidR="07031D8F" w:rsidRPr="509B18F9">
        <w:rPr>
          <w:rStyle w:val="normaltextrun"/>
        </w:rPr>
        <w:t>data</w:t>
      </w:r>
      <w:r w:rsidR="70CB60E8" w:rsidRPr="509B18F9">
        <w:rPr>
          <w:rStyle w:val="normaltextrun"/>
        </w:rPr>
        <w:t xml:space="preserve"> </w:t>
      </w:r>
      <w:r w:rsidRPr="509B18F9">
        <w:rPr>
          <w:rStyle w:val="normaltextrun"/>
        </w:rPr>
        <w:t>may</w:t>
      </w:r>
      <w:r w:rsidR="70CB60E8" w:rsidRPr="509B18F9">
        <w:rPr>
          <w:rStyle w:val="normaltextrun"/>
        </w:rPr>
        <w:t xml:space="preserve"> </w:t>
      </w:r>
      <w:r w:rsidRPr="509B18F9">
        <w:rPr>
          <w:rStyle w:val="normaltextrun"/>
        </w:rPr>
        <w:t>be</w:t>
      </w:r>
      <w:r w:rsidR="70CB60E8" w:rsidRPr="509B18F9">
        <w:rPr>
          <w:rStyle w:val="normaltextrun"/>
        </w:rPr>
        <w:t xml:space="preserve"> </w:t>
      </w:r>
      <w:r w:rsidR="07031D8F" w:rsidRPr="509B18F9">
        <w:rPr>
          <w:rStyle w:val="normaltextrun"/>
        </w:rPr>
        <w:t>shown</w:t>
      </w:r>
      <w:r w:rsidR="70CB60E8" w:rsidRPr="509B18F9">
        <w:rPr>
          <w:rStyle w:val="normaltextrun"/>
        </w:rPr>
        <w:t xml:space="preserve"> </w:t>
      </w:r>
      <w:r w:rsidRPr="509B18F9">
        <w:rPr>
          <w:rStyle w:val="normaltextrun"/>
        </w:rPr>
        <w:t>for</w:t>
      </w:r>
      <w:r w:rsidR="70CB60E8" w:rsidRPr="509B18F9">
        <w:rPr>
          <w:rStyle w:val="normaltextrun"/>
        </w:rPr>
        <w:t xml:space="preserve"> </w:t>
      </w:r>
      <w:r w:rsidRPr="509B18F9">
        <w:rPr>
          <w:rStyle w:val="normaltextrun"/>
        </w:rPr>
        <w:t>easier</w:t>
      </w:r>
      <w:r w:rsidR="70CB60E8" w:rsidRPr="509B18F9">
        <w:rPr>
          <w:rStyle w:val="normaltextrun"/>
        </w:rPr>
        <w:t xml:space="preserve"> </w:t>
      </w:r>
      <w:r w:rsidRPr="509B18F9">
        <w:rPr>
          <w:rStyle w:val="normaltextrun"/>
        </w:rPr>
        <w:t>interpretation.</w:t>
      </w:r>
      <w:r w:rsidR="4CBD002A" w:rsidRPr="509B18F9">
        <w:rPr>
          <w:rStyle w:val="normaltextrun"/>
        </w:rPr>
        <w:t xml:space="preserve"> </w:t>
      </w:r>
    </w:p>
    <w:p w14:paraId="4C72F118" w14:textId="2970BE53" w:rsidR="002E001E" w:rsidRDefault="31E00183" w:rsidP="002E001E">
      <w:pPr>
        <w:pStyle w:val="SCVbody"/>
        <w:rPr>
          <w:rStyle w:val="normaltextrun"/>
        </w:rPr>
      </w:pPr>
      <w:r w:rsidRPr="509B18F9">
        <w:rPr>
          <w:rStyle w:val="normaltextrun"/>
        </w:rPr>
        <w:t xml:space="preserve">We note that sentinel event data </w:t>
      </w:r>
      <w:r w:rsidR="7928C653" w:rsidRPr="509B18F9">
        <w:rPr>
          <w:rStyle w:val="normaltextrun"/>
        </w:rPr>
        <w:t>cited in this report</w:t>
      </w:r>
      <w:r w:rsidRPr="509B18F9">
        <w:rPr>
          <w:rStyle w:val="normaltextrun"/>
        </w:rPr>
        <w:t xml:space="preserve"> is based solely on sentinel event</w:t>
      </w:r>
      <w:r w:rsidR="492C34FD" w:rsidRPr="509B18F9">
        <w:rPr>
          <w:rStyle w:val="normaltextrun"/>
        </w:rPr>
        <w:t>s reported by Victorian health services</w:t>
      </w:r>
      <w:r w:rsidR="54B04A3D" w:rsidRPr="509B18F9">
        <w:rPr>
          <w:rStyle w:val="normaltextrun"/>
        </w:rPr>
        <w:t xml:space="preserve"> </w:t>
      </w:r>
      <w:r w:rsidR="56975523" w:rsidRPr="509B18F9">
        <w:rPr>
          <w:rStyle w:val="normaltextrun"/>
        </w:rPr>
        <w:t>t</w:t>
      </w:r>
      <w:r w:rsidR="28C2326D" w:rsidRPr="509B18F9">
        <w:rPr>
          <w:rStyle w:val="normaltextrun"/>
        </w:rPr>
        <w:t>o SCV in</w:t>
      </w:r>
      <w:r w:rsidR="54B04A3D" w:rsidRPr="509B18F9">
        <w:rPr>
          <w:rStyle w:val="normaltextrun"/>
        </w:rPr>
        <w:t xml:space="preserve"> the sentinel event portal and</w:t>
      </w:r>
      <w:r w:rsidRPr="509B18F9">
        <w:rPr>
          <w:rStyle w:val="normaltextrun"/>
        </w:rPr>
        <w:t xml:space="preserve"> acknowledg</w:t>
      </w:r>
      <w:r w:rsidR="045423AC" w:rsidRPr="509B18F9">
        <w:rPr>
          <w:rStyle w:val="normaltextrun"/>
        </w:rPr>
        <w:t>e</w:t>
      </w:r>
      <w:r w:rsidRPr="509B18F9">
        <w:rPr>
          <w:rStyle w:val="normaltextrun"/>
        </w:rPr>
        <w:t xml:space="preserve"> </w:t>
      </w:r>
      <w:r w:rsidR="715C0991" w:rsidRPr="509B18F9">
        <w:rPr>
          <w:rStyle w:val="normaltextrun"/>
        </w:rPr>
        <w:t>potential</w:t>
      </w:r>
      <w:r w:rsidRPr="509B18F9">
        <w:rPr>
          <w:rStyle w:val="normaltextrun"/>
        </w:rPr>
        <w:t xml:space="preserve"> limit</w:t>
      </w:r>
      <w:r w:rsidR="658EEF45" w:rsidRPr="509B18F9">
        <w:rPr>
          <w:rStyle w:val="normaltextrun"/>
        </w:rPr>
        <w:t>ations</w:t>
      </w:r>
      <w:r w:rsidRPr="509B18F9">
        <w:rPr>
          <w:rStyle w:val="normaltextrun"/>
        </w:rPr>
        <w:t xml:space="preserve"> </w:t>
      </w:r>
      <w:r w:rsidR="7B6A745A" w:rsidRPr="509B18F9">
        <w:rPr>
          <w:rStyle w:val="normaltextrun"/>
        </w:rPr>
        <w:t>in</w:t>
      </w:r>
      <w:r w:rsidRPr="509B18F9">
        <w:rPr>
          <w:rStyle w:val="normaltextrun"/>
        </w:rPr>
        <w:t xml:space="preserve"> this </w:t>
      </w:r>
      <w:r w:rsidR="7B6A745A" w:rsidRPr="509B18F9">
        <w:rPr>
          <w:rStyle w:val="normaltextrun"/>
        </w:rPr>
        <w:t>regard</w:t>
      </w:r>
      <w:r w:rsidRPr="509B18F9">
        <w:rPr>
          <w:rStyle w:val="normaltextrun"/>
        </w:rPr>
        <w:t xml:space="preserve">. </w:t>
      </w:r>
    </w:p>
    <w:p w14:paraId="431EE592" w14:textId="77777777" w:rsidR="006631EC" w:rsidRDefault="006631EC" w:rsidP="002E001E">
      <w:pPr>
        <w:pStyle w:val="SCVbody"/>
        <w:rPr>
          <w:rStyle w:val="normaltextrun"/>
        </w:rPr>
      </w:pPr>
    </w:p>
    <w:p w14:paraId="2359B91D" w14:textId="77777777" w:rsidR="006631EC" w:rsidRDefault="006631EC" w:rsidP="002E001E">
      <w:pPr>
        <w:pStyle w:val="SCVbody"/>
        <w:rPr>
          <w:rStyle w:val="normaltextrun"/>
        </w:rPr>
      </w:pPr>
    </w:p>
    <w:p w14:paraId="559B4F60" w14:textId="77777777" w:rsidR="006631EC" w:rsidRDefault="006631EC" w:rsidP="002E001E">
      <w:pPr>
        <w:pStyle w:val="SCVbody"/>
        <w:rPr>
          <w:rStyle w:val="normaltextrun"/>
        </w:rPr>
      </w:pPr>
    </w:p>
    <w:p w14:paraId="73C0AAB6" w14:textId="77777777" w:rsidR="006631EC" w:rsidRDefault="006631EC" w:rsidP="002E001E">
      <w:pPr>
        <w:pStyle w:val="SCVbody"/>
        <w:rPr>
          <w:rStyle w:val="normaltextrun"/>
        </w:rPr>
      </w:pPr>
    </w:p>
    <w:p w14:paraId="7A7E87C1" w14:textId="77777777" w:rsidR="00FF7818" w:rsidRPr="005F78A1" w:rsidRDefault="00FF7818" w:rsidP="00FF7818">
      <w:pPr>
        <w:pStyle w:val="Heading2"/>
        <w:rPr>
          <w:color w:val="007586" w:themeColor="text2"/>
        </w:rPr>
      </w:pPr>
      <w:bookmarkStart w:id="12" w:name="_Toc238026633"/>
      <w:r w:rsidRPr="005F78A1">
        <w:rPr>
          <w:color w:val="007586" w:themeColor="text2"/>
        </w:rPr>
        <w:lastRenderedPageBreak/>
        <w:t>Feedback and future reports</w:t>
      </w:r>
      <w:bookmarkEnd w:id="12"/>
      <w:r w:rsidRPr="005F78A1">
        <w:rPr>
          <w:color w:val="007586" w:themeColor="text2"/>
        </w:rPr>
        <w:t xml:space="preserve"> </w:t>
      </w:r>
    </w:p>
    <w:p w14:paraId="632AE029" w14:textId="77777777" w:rsidR="00FF7818" w:rsidRPr="005F78A1" w:rsidRDefault="00FF7818" w:rsidP="00563F00">
      <w:pPr>
        <w:pStyle w:val="Heading3"/>
        <w:rPr>
          <w:color w:val="004C97" w:themeColor="accent4"/>
        </w:rPr>
      </w:pPr>
      <w:r w:rsidRPr="005F78A1">
        <w:rPr>
          <w:rStyle w:val="normaltextrun"/>
          <w:color w:val="004C97" w:themeColor="accent4"/>
        </w:rPr>
        <w:t>How did we do?</w:t>
      </w:r>
    </w:p>
    <w:p w14:paraId="7EE67835" w14:textId="77777777" w:rsidR="00FF7818" w:rsidRPr="00EB5E6B" w:rsidRDefault="00FF7818" w:rsidP="00FF7818">
      <w:pPr>
        <w:pStyle w:val="SCVbody"/>
        <w:rPr>
          <w:rFonts w:ascii="Arial" w:hAnsi="Arial" w:cs="Arial"/>
        </w:rPr>
      </w:pPr>
      <w:r w:rsidRPr="1D8ABA5E">
        <w:rPr>
          <w:rStyle w:val="SCVbodyChar"/>
        </w:rPr>
        <w:t xml:space="preserve">When you have finished reading this report, we would </w:t>
      </w:r>
      <w:r w:rsidRPr="1D8ABA5E">
        <w:rPr>
          <w:rStyle w:val="normaltextrun"/>
        </w:rPr>
        <w:t xml:space="preserve">value your feedback. Please complete our </w:t>
      </w:r>
      <w:hyperlink r:id="rId23">
        <w:r w:rsidRPr="1D8ABA5E">
          <w:rPr>
            <w:rStyle w:val="Hyperlink"/>
          </w:rPr>
          <w:t>online survey</w:t>
        </w:r>
      </w:hyperlink>
      <w:r w:rsidRPr="1D8ABA5E">
        <w:rPr>
          <w:rStyle w:val="normaltextrun"/>
          <w:rFonts w:ascii="Arial" w:hAnsi="Arial" w:cs="Arial"/>
        </w:rPr>
        <w:t xml:space="preserve"> &lt;https://forms.cloud.microsoft/pages/responsepage.aspx?id=H2DgwKwPnESciKEExOufKKKiKj4jFNJOpdpiDEyZVANUNlhBMkwyUTJERVNRQ0IzWElST1g0RVpUNC4u&amp;origin=QRCode&amp;route=shorturl&gt;</w:t>
      </w:r>
      <w:r w:rsidRPr="1D8ABA5E">
        <w:rPr>
          <w:rFonts w:eastAsiaTheme="minorEastAsia"/>
          <w:sz w:val="20"/>
          <w:szCs w:val="20"/>
          <w:lang w:eastAsia="en-AU"/>
        </w:rPr>
        <w:t xml:space="preserve"> </w:t>
      </w:r>
      <w:r>
        <w:t>or use the QR code below to access it</w:t>
      </w:r>
      <w:r w:rsidRPr="1D8ABA5E">
        <w:rPr>
          <w:rFonts w:ascii="Arial" w:hAnsi="Arial" w:cs="Arial"/>
        </w:rPr>
        <w:t>.</w:t>
      </w:r>
    </w:p>
    <w:p w14:paraId="6A9E77FF" w14:textId="77777777" w:rsidR="00FF7818" w:rsidRDefault="00FF7818" w:rsidP="00FF7818">
      <w:pPr>
        <w:pStyle w:val="SCVbody"/>
      </w:pPr>
      <w:r>
        <w:rPr>
          <w:noProof/>
        </w:rPr>
        <w:drawing>
          <wp:inline distT="0" distB="0" distL="0" distR="0" wp14:anchorId="6A30276B" wp14:editId="546535A5">
            <wp:extent cx="2257425" cy="2095500"/>
            <wp:effectExtent l="0" t="0" r="9525" b="0"/>
            <wp:docPr id="1842833955" name="drawing" descr="QR code to the Sentinel Events Annual Report 2024-2025 Feedback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33955" name="drawing" descr="QR code to the Sentinel Events Annual Report 2024-2025 Feedback Survey"/>
                    <pic:cNvPicPr/>
                  </pic:nvPicPr>
                  <pic:blipFill rotWithShape="1">
                    <a:blip r:embed="rId24">
                      <a:extLst>
                        <a:ext uri="{28A0092B-C50C-407E-A947-70E740481C1C}">
                          <a14:useLocalDpi xmlns:a14="http://schemas.microsoft.com/office/drawing/2010/main"/>
                        </a:ext>
                      </a:extLst>
                    </a:blip>
                    <a:srcRect l="13415" t="27439" r="14329" b="5488"/>
                    <a:stretch>
                      <a:fillRect/>
                    </a:stretch>
                  </pic:blipFill>
                  <pic:spPr bwMode="auto">
                    <a:xfrm>
                      <a:off x="0" y="0"/>
                      <a:ext cx="2257425" cy="2095500"/>
                    </a:xfrm>
                    <a:prstGeom prst="rect">
                      <a:avLst/>
                    </a:prstGeom>
                    <a:ln>
                      <a:noFill/>
                    </a:ln>
                    <a:extLst>
                      <a:ext uri="{53640926-AAD7-44D8-BBD7-CCE9431645EC}">
                        <a14:shadowObscured xmlns:a14="http://schemas.microsoft.com/office/drawing/2010/main"/>
                      </a:ext>
                    </a:extLst>
                  </pic:spPr>
                </pic:pic>
              </a:graphicData>
            </a:graphic>
          </wp:inline>
        </w:drawing>
      </w:r>
    </w:p>
    <w:p w14:paraId="5C6E5D75" w14:textId="77777777" w:rsidR="00FF7818" w:rsidRPr="005F78A1" w:rsidRDefault="00FF7818" w:rsidP="00FF7818">
      <w:pPr>
        <w:pStyle w:val="SCVbody"/>
        <w:rPr>
          <w:color w:val="004C97" w:themeColor="accent4"/>
        </w:rPr>
      </w:pPr>
      <w:r w:rsidRPr="005F78A1">
        <w:rPr>
          <w:b/>
          <w:bCs/>
          <w:color w:val="004C97" w:themeColor="accent4"/>
        </w:rPr>
        <w:t xml:space="preserve">Do you have a consumer or health service story to share? </w:t>
      </w:r>
    </w:p>
    <w:p w14:paraId="6A912BE4" w14:textId="110439F5" w:rsidR="002E001E" w:rsidRDefault="00FF7818" w:rsidP="00FF7818">
      <w:pPr>
        <w:pStyle w:val="SCVbody"/>
        <w:rPr>
          <w:rStyle w:val="normaltextrun"/>
          <w:b/>
          <w:bCs/>
          <w:iCs/>
        </w:rPr>
      </w:pPr>
      <w:r w:rsidRPr="53B70809">
        <w:t>If</w:t>
      </w:r>
      <w:r>
        <w:t xml:space="preserve"> </w:t>
      </w:r>
      <w:r w:rsidRPr="53B70809">
        <w:t>you</w:t>
      </w:r>
      <w:r>
        <w:t xml:space="preserve"> </w:t>
      </w:r>
      <w:r w:rsidRPr="53B70809">
        <w:t>would</w:t>
      </w:r>
      <w:r>
        <w:t xml:space="preserve"> </w:t>
      </w:r>
      <w:r w:rsidRPr="53B70809">
        <w:t>like</w:t>
      </w:r>
      <w:r>
        <w:t xml:space="preserve"> </w:t>
      </w:r>
      <w:r w:rsidRPr="53B70809">
        <w:t>to</w:t>
      </w:r>
      <w:r>
        <w:t xml:space="preserve"> </w:t>
      </w:r>
      <w:r w:rsidRPr="53B70809">
        <w:t>be</w:t>
      </w:r>
      <w:r>
        <w:t xml:space="preserve"> </w:t>
      </w:r>
      <w:r w:rsidRPr="53B70809">
        <w:t>involved</w:t>
      </w:r>
      <w:r>
        <w:t xml:space="preserve"> </w:t>
      </w:r>
      <w:r w:rsidRPr="53B70809">
        <w:t>in</w:t>
      </w:r>
      <w:r>
        <w:t xml:space="preserve"> developing </w:t>
      </w:r>
      <w:r w:rsidRPr="53B70809">
        <w:t>future</w:t>
      </w:r>
      <w:r>
        <w:t xml:space="preserve"> </w:t>
      </w:r>
      <w:r w:rsidRPr="53B70809">
        <w:t>reports</w:t>
      </w:r>
      <w:r>
        <w:t xml:space="preserve"> </w:t>
      </w:r>
      <w:r w:rsidRPr="53B70809">
        <w:t>and</w:t>
      </w:r>
      <w:r>
        <w:t xml:space="preserve"> </w:t>
      </w:r>
      <w:r w:rsidRPr="53B70809">
        <w:t>share</w:t>
      </w:r>
      <w:r>
        <w:t xml:space="preserve"> </w:t>
      </w:r>
      <w:r w:rsidRPr="53B70809">
        <w:t>your</w:t>
      </w:r>
      <w:r>
        <w:t xml:space="preserve"> </w:t>
      </w:r>
      <w:r w:rsidRPr="53B70809">
        <w:t>story,</w:t>
      </w:r>
      <w:r>
        <w:t xml:space="preserve"> </w:t>
      </w:r>
      <w:r w:rsidRPr="53B70809">
        <w:t>please</w:t>
      </w:r>
      <w:r>
        <w:t xml:space="preserve"> </w:t>
      </w:r>
      <w:r w:rsidRPr="53B70809">
        <w:t>provide</w:t>
      </w:r>
      <w:r>
        <w:t xml:space="preserve"> </w:t>
      </w:r>
      <w:r w:rsidRPr="53B70809">
        <w:t>your</w:t>
      </w:r>
      <w:r>
        <w:t xml:space="preserve"> </w:t>
      </w:r>
      <w:r w:rsidRPr="53B70809">
        <w:t>contact</w:t>
      </w:r>
      <w:r>
        <w:t xml:space="preserve"> </w:t>
      </w:r>
      <w:r w:rsidRPr="53B70809">
        <w:t>details</w:t>
      </w:r>
      <w:r>
        <w:t xml:space="preserve"> </w:t>
      </w:r>
      <w:r w:rsidRPr="53B70809">
        <w:t>at</w:t>
      </w:r>
      <w:r>
        <w:t xml:space="preserve"> </w:t>
      </w:r>
      <w:r w:rsidRPr="53B70809">
        <w:t>the</w:t>
      </w:r>
      <w:r>
        <w:t xml:space="preserve"> </w:t>
      </w:r>
      <w:r w:rsidRPr="53B70809">
        <w:t>end</w:t>
      </w:r>
      <w:r>
        <w:t xml:space="preserve"> </w:t>
      </w:r>
      <w:r w:rsidRPr="53B70809">
        <w:t>of</w:t>
      </w:r>
      <w:r>
        <w:t xml:space="preserve"> </w:t>
      </w:r>
      <w:r w:rsidRPr="53B70809">
        <w:t>the</w:t>
      </w:r>
      <w:r>
        <w:t xml:space="preserve"> </w:t>
      </w:r>
      <w:r w:rsidRPr="53B70809">
        <w:t>survey</w:t>
      </w:r>
      <w:r w:rsidRPr="00010C6E">
        <w:rPr>
          <w:szCs w:val="24"/>
        </w:rPr>
        <w:t xml:space="preserve"> or </w:t>
      </w:r>
      <w:hyperlink r:id="rId25">
        <w:r w:rsidRPr="00010C6E">
          <w:rPr>
            <w:rStyle w:val="Hyperlink"/>
            <w:szCs w:val="24"/>
          </w:rPr>
          <w:t>email SCV</w:t>
        </w:r>
      </w:hyperlink>
      <w:r>
        <w:t xml:space="preserve"> </w:t>
      </w:r>
      <w:r w:rsidRPr="53B70809">
        <w:t>&lt;sentinel.events@safercare.vic.gov.au&gt;.</w:t>
      </w:r>
    </w:p>
    <w:p w14:paraId="6CBAE2C1" w14:textId="442361D3" w:rsidR="0068157A" w:rsidRPr="009344AE" w:rsidRDefault="0068157A" w:rsidP="0057201C">
      <w:pPr>
        <w:pStyle w:val="SCVbody"/>
      </w:pPr>
      <w:r>
        <w:rPr>
          <w:b/>
          <w:bCs/>
        </w:rPr>
        <w:br w:type="page"/>
      </w:r>
    </w:p>
    <w:p w14:paraId="42EEFC37" w14:textId="034514F2" w:rsidR="00490C73" w:rsidRPr="000249AE" w:rsidRDefault="2E59717B" w:rsidP="00605ED0">
      <w:pPr>
        <w:pStyle w:val="Heading2"/>
        <w:rPr>
          <w:color w:val="007586" w:themeColor="text2"/>
        </w:rPr>
      </w:pPr>
      <w:bookmarkStart w:id="13" w:name="_Toc238026634"/>
      <w:r w:rsidRPr="000249AE">
        <w:rPr>
          <w:color w:val="007586" w:themeColor="text2"/>
        </w:rPr>
        <w:lastRenderedPageBreak/>
        <w:t>What</w:t>
      </w:r>
      <w:r w:rsidR="5811132B" w:rsidRPr="000249AE">
        <w:rPr>
          <w:color w:val="007586" w:themeColor="text2"/>
        </w:rPr>
        <w:t xml:space="preserve"> </w:t>
      </w:r>
      <w:r w:rsidR="3DE5B4C3" w:rsidRPr="000249AE">
        <w:rPr>
          <w:color w:val="007586" w:themeColor="text2"/>
        </w:rPr>
        <w:t>is</w:t>
      </w:r>
      <w:r w:rsidR="5811132B" w:rsidRPr="000249AE">
        <w:rPr>
          <w:color w:val="007586" w:themeColor="text2"/>
        </w:rPr>
        <w:t xml:space="preserve"> </w:t>
      </w:r>
      <w:r w:rsidR="3DE5B4C3" w:rsidRPr="000249AE">
        <w:rPr>
          <w:color w:val="007586" w:themeColor="text2"/>
        </w:rPr>
        <w:t>a</w:t>
      </w:r>
      <w:r w:rsidR="5811132B" w:rsidRPr="000249AE">
        <w:rPr>
          <w:color w:val="007586" w:themeColor="text2"/>
        </w:rPr>
        <w:t xml:space="preserve"> </w:t>
      </w:r>
      <w:r w:rsidR="3DE5B4C3" w:rsidRPr="000249AE">
        <w:rPr>
          <w:color w:val="007586" w:themeColor="text2"/>
        </w:rPr>
        <w:t>sentinel</w:t>
      </w:r>
      <w:r w:rsidR="5811132B" w:rsidRPr="000249AE">
        <w:rPr>
          <w:color w:val="007586" w:themeColor="text2"/>
        </w:rPr>
        <w:t xml:space="preserve"> </w:t>
      </w:r>
      <w:r w:rsidR="3DE5B4C3" w:rsidRPr="000249AE">
        <w:rPr>
          <w:color w:val="007586" w:themeColor="text2"/>
        </w:rPr>
        <w:t>event</w:t>
      </w:r>
      <w:r w:rsidR="21F2D40D" w:rsidRPr="000249AE">
        <w:rPr>
          <w:color w:val="007586" w:themeColor="text2"/>
        </w:rPr>
        <w:t>?</w:t>
      </w:r>
      <w:bookmarkEnd w:id="13"/>
      <w:r w:rsidR="5811132B" w:rsidRPr="000249AE">
        <w:rPr>
          <w:color w:val="007586" w:themeColor="text2"/>
        </w:rPr>
        <w:t xml:space="preserve"> </w:t>
      </w:r>
    </w:p>
    <w:p w14:paraId="55091817" w14:textId="3ECBD26B" w:rsidR="00293F69" w:rsidRPr="00672BD6" w:rsidRDefault="002F7674" w:rsidP="509B18F9">
      <w:pPr>
        <w:pStyle w:val="SCVbody"/>
        <w:rPr>
          <w:b/>
          <w:bCs/>
        </w:rPr>
      </w:pPr>
      <w:r w:rsidRPr="737E8E9D">
        <w:t xml:space="preserve">The </w:t>
      </w:r>
      <w:r w:rsidR="00D52F3E" w:rsidRPr="737E8E9D">
        <w:t xml:space="preserve">Australian Commission on Safety and Quality in Health Care </w:t>
      </w:r>
      <w:r w:rsidR="00D52F3E">
        <w:rPr>
          <w:bCs/>
          <w:szCs w:val="24"/>
        </w:rPr>
        <w:t>(</w:t>
      </w:r>
      <w:r w:rsidRPr="737E8E9D">
        <w:t>ACSQHC</w:t>
      </w:r>
      <w:r w:rsidR="00D52F3E">
        <w:rPr>
          <w:bCs/>
          <w:szCs w:val="24"/>
        </w:rPr>
        <w:t>)</w:t>
      </w:r>
      <w:r w:rsidRPr="737E8E9D">
        <w:t xml:space="preserve"> defines sentinel events as </w:t>
      </w:r>
      <w:r w:rsidR="0023564F" w:rsidRPr="737E8E9D" w:rsidDel="0023564F">
        <w:rPr>
          <w:b/>
          <w:bCs/>
        </w:rPr>
        <w:t>‘</w:t>
      </w:r>
      <w:r>
        <w:t>a subset of adverse patient safety events that are preventable and result in serious harm to, or the death of, a patient</w:t>
      </w:r>
      <w:r w:rsidR="0023564F" w:rsidRPr="3321E0FF">
        <w:rPr>
          <w:b/>
          <w:bCs/>
        </w:rPr>
        <w:t>’</w:t>
      </w:r>
      <w:r>
        <w:t xml:space="preserve">. </w:t>
      </w:r>
      <w:r w:rsidR="00293F69">
        <w:t>In Victoria, s</w:t>
      </w:r>
      <w:r w:rsidR="00293F69" w:rsidRPr="00672BD6">
        <w:t xml:space="preserve">entinel events are </w:t>
      </w:r>
      <w:r w:rsidR="00293F69">
        <w:t xml:space="preserve">defined as </w:t>
      </w:r>
      <w:r w:rsidR="0023564F" w:rsidRPr="3321E0FF">
        <w:rPr>
          <w:b/>
          <w:bCs/>
        </w:rPr>
        <w:t>‘</w:t>
      </w:r>
      <w:r w:rsidR="00293F69" w:rsidRPr="00672BD6">
        <w:t>unexpected</w:t>
      </w:r>
      <w:r w:rsidR="00293F69">
        <w:t xml:space="preserve"> and </w:t>
      </w:r>
      <w:r w:rsidR="00293F69" w:rsidRPr="00672BD6">
        <w:t>adverse</w:t>
      </w:r>
      <w:r w:rsidR="00293F69" w:rsidRPr="509B18F9">
        <w:t xml:space="preserve"> events that occur infrequently in a health service that result in the death of,</w:t>
      </w:r>
      <w:r w:rsidR="00293F69" w:rsidRPr="0047559C">
        <w:t xml:space="preserve"> </w:t>
      </w:r>
      <w:r w:rsidR="00293F69" w:rsidRPr="00672BD6">
        <w:t xml:space="preserve">or serious physical or psychological </w:t>
      </w:r>
      <w:r w:rsidR="00293F69">
        <w:t>harm</w:t>
      </w:r>
      <w:r w:rsidR="00293F69" w:rsidRPr="00672BD6">
        <w:t xml:space="preserve">, to a patient </w:t>
      </w:r>
      <w:r w:rsidR="00293F69">
        <w:t xml:space="preserve">because of </w:t>
      </w:r>
      <w:r w:rsidR="00293F69" w:rsidRPr="00672BD6">
        <w:t xml:space="preserve">system or process </w:t>
      </w:r>
      <w:r w:rsidR="00293F69">
        <w:t>deficiencies</w:t>
      </w:r>
      <w:r w:rsidR="0023564F" w:rsidRPr="799D3DF1">
        <w:rPr>
          <w:b/>
          <w:bCs/>
        </w:rPr>
        <w:t>’</w:t>
      </w:r>
      <w:r w:rsidR="00293F69" w:rsidRPr="00672BD6">
        <w:t>.</w:t>
      </w:r>
      <w:r w:rsidR="00293F69" w:rsidRPr="00711D5C">
        <w:rPr>
          <w:vertAlign w:val="superscript"/>
        </w:rPr>
        <w:footnoteReference w:id="2"/>
      </w:r>
    </w:p>
    <w:p w14:paraId="04F5F57F" w14:textId="12FA871A" w:rsidR="003413C0" w:rsidRPr="00BD5964" w:rsidRDefault="0052350D" w:rsidP="003D76A5">
      <w:pPr>
        <w:pStyle w:val="SCVbody"/>
      </w:pPr>
      <w:r w:rsidRPr="351727A7" w:rsidDel="0052350D">
        <w:t>Every</w:t>
      </w:r>
      <w:r w:rsidRPr="351727A7">
        <w:t xml:space="preserve"> Australian</w:t>
      </w:r>
      <w:r w:rsidR="00290FC0">
        <w:t xml:space="preserve"> </w:t>
      </w:r>
      <w:r w:rsidR="00BD54DA">
        <w:t xml:space="preserve">state and territory </w:t>
      </w:r>
      <w:r>
        <w:t xml:space="preserve">monitors </w:t>
      </w:r>
      <w:r w:rsidR="1035096B">
        <w:t>and reports on</w:t>
      </w:r>
      <w:r>
        <w:t xml:space="preserve"> 10 national sentinel event categories. Victoria has an extra </w:t>
      </w:r>
      <w:r w:rsidR="3CE13568">
        <w:t>reporting</w:t>
      </w:r>
      <w:r>
        <w:t xml:space="preserve"> </w:t>
      </w:r>
      <w:r w:rsidR="00653199">
        <w:t>category</w:t>
      </w:r>
      <w:r w:rsidR="00653199" w:rsidDel="0052350D">
        <w:t xml:space="preserve"> </w:t>
      </w:r>
      <w:r>
        <w:t>–</w:t>
      </w:r>
      <w:r w:rsidR="39385C77" w:rsidDel="0052350D">
        <w:t xml:space="preserve"> </w:t>
      </w:r>
      <w:r w:rsidR="39385C77">
        <w:t>category 11</w:t>
      </w:r>
      <w:r>
        <w:t>. Category 11 covers</w:t>
      </w:r>
      <w:r w:rsidR="00BD5964" w:rsidRPr="535041B5">
        <w:rPr>
          <w:rStyle w:val="normaltextrun"/>
          <w:color w:val="000000" w:themeColor="text1"/>
        </w:rPr>
        <w:t> ‘</w:t>
      </w:r>
      <w:r w:rsidRPr="535041B5">
        <w:rPr>
          <w:rStyle w:val="normaltextrun"/>
          <w:color w:val="000000" w:themeColor="text1"/>
        </w:rPr>
        <w:t>a</w:t>
      </w:r>
      <w:r w:rsidR="00BD5964" w:rsidRPr="535041B5">
        <w:rPr>
          <w:rStyle w:val="normaltextrun"/>
          <w:color w:val="000000" w:themeColor="text1"/>
        </w:rPr>
        <w:t>ll</w:t>
      </w:r>
      <w:r w:rsidR="00BD5964" w:rsidRPr="351727A7">
        <w:rPr>
          <w:rStyle w:val="normaltextrun"/>
          <w:color w:val="000000" w:themeColor="text1"/>
        </w:rPr>
        <w:t xml:space="preserve"> other adverse patient safety events resulting in serious harm or death</w:t>
      </w:r>
      <w:r w:rsidRPr="351727A7">
        <w:rPr>
          <w:rStyle w:val="normaltextrun"/>
          <w:color w:val="000000" w:themeColor="text1"/>
        </w:rPr>
        <w:t>’</w:t>
      </w:r>
      <w:r w:rsidR="03786336" w:rsidRPr="06E8890E">
        <w:rPr>
          <w:rStyle w:val="normaltextrun"/>
          <w:color w:val="000000" w:themeColor="text1"/>
        </w:rPr>
        <w:t xml:space="preserve"> </w:t>
      </w:r>
      <w:r w:rsidR="03786336" w:rsidRPr="1480A3A0">
        <w:rPr>
          <w:rStyle w:val="normaltextrun"/>
          <w:color w:val="000000" w:themeColor="text1"/>
        </w:rPr>
        <w:t>which fall outside standard national reporting</w:t>
      </w:r>
      <w:r w:rsidR="003F1BFA" w:rsidRPr="1480A3A0">
        <w:t>.</w:t>
      </w:r>
    </w:p>
    <w:p w14:paraId="3979625C" w14:textId="0C101CB3" w:rsidR="005C4756" w:rsidRPr="00894E1B" w:rsidRDefault="3CA005D7" w:rsidP="003D76A5">
      <w:pPr>
        <w:pStyle w:val="SCVbody"/>
      </w:pPr>
      <w:r w:rsidRPr="5B247D6C">
        <w:t xml:space="preserve">The full list of these categories is </w:t>
      </w:r>
      <w:r w:rsidR="03B2B391" w:rsidRPr="5B247D6C">
        <w:t>in</w:t>
      </w:r>
      <w:r>
        <w:t xml:space="preserve"> the</w:t>
      </w:r>
      <w:r w:rsidR="33F5A68C">
        <w:t xml:space="preserve"> SCV publication</w:t>
      </w:r>
      <w:r w:rsidR="0023564F" w:rsidRPr="005E7DE4">
        <w:t>,</w:t>
      </w:r>
      <w:r>
        <w:t xml:space="preserve"> </w:t>
      </w:r>
      <w:hyperlink r:id="rId26" w:history="1">
        <w:r w:rsidRPr="00471AF8">
          <w:rPr>
            <w:rStyle w:val="Hyperlink"/>
            <w:color w:val="004C97" w:themeColor="accent4"/>
          </w:rPr>
          <w:t>What to report</w:t>
        </w:r>
      </w:hyperlink>
      <w:r>
        <w:t xml:space="preserve"> &lt;https://www.safercare.vic.gov.au/report-manage-issues/sentinel-events/what-to-report&gt;.</w:t>
      </w:r>
    </w:p>
    <w:p w14:paraId="5D710CA1" w14:textId="0458FC82" w:rsidR="0049483C" w:rsidRPr="000249AE" w:rsidRDefault="21F2D40D" w:rsidP="00717E70">
      <w:pPr>
        <w:pStyle w:val="Heading2"/>
        <w:rPr>
          <w:color w:val="007586" w:themeColor="text2"/>
        </w:rPr>
      </w:pPr>
      <w:bookmarkStart w:id="14" w:name="_Toc238026635"/>
      <w:r w:rsidRPr="000249AE">
        <w:rPr>
          <w:color w:val="007586" w:themeColor="text2"/>
        </w:rPr>
        <w:t>W</w:t>
      </w:r>
      <w:r w:rsidR="3DE5B4C3" w:rsidRPr="000249AE">
        <w:rPr>
          <w:color w:val="007586" w:themeColor="text2"/>
        </w:rPr>
        <w:t>hich</w:t>
      </w:r>
      <w:r w:rsidR="5811132B" w:rsidRPr="000249AE">
        <w:rPr>
          <w:color w:val="007586" w:themeColor="text2"/>
        </w:rPr>
        <w:t xml:space="preserve"> </w:t>
      </w:r>
      <w:r w:rsidR="2BF815EB" w:rsidRPr="000249AE">
        <w:rPr>
          <w:color w:val="007586" w:themeColor="text2"/>
        </w:rPr>
        <w:t>e</w:t>
      </w:r>
      <w:r w:rsidR="3DE5B4C3" w:rsidRPr="000249AE">
        <w:rPr>
          <w:color w:val="007586" w:themeColor="text2"/>
        </w:rPr>
        <w:t>vents</w:t>
      </w:r>
      <w:r w:rsidR="5811132B" w:rsidRPr="000249AE">
        <w:rPr>
          <w:color w:val="007586" w:themeColor="text2"/>
        </w:rPr>
        <w:t xml:space="preserve"> </w:t>
      </w:r>
      <w:r w:rsidR="2BF815EB" w:rsidRPr="000249AE">
        <w:rPr>
          <w:color w:val="007586" w:themeColor="text2"/>
        </w:rPr>
        <w:t>a</w:t>
      </w:r>
      <w:r w:rsidR="3DE5B4C3" w:rsidRPr="000249AE">
        <w:rPr>
          <w:color w:val="007586" w:themeColor="text2"/>
        </w:rPr>
        <w:t>re</w:t>
      </w:r>
      <w:r w:rsidR="5811132B" w:rsidRPr="000249AE">
        <w:rPr>
          <w:color w:val="007586" w:themeColor="text2"/>
        </w:rPr>
        <w:t xml:space="preserve"> </w:t>
      </w:r>
      <w:r w:rsidR="2BF815EB" w:rsidRPr="000249AE">
        <w:rPr>
          <w:color w:val="007586" w:themeColor="text2"/>
        </w:rPr>
        <w:t>notifiable</w:t>
      </w:r>
      <w:r w:rsidR="5811132B" w:rsidRPr="000249AE">
        <w:rPr>
          <w:color w:val="007586" w:themeColor="text2"/>
        </w:rPr>
        <w:t xml:space="preserve"> </w:t>
      </w:r>
      <w:r w:rsidR="2BF815EB" w:rsidRPr="000249AE">
        <w:rPr>
          <w:color w:val="007586" w:themeColor="text2"/>
        </w:rPr>
        <w:t>in</w:t>
      </w:r>
      <w:r w:rsidR="5811132B" w:rsidRPr="000249AE">
        <w:rPr>
          <w:color w:val="007586" w:themeColor="text2"/>
        </w:rPr>
        <w:t xml:space="preserve"> </w:t>
      </w:r>
      <w:r w:rsidR="2BF815EB" w:rsidRPr="000249AE">
        <w:rPr>
          <w:color w:val="007586" w:themeColor="text2"/>
        </w:rPr>
        <w:t>Victoria?</w:t>
      </w:r>
      <w:bookmarkEnd w:id="14"/>
      <w:r w:rsidR="5811132B" w:rsidRPr="000249AE">
        <w:rPr>
          <w:color w:val="007586" w:themeColor="text2"/>
        </w:rPr>
        <w:t xml:space="preserve"> </w:t>
      </w:r>
    </w:p>
    <w:p w14:paraId="54FE63E4" w14:textId="549EFB62" w:rsidR="0049483C" w:rsidRPr="00672BD6" w:rsidRDefault="0049483C" w:rsidP="0057201C">
      <w:pPr>
        <w:pStyle w:val="SCVbody"/>
      </w:pPr>
      <w:r w:rsidRPr="00672BD6">
        <w:t>Victorian</w:t>
      </w:r>
      <w:r w:rsidR="00824FA7" w:rsidRPr="00672BD6">
        <w:t xml:space="preserve"> </w:t>
      </w:r>
      <w:r w:rsidRPr="00672BD6">
        <w:t>health</w:t>
      </w:r>
      <w:r w:rsidR="00824FA7" w:rsidRPr="00672BD6">
        <w:t xml:space="preserve"> </w:t>
      </w:r>
      <w:r w:rsidRPr="00672BD6">
        <w:t>services</w:t>
      </w:r>
      <w:r w:rsidR="00824FA7" w:rsidRPr="00672BD6">
        <w:t xml:space="preserve"> </w:t>
      </w:r>
      <w:r w:rsidRPr="00672BD6">
        <w:t>must</w:t>
      </w:r>
      <w:r w:rsidR="00824FA7" w:rsidRPr="00672BD6">
        <w:t xml:space="preserve"> </w:t>
      </w:r>
      <w:r w:rsidRPr="00672BD6">
        <w:t>notify</w:t>
      </w:r>
      <w:r w:rsidR="00824FA7" w:rsidRPr="00672BD6">
        <w:t xml:space="preserve"> </w:t>
      </w:r>
      <w:r w:rsidRPr="00672BD6">
        <w:t>and</w:t>
      </w:r>
      <w:r w:rsidR="00824FA7" w:rsidRPr="00672BD6">
        <w:t xml:space="preserve"> </w:t>
      </w:r>
      <w:r w:rsidRPr="00672BD6">
        <w:t>review</w:t>
      </w:r>
      <w:r w:rsidR="00824FA7" w:rsidRPr="00672BD6">
        <w:t xml:space="preserve"> </w:t>
      </w:r>
      <w:r w:rsidRPr="00672BD6">
        <w:t>sentinel</w:t>
      </w:r>
      <w:r w:rsidR="00824FA7" w:rsidRPr="00672BD6">
        <w:t xml:space="preserve"> </w:t>
      </w:r>
      <w:r w:rsidRPr="00672BD6">
        <w:t>events</w:t>
      </w:r>
      <w:r w:rsidR="00824FA7" w:rsidRPr="00672BD6">
        <w:t xml:space="preserve"> </w:t>
      </w:r>
      <w:r w:rsidRPr="00672BD6">
        <w:t>that</w:t>
      </w:r>
      <w:r w:rsidR="00824FA7" w:rsidRPr="00672BD6">
        <w:t xml:space="preserve"> </w:t>
      </w:r>
      <w:r w:rsidRPr="00672BD6">
        <w:t>meet</w:t>
      </w:r>
      <w:r w:rsidR="00824FA7" w:rsidRPr="00672BD6">
        <w:t xml:space="preserve"> </w:t>
      </w:r>
      <w:r w:rsidRPr="00672BD6">
        <w:t>the</w:t>
      </w:r>
      <w:r w:rsidR="00824FA7" w:rsidRPr="00672BD6">
        <w:t xml:space="preserve"> </w:t>
      </w:r>
      <w:r w:rsidRPr="00672BD6">
        <w:t>criteria</w:t>
      </w:r>
      <w:r w:rsidR="00824FA7" w:rsidRPr="00672BD6">
        <w:t xml:space="preserve"> </w:t>
      </w:r>
      <w:r w:rsidRPr="00672BD6">
        <w:t>for</w:t>
      </w:r>
      <w:r w:rsidR="00824FA7" w:rsidRPr="00672BD6">
        <w:t xml:space="preserve"> </w:t>
      </w:r>
      <w:r w:rsidRPr="00672BD6">
        <w:t>the</w:t>
      </w:r>
      <w:r w:rsidR="00824FA7" w:rsidRPr="00672BD6">
        <w:t xml:space="preserve"> </w:t>
      </w:r>
      <w:r w:rsidR="0052350D">
        <w:t>ACSQHC</w:t>
      </w:r>
      <w:r w:rsidR="0052350D" w:rsidRPr="00672BD6" w:rsidDel="0052350D">
        <w:t xml:space="preserve"> </w:t>
      </w:r>
      <w:r w:rsidRPr="00672BD6">
        <w:t>sentinel</w:t>
      </w:r>
      <w:r w:rsidR="00824FA7" w:rsidRPr="00672BD6">
        <w:t xml:space="preserve"> </w:t>
      </w:r>
      <w:r w:rsidRPr="00672BD6">
        <w:t>event</w:t>
      </w:r>
      <w:r w:rsidR="00824FA7" w:rsidRPr="00672BD6">
        <w:t xml:space="preserve"> </w:t>
      </w:r>
      <w:r w:rsidRPr="00672BD6">
        <w:t>categories</w:t>
      </w:r>
      <w:r w:rsidR="00824FA7" w:rsidRPr="00672BD6">
        <w:t xml:space="preserve"> </w:t>
      </w:r>
      <w:r w:rsidRPr="00672BD6">
        <w:t>(1–10)</w:t>
      </w:r>
      <w:r w:rsidR="00824FA7" w:rsidRPr="00672BD6">
        <w:t xml:space="preserve"> </w:t>
      </w:r>
      <w:r w:rsidRPr="00672BD6">
        <w:t>and</w:t>
      </w:r>
      <w:r w:rsidR="00824FA7" w:rsidRPr="00672BD6">
        <w:t xml:space="preserve"> </w:t>
      </w:r>
      <w:r w:rsidRPr="00672BD6">
        <w:t>those</w:t>
      </w:r>
      <w:r w:rsidR="00824FA7" w:rsidRPr="00672BD6">
        <w:t xml:space="preserve"> </w:t>
      </w:r>
      <w:r w:rsidRPr="00672BD6">
        <w:t>that</w:t>
      </w:r>
      <w:r w:rsidR="00824FA7" w:rsidRPr="00672BD6">
        <w:t xml:space="preserve"> </w:t>
      </w:r>
      <w:r w:rsidRPr="00672BD6">
        <w:t>fall</w:t>
      </w:r>
      <w:r w:rsidR="00824FA7" w:rsidRPr="00672BD6">
        <w:t xml:space="preserve"> </w:t>
      </w:r>
      <w:r w:rsidRPr="00672BD6">
        <w:t>under</w:t>
      </w:r>
      <w:r w:rsidR="00824FA7" w:rsidRPr="00672BD6">
        <w:t xml:space="preserve"> </w:t>
      </w:r>
      <w:r w:rsidRPr="00672BD6">
        <w:t>the</w:t>
      </w:r>
      <w:r w:rsidR="00824FA7" w:rsidRPr="00672BD6">
        <w:t xml:space="preserve"> </w:t>
      </w:r>
      <w:r>
        <w:t>Victoria</w:t>
      </w:r>
      <w:r w:rsidRPr="00672BD6">
        <w:t>-only</w:t>
      </w:r>
      <w:r w:rsidR="00824FA7" w:rsidRPr="00672BD6">
        <w:t xml:space="preserve"> </w:t>
      </w:r>
      <w:r w:rsidR="2D36139D" w:rsidRPr="00672BD6">
        <w:t>c</w:t>
      </w:r>
      <w:r w:rsidR="44D4550A" w:rsidRPr="00672BD6">
        <w:t>ategory</w:t>
      </w:r>
      <w:r w:rsidR="00824FA7" w:rsidRPr="00672BD6">
        <w:t xml:space="preserve"> </w:t>
      </w:r>
      <w:r w:rsidRPr="00672BD6">
        <w:t>11</w:t>
      </w:r>
      <w:r w:rsidR="000D5FA8">
        <w:t>.</w:t>
      </w:r>
    </w:p>
    <w:p w14:paraId="14F43F6E" w14:textId="77777777" w:rsidR="00196B9F" w:rsidRPr="00035969" w:rsidRDefault="00196B9F" w:rsidP="00196B9F">
      <w:pPr>
        <w:pStyle w:val="Heading3"/>
        <w:rPr>
          <w:color w:val="004C97" w:themeColor="accent4"/>
        </w:rPr>
      </w:pPr>
      <w:r w:rsidRPr="00035969">
        <w:rPr>
          <w:color w:val="004C97" w:themeColor="accent4"/>
        </w:rPr>
        <w:t>Victorian sentinel events guide</w:t>
      </w:r>
    </w:p>
    <w:p w14:paraId="79321C8D" w14:textId="77777777" w:rsidR="00196B9F" w:rsidRPr="006E1833" w:rsidRDefault="00196B9F" w:rsidP="00196B9F">
      <w:pPr>
        <w:pStyle w:val="SCVbody"/>
      </w:pPr>
      <w:r>
        <w:t xml:space="preserve">The </w:t>
      </w:r>
      <w:hyperlink r:id="rId27">
        <w:r w:rsidRPr="00A360D6">
          <w:rPr>
            <w:rStyle w:val="Hyperlink"/>
          </w:rPr>
          <w:t>Victorian sentinel events guide</w:t>
        </w:r>
      </w:hyperlink>
      <w:r w:rsidDel="006705E6">
        <w:t xml:space="preserve"> </w:t>
      </w:r>
      <w:r>
        <w:t>&lt;https://www.safercare.vic.gov.au/best-practice-improvement/publications/sentinel-events-guide&gt; has essential information for health services about identifying and managing sentinel events.</w:t>
      </w:r>
    </w:p>
    <w:p w14:paraId="127E32E7" w14:textId="77777777" w:rsidR="00196B9F" w:rsidRPr="006E1833" w:rsidRDefault="00196B9F" w:rsidP="00196B9F">
      <w:pPr>
        <w:pStyle w:val="SCVbody"/>
      </w:pPr>
      <w:r>
        <w:t>This resource includes:</w:t>
      </w:r>
    </w:p>
    <w:p w14:paraId="0E738E21" w14:textId="77777777" w:rsidR="00196B9F" w:rsidRPr="001B289D" w:rsidRDefault="00196B9F" w:rsidP="00196B9F">
      <w:pPr>
        <w:pStyle w:val="SCVbullet1"/>
      </w:pPr>
      <w:r>
        <w:t xml:space="preserve">guidance </w:t>
      </w:r>
      <w:r w:rsidRPr="006E1833">
        <w:t>for</w:t>
      </w:r>
      <w:r>
        <w:t xml:space="preserve"> </w:t>
      </w:r>
      <w:r w:rsidRPr="001B289D">
        <w:t xml:space="preserve">notifiable sentinel events, including information </w:t>
      </w:r>
      <w:r>
        <w:t>about</w:t>
      </w:r>
      <w:r w:rsidRPr="001B289D">
        <w:t xml:space="preserve"> psychological harm and life-saving care</w:t>
      </w:r>
    </w:p>
    <w:p w14:paraId="5D6F0340" w14:textId="02204309" w:rsidR="0049483C" w:rsidRDefault="00196B9F" w:rsidP="00196B9F">
      <w:pPr>
        <w:pStyle w:val="SCVbody"/>
        <w:spacing w:after="0"/>
      </w:pPr>
      <w:r w:rsidRPr="001B289D">
        <w:t>guidance on the Vi</w:t>
      </w:r>
      <w:r w:rsidRPr="006E1833">
        <w:t>ctoria</w:t>
      </w:r>
      <w:r>
        <w:t>-</w:t>
      </w:r>
      <w:r w:rsidRPr="006E1833">
        <w:t>only</w:t>
      </w:r>
      <w:r>
        <w:t xml:space="preserve"> category </w:t>
      </w:r>
      <w:r w:rsidRPr="006E1833">
        <w:t>11,</w:t>
      </w:r>
      <w:r>
        <w:t xml:space="preserve"> </w:t>
      </w:r>
      <w:r w:rsidRPr="006E1833">
        <w:t>including</w:t>
      </w:r>
      <w:r>
        <w:t xml:space="preserve"> </w:t>
      </w:r>
      <w:r w:rsidRPr="006E1833">
        <w:t>case</w:t>
      </w:r>
      <w:r>
        <w:t xml:space="preserve"> </w:t>
      </w:r>
      <w:r w:rsidRPr="006E1833">
        <w:t>studies</w:t>
      </w:r>
      <w:r>
        <w:t xml:space="preserve"> </w:t>
      </w:r>
      <w:r w:rsidRPr="006E1833">
        <w:t>and</w:t>
      </w:r>
      <w:r>
        <w:t xml:space="preserve"> </w:t>
      </w:r>
      <w:r w:rsidRPr="006E1833">
        <w:t>examples.</w:t>
      </w:r>
    </w:p>
    <w:p w14:paraId="7835DBC5" w14:textId="0313FE41" w:rsidR="00404805" w:rsidRPr="00035969" w:rsidRDefault="34C2900B" w:rsidP="00404805">
      <w:pPr>
        <w:pStyle w:val="Heading2"/>
        <w:rPr>
          <w:color w:val="007586" w:themeColor="text2"/>
        </w:rPr>
      </w:pPr>
      <w:bookmarkStart w:id="15" w:name="_Toc238026636"/>
      <w:bookmarkStart w:id="16" w:name="_Toc185595227"/>
      <w:r w:rsidRPr="00035969">
        <w:rPr>
          <w:rStyle w:val="SCVbodyChar"/>
          <w:rFonts w:eastAsiaTheme="majorEastAsia"/>
          <w:color w:val="007586" w:themeColor="text2"/>
          <w:sz w:val="28"/>
          <w:szCs w:val="28"/>
          <w:lang w:eastAsia="en-AU"/>
        </w:rPr>
        <w:t>Sentinel event identification</w:t>
      </w:r>
      <w:bookmarkEnd w:id="15"/>
      <w:r w:rsidRPr="00035969">
        <w:rPr>
          <w:rStyle w:val="SCVbodyChar"/>
          <w:rFonts w:eastAsiaTheme="majorEastAsia"/>
          <w:color w:val="007586" w:themeColor="text2"/>
          <w:sz w:val="28"/>
          <w:szCs w:val="28"/>
          <w:lang w:eastAsia="en-AU"/>
        </w:rPr>
        <w:t xml:space="preserve"> </w:t>
      </w:r>
    </w:p>
    <w:p w14:paraId="61A71CB7" w14:textId="6DF7EC17" w:rsidR="009D5502" w:rsidRDefault="0052350D" w:rsidP="00F31ACC">
      <w:pPr>
        <w:pStyle w:val="SCVbody"/>
      </w:pPr>
      <w:r>
        <w:t>Clinicians usually identify s</w:t>
      </w:r>
      <w:r w:rsidR="004C4185">
        <w:t>entinel events</w:t>
      </w:r>
      <w:r w:rsidR="004C4185" w:rsidRPr="00BD5964" w:rsidDel="0052350D">
        <w:t xml:space="preserve"> </w:t>
      </w:r>
      <w:r w:rsidR="004C4185" w:rsidRPr="00BD5964">
        <w:t>at the point of care</w:t>
      </w:r>
      <w:r>
        <w:t>,</w:t>
      </w:r>
      <w:r w:rsidR="004C4185" w:rsidRPr="00BD5964">
        <w:t xml:space="preserve"> whe</w:t>
      </w:r>
      <w:r w:rsidR="00B31FB0" w:rsidRPr="00BD5964">
        <w:t>n</w:t>
      </w:r>
      <w:r w:rsidR="004C4185" w:rsidRPr="00BD5964">
        <w:t xml:space="preserve"> the sentinel event occurred</w:t>
      </w:r>
      <w:r w:rsidR="00B31FB0" w:rsidRPr="00BD5964">
        <w:t xml:space="preserve">. </w:t>
      </w:r>
      <w:r w:rsidR="00404805" w:rsidRPr="00BD5964">
        <w:t xml:space="preserve">Occasionally, sentinel events are not </w:t>
      </w:r>
      <w:r w:rsidR="00B31FB0" w:rsidRPr="00BD5964">
        <w:t>immediately</w:t>
      </w:r>
      <w:r w:rsidR="2783D33E">
        <w:t xml:space="preserve"> identifiable</w:t>
      </w:r>
      <w:r w:rsidR="00B31FB0" w:rsidRPr="00BD5964">
        <w:t>, but</w:t>
      </w:r>
      <w:r w:rsidR="00404805" w:rsidRPr="00BD5964">
        <w:t xml:space="preserve"> may be identified</w:t>
      </w:r>
      <w:r w:rsidR="4F995797" w:rsidRPr="00BD5964">
        <w:t>:</w:t>
      </w:r>
      <w:r w:rsidR="00404805" w:rsidRPr="00BD5964">
        <w:t xml:space="preserve"> </w:t>
      </w:r>
    </w:p>
    <w:p w14:paraId="6B50A0E7" w14:textId="16F19B8D" w:rsidR="009D5502" w:rsidRDefault="009D5502" w:rsidP="009D5502">
      <w:pPr>
        <w:pStyle w:val="SCVbullet1"/>
      </w:pPr>
      <w:r>
        <w:lastRenderedPageBreak/>
        <w:t xml:space="preserve">by </w:t>
      </w:r>
      <w:r w:rsidR="00404805" w:rsidRPr="00BD5964">
        <w:t>other hospitals, primary care providers or the patient</w:t>
      </w:r>
      <w:r>
        <w:t>/</w:t>
      </w:r>
      <w:r w:rsidR="00404805" w:rsidRPr="00BD5964">
        <w:t>consumer and/or their family</w:t>
      </w:r>
      <w:r>
        <w:t>/</w:t>
      </w:r>
      <w:r w:rsidR="00404805" w:rsidRPr="00BD5964">
        <w:t>carers</w:t>
      </w:r>
    </w:p>
    <w:p w14:paraId="57C462F6" w14:textId="5556503A" w:rsidR="00D7083C" w:rsidRDefault="00404805" w:rsidP="78903A9F">
      <w:pPr>
        <w:pStyle w:val="SCVbullet1"/>
      </w:pPr>
      <w:r w:rsidRPr="00BD5964">
        <w:t xml:space="preserve">after a patient’s discharge or death. </w:t>
      </w:r>
      <w:bookmarkEnd w:id="16"/>
    </w:p>
    <w:p w14:paraId="3D405431" w14:textId="0949201C" w:rsidR="00377835" w:rsidRPr="00035969" w:rsidRDefault="62AB3009" w:rsidP="002A409B">
      <w:pPr>
        <w:pStyle w:val="Heading2"/>
        <w:rPr>
          <w:color w:val="007586" w:themeColor="text2"/>
        </w:rPr>
      </w:pPr>
      <w:bookmarkStart w:id="17" w:name="_Toc238026637"/>
      <w:r w:rsidRPr="00035969">
        <w:rPr>
          <w:color w:val="007586" w:themeColor="text2"/>
        </w:rPr>
        <w:t>2024</w:t>
      </w:r>
      <w:r w:rsidR="0964C41D" w:rsidRPr="00035969">
        <w:rPr>
          <w:color w:val="007586" w:themeColor="text2"/>
        </w:rPr>
        <w:t>–</w:t>
      </w:r>
      <w:r w:rsidRPr="00035969">
        <w:rPr>
          <w:color w:val="007586" w:themeColor="text2"/>
        </w:rPr>
        <w:t xml:space="preserve">25 </w:t>
      </w:r>
      <w:r w:rsidR="127E7FA2" w:rsidRPr="00035969">
        <w:rPr>
          <w:color w:val="007586" w:themeColor="text2"/>
        </w:rPr>
        <w:t>s</w:t>
      </w:r>
      <w:r w:rsidR="419F737E" w:rsidRPr="00035969">
        <w:rPr>
          <w:color w:val="007586" w:themeColor="text2"/>
        </w:rPr>
        <w:t>entinel</w:t>
      </w:r>
      <w:r w:rsidR="5811132B" w:rsidRPr="00035969">
        <w:rPr>
          <w:color w:val="007586" w:themeColor="text2"/>
        </w:rPr>
        <w:t xml:space="preserve"> </w:t>
      </w:r>
      <w:r w:rsidR="5984C172" w:rsidRPr="00035969">
        <w:rPr>
          <w:color w:val="007586" w:themeColor="text2"/>
        </w:rPr>
        <w:t>e</w:t>
      </w:r>
      <w:r w:rsidR="419F737E" w:rsidRPr="00035969">
        <w:rPr>
          <w:color w:val="007586" w:themeColor="text2"/>
        </w:rPr>
        <w:t>vent</w:t>
      </w:r>
      <w:r w:rsidR="5B4FAF3B" w:rsidRPr="00035969">
        <w:rPr>
          <w:color w:val="007586" w:themeColor="text2"/>
        </w:rPr>
        <w:t xml:space="preserve"> data </w:t>
      </w:r>
      <w:proofErr w:type="gramStart"/>
      <w:r w:rsidRPr="00035969">
        <w:rPr>
          <w:color w:val="007586" w:themeColor="text2"/>
        </w:rPr>
        <w:t>at a glance</w:t>
      </w:r>
      <w:bookmarkEnd w:id="17"/>
      <w:proofErr w:type="gramEnd"/>
    </w:p>
    <w:p w14:paraId="65A0C21E" w14:textId="6C55AE46" w:rsidR="00CB6584" w:rsidRPr="0057201C" w:rsidRDefault="007C5D8F" w:rsidP="0057201C">
      <w:pPr>
        <w:pStyle w:val="SCVbody"/>
      </w:pPr>
      <w:r>
        <w:t>In 2024</w:t>
      </w:r>
      <w:r w:rsidR="0057201C">
        <w:t>–</w:t>
      </w:r>
      <w:r>
        <w:t>25 there were 217 sentinel event notifications</w:t>
      </w:r>
      <w:r w:rsidR="006111AB">
        <w:t xml:space="preserve">, </w:t>
      </w:r>
      <w:r w:rsidR="00510C03">
        <w:t>24 more than in 2023</w:t>
      </w:r>
      <w:r w:rsidR="0057201C">
        <w:t>–</w:t>
      </w:r>
      <w:r w:rsidR="00510C03">
        <w:t>24. Since 201</w:t>
      </w:r>
      <w:r w:rsidR="0180753E">
        <w:t>9</w:t>
      </w:r>
      <w:r w:rsidR="0057201C">
        <w:t>–</w:t>
      </w:r>
      <w:r w:rsidR="42A74066">
        <w:t>20</w:t>
      </w:r>
      <w:r w:rsidR="00057D84">
        <w:t>,</w:t>
      </w:r>
      <w:r w:rsidR="00510C03">
        <w:t xml:space="preserve"> Victoria </w:t>
      </w:r>
      <w:r w:rsidR="00F70028">
        <w:t>continues</w:t>
      </w:r>
      <w:r w:rsidR="00510C03">
        <w:t xml:space="preserve"> to see a</w:t>
      </w:r>
      <w:r w:rsidR="000240FC">
        <w:t xml:space="preserve">n overall </w:t>
      </w:r>
      <w:r w:rsidR="00510C03">
        <w:t>trend of increasing sentinel event notifications</w:t>
      </w:r>
      <w:r w:rsidR="00B377BC">
        <w:t xml:space="preserve"> </w:t>
      </w:r>
      <w:r w:rsidR="00E74291">
        <w:t>(Table</w:t>
      </w:r>
      <w:r w:rsidR="00D55A51">
        <w:t xml:space="preserve"> 1</w:t>
      </w:r>
      <w:r w:rsidR="00C30BB0">
        <w:t>)</w:t>
      </w:r>
      <w:r w:rsidR="00CB6584">
        <w:t>.</w:t>
      </w:r>
      <w:r w:rsidR="00824FA7">
        <w:t xml:space="preserve"> </w:t>
      </w:r>
      <w:r w:rsidR="00B377BC">
        <w:t xml:space="preserve">This trend is likely due to several factors </w:t>
      </w:r>
      <w:r w:rsidR="00B928BA">
        <w:t xml:space="preserve">including </w:t>
      </w:r>
      <w:r w:rsidR="006E25A0">
        <w:t xml:space="preserve">increased </w:t>
      </w:r>
      <w:r w:rsidR="00516F00">
        <w:t xml:space="preserve">clinical governance and </w:t>
      </w:r>
      <w:r w:rsidR="5AC1E511">
        <w:t xml:space="preserve">reporting culture </w:t>
      </w:r>
      <w:r w:rsidR="00F7569B">
        <w:t xml:space="preserve">maturity </w:t>
      </w:r>
      <w:r w:rsidR="5AC1E511">
        <w:t>in health services</w:t>
      </w:r>
      <w:r w:rsidR="00C36D89">
        <w:t xml:space="preserve">. </w:t>
      </w:r>
    </w:p>
    <w:p w14:paraId="4B54905F" w14:textId="167EBE67" w:rsidR="7A0497AE" w:rsidRDefault="7A0497AE" w:rsidP="0057201C">
      <w:pPr>
        <w:pStyle w:val="SCVbody"/>
      </w:pPr>
      <w:r w:rsidRPr="0057201C">
        <w:t>For reporting purposes, we identified health services within tertiary, major and non-metropolitan hospital peer groups</w:t>
      </w:r>
      <w:r>
        <w:t>. We looked at notification rates across health service peer groups and noted the most significant reductions in the ‘major’ peer group</w:t>
      </w:r>
      <w:r w:rsidR="00057D84">
        <w:t>. We also considered</w:t>
      </w:r>
      <w:r w:rsidDel="00CE0B95">
        <w:t xml:space="preserve"> </w:t>
      </w:r>
      <w:r>
        <w:t>non-metropolitan services.</w:t>
      </w:r>
    </w:p>
    <w:p w14:paraId="1CAFB8E6" w14:textId="7821AD6D" w:rsidR="00CB6584" w:rsidRDefault="4278420F" w:rsidP="00473656">
      <w:pPr>
        <w:pStyle w:val="SCVtablecaption"/>
      </w:pPr>
      <w:r>
        <w:t>Table 1:</w:t>
      </w:r>
      <w:r w:rsidR="2FFC26C9">
        <w:t xml:space="preserve"> </w:t>
      </w:r>
      <w:r w:rsidR="62330BDD">
        <w:t>Number</w:t>
      </w:r>
      <w:r w:rsidR="2FFC26C9">
        <w:t xml:space="preserve"> </w:t>
      </w:r>
      <w:r w:rsidR="62330BDD">
        <w:t>of</w:t>
      </w:r>
      <w:r w:rsidR="2FFC26C9">
        <w:t xml:space="preserve"> </w:t>
      </w:r>
      <w:r w:rsidR="62330BDD">
        <w:t>sentinel</w:t>
      </w:r>
      <w:r w:rsidR="2FFC26C9">
        <w:t xml:space="preserve"> </w:t>
      </w:r>
      <w:r w:rsidR="62330BDD">
        <w:t>events</w:t>
      </w:r>
      <w:r w:rsidR="2FFC26C9">
        <w:t xml:space="preserve"> </w:t>
      </w:r>
      <w:r w:rsidR="62330BDD">
        <w:t>notified</w:t>
      </w:r>
      <w:r w:rsidR="2FFC26C9">
        <w:t xml:space="preserve"> </w:t>
      </w:r>
      <w:r w:rsidR="0682E51C">
        <w:t>across</w:t>
      </w:r>
      <w:r w:rsidR="2FFC26C9">
        <w:t xml:space="preserve"> </w:t>
      </w:r>
      <w:r w:rsidR="0682E51C">
        <w:t>Victoria</w:t>
      </w:r>
      <w:r w:rsidR="65E536AF">
        <w:t>,</w:t>
      </w:r>
      <w:r w:rsidR="2FFC26C9">
        <w:t xml:space="preserve"> </w:t>
      </w:r>
      <w:r w:rsidR="62330BDD">
        <w:t>1</w:t>
      </w:r>
      <w:r w:rsidR="2FFC26C9">
        <w:t xml:space="preserve"> </w:t>
      </w:r>
      <w:r w:rsidR="62330BDD">
        <w:t>July</w:t>
      </w:r>
      <w:r w:rsidR="2FFC26C9">
        <w:t xml:space="preserve"> </w:t>
      </w:r>
      <w:r w:rsidR="62330BDD">
        <w:t>201</w:t>
      </w:r>
      <w:r w:rsidR="73170235">
        <w:t>9</w:t>
      </w:r>
      <w:r w:rsidR="2FFC26C9">
        <w:t xml:space="preserve"> </w:t>
      </w:r>
      <w:r w:rsidR="62330BDD">
        <w:t>to</w:t>
      </w:r>
      <w:r w:rsidR="2FFC26C9">
        <w:t xml:space="preserve"> </w:t>
      </w:r>
      <w:r w:rsidR="62330BDD">
        <w:t>30</w:t>
      </w:r>
      <w:r w:rsidR="2FFC26C9">
        <w:t xml:space="preserve"> </w:t>
      </w:r>
      <w:r w:rsidR="62330BDD">
        <w:t>June</w:t>
      </w:r>
      <w:r w:rsidR="2FFC26C9">
        <w:t xml:space="preserve"> </w:t>
      </w:r>
      <w:r w:rsidR="62330BDD">
        <w:t>202</w:t>
      </w:r>
      <w:r w:rsidR="4BE7CA39">
        <w:t>5</w:t>
      </w:r>
      <w:r w:rsidR="2FFC26C9">
        <w:t xml:space="preserve"> </w:t>
      </w:r>
    </w:p>
    <w:tbl>
      <w:tblPr>
        <w:tblW w:w="10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1701"/>
        <w:gridCol w:w="1701"/>
        <w:gridCol w:w="1701"/>
        <w:gridCol w:w="1701"/>
        <w:gridCol w:w="1701"/>
      </w:tblGrid>
      <w:tr w:rsidR="003614DB" w:rsidRPr="003B66DC" w14:paraId="2CD31603" w14:textId="77777777" w:rsidTr="00CD24C6">
        <w:trPr>
          <w:trHeight w:val="300"/>
          <w:tblHeader/>
        </w:trPr>
        <w:tc>
          <w:tcPr>
            <w:tcW w:w="1701" w:type="dxa"/>
            <w:tcBorders>
              <w:top w:val="nil"/>
              <w:left w:val="nil"/>
              <w:bottom w:val="single" w:sz="24" w:space="0" w:color="CCCCD0"/>
              <w:right w:val="nil"/>
            </w:tcBorders>
            <w:shd w:val="clear" w:color="auto" w:fill="EDF5F7" w:themeFill="background2"/>
            <w:hideMark/>
          </w:tcPr>
          <w:p w14:paraId="658E503F" w14:textId="53C329BC" w:rsidR="003614DB" w:rsidRPr="003B66DC" w:rsidRDefault="003614DB" w:rsidP="003614DB">
            <w:pPr>
              <w:pStyle w:val="SCVtablecolhead"/>
              <w:rPr>
                <w:rFonts w:ascii="Times New Roman" w:hAnsi="Times New Roman" w:cs="Times New Roman"/>
                <w:sz w:val="24"/>
                <w:szCs w:val="24"/>
              </w:rPr>
            </w:pPr>
            <w:r w:rsidRPr="003B66DC">
              <w:rPr>
                <w:sz w:val="24"/>
                <w:szCs w:val="24"/>
              </w:rPr>
              <w:t>Year</w:t>
            </w:r>
          </w:p>
        </w:tc>
        <w:tc>
          <w:tcPr>
            <w:tcW w:w="1701" w:type="dxa"/>
            <w:tcBorders>
              <w:top w:val="nil"/>
              <w:left w:val="nil"/>
              <w:bottom w:val="single" w:sz="24" w:space="0" w:color="CCCCD0"/>
              <w:right w:val="nil"/>
            </w:tcBorders>
            <w:shd w:val="clear" w:color="auto" w:fill="EDF5F7" w:themeFill="background2"/>
            <w:vAlign w:val="center"/>
            <w:hideMark/>
          </w:tcPr>
          <w:p w14:paraId="1FA9721B" w14:textId="00B3AB83" w:rsidR="003614DB" w:rsidRPr="003B66DC" w:rsidRDefault="003614DB" w:rsidP="00CD24C6">
            <w:pPr>
              <w:pStyle w:val="SCVtablecolhead"/>
              <w:jc w:val="right"/>
              <w:rPr>
                <w:rFonts w:ascii="Times New Roman" w:hAnsi="Times New Roman" w:cs="Times New Roman"/>
                <w:sz w:val="24"/>
                <w:szCs w:val="24"/>
              </w:rPr>
            </w:pPr>
            <w:r w:rsidRPr="003B66DC">
              <w:rPr>
                <w:sz w:val="24"/>
                <w:szCs w:val="24"/>
              </w:rPr>
              <w:t>Total sentinel events</w:t>
            </w:r>
          </w:p>
        </w:tc>
        <w:tc>
          <w:tcPr>
            <w:tcW w:w="1701" w:type="dxa"/>
            <w:tcBorders>
              <w:top w:val="nil"/>
              <w:left w:val="nil"/>
              <w:bottom w:val="single" w:sz="24" w:space="0" w:color="CCCCD0"/>
              <w:right w:val="nil"/>
            </w:tcBorders>
            <w:shd w:val="clear" w:color="auto" w:fill="EDF5F7" w:themeFill="background2"/>
            <w:vAlign w:val="center"/>
            <w:hideMark/>
          </w:tcPr>
          <w:p w14:paraId="428B3AE5" w14:textId="08639CDF" w:rsidR="003614DB" w:rsidRPr="003B66DC" w:rsidRDefault="003614DB" w:rsidP="00CD24C6">
            <w:pPr>
              <w:pStyle w:val="SCVtablecolhead"/>
              <w:jc w:val="right"/>
              <w:rPr>
                <w:rFonts w:ascii="Times New Roman" w:hAnsi="Times New Roman" w:cs="Times New Roman"/>
                <w:sz w:val="24"/>
                <w:szCs w:val="24"/>
              </w:rPr>
            </w:pPr>
            <w:r w:rsidRPr="003B66DC">
              <w:rPr>
                <w:sz w:val="24"/>
                <w:szCs w:val="24"/>
              </w:rPr>
              <w:t>Private</w:t>
            </w:r>
          </w:p>
        </w:tc>
        <w:tc>
          <w:tcPr>
            <w:tcW w:w="1701" w:type="dxa"/>
            <w:tcBorders>
              <w:top w:val="nil"/>
              <w:left w:val="nil"/>
              <w:bottom w:val="single" w:sz="24" w:space="0" w:color="CCCCD0"/>
              <w:right w:val="nil"/>
            </w:tcBorders>
            <w:shd w:val="clear" w:color="auto" w:fill="EDF5F7" w:themeFill="background2"/>
            <w:vAlign w:val="center"/>
            <w:hideMark/>
          </w:tcPr>
          <w:p w14:paraId="725F28CC" w14:textId="55C39181" w:rsidR="003614DB" w:rsidRPr="003B66DC" w:rsidRDefault="003614DB" w:rsidP="00CD24C6">
            <w:pPr>
              <w:pStyle w:val="SCVtablecolhead"/>
              <w:jc w:val="right"/>
              <w:rPr>
                <w:rFonts w:ascii="Times New Roman" w:hAnsi="Times New Roman" w:cs="Times New Roman"/>
                <w:sz w:val="24"/>
                <w:szCs w:val="24"/>
              </w:rPr>
            </w:pPr>
            <w:r w:rsidRPr="003B66DC">
              <w:rPr>
                <w:sz w:val="24"/>
                <w:szCs w:val="24"/>
              </w:rPr>
              <w:t>Public</w:t>
            </w:r>
          </w:p>
        </w:tc>
        <w:tc>
          <w:tcPr>
            <w:tcW w:w="1701" w:type="dxa"/>
            <w:tcBorders>
              <w:top w:val="nil"/>
              <w:left w:val="nil"/>
              <w:bottom w:val="single" w:sz="24" w:space="0" w:color="CCCCD0"/>
              <w:right w:val="nil"/>
            </w:tcBorders>
            <w:shd w:val="clear" w:color="auto" w:fill="EDF5F7" w:themeFill="background2"/>
            <w:vAlign w:val="center"/>
            <w:hideMark/>
          </w:tcPr>
          <w:p w14:paraId="47AD107F" w14:textId="24351AD7" w:rsidR="003614DB" w:rsidRPr="003B66DC" w:rsidRDefault="003614DB" w:rsidP="00CD24C6">
            <w:pPr>
              <w:pStyle w:val="SCVtablecolhead"/>
              <w:jc w:val="right"/>
              <w:rPr>
                <w:rFonts w:ascii="Times New Roman" w:hAnsi="Times New Roman" w:cs="Times New Roman"/>
                <w:sz w:val="24"/>
                <w:szCs w:val="24"/>
              </w:rPr>
            </w:pPr>
            <w:r w:rsidRPr="003B66DC">
              <w:rPr>
                <w:sz w:val="24"/>
                <w:szCs w:val="24"/>
              </w:rPr>
              <w:t>Category 11</w:t>
            </w:r>
          </w:p>
        </w:tc>
        <w:tc>
          <w:tcPr>
            <w:tcW w:w="1701" w:type="dxa"/>
            <w:tcBorders>
              <w:top w:val="nil"/>
              <w:left w:val="nil"/>
              <w:bottom w:val="single" w:sz="24" w:space="0" w:color="CCCCD0"/>
              <w:right w:val="nil"/>
            </w:tcBorders>
            <w:shd w:val="clear" w:color="auto" w:fill="EDF5F7" w:themeFill="background2"/>
            <w:vAlign w:val="center"/>
            <w:hideMark/>
          </w:tcPr>
          <w:p w14:paraId="555EB1AD" w14:textId="30DD44E7" w:rsidR="003614DB" w:rsidRPr="003B66DC" w:rsidRDefault="003614DB" w:rsidP="00CD24C6">
            <w:pPr>
              <w:pStyle w:val="SCVtablecolhead"/>
              <w:jc w:val="right"/>
              <w:rPr>
                <w:rFonts w:ascii="Times New Roman" w:hAnsi="Times New Roman" w:cs="Times New Roman"/>
                <w:sz w:val="24"/>
                <w:szCs w:val="24"/>
              </w:rPr>
            </w:pPr>
            <w:r w:rsidRPr="003B66DC">
              <w:rPr>
                <w:sz w:val="24"/>
                <w:szCs w:val="24"/>
              </w:rPr>
              <w:t>Categories 1 to 10</w:t>
            </w:r>
          </w:p>
        </w:tc>
      </w:tr>
      <w:tr w:rsidR="003614DB" w:rsidRPr="003B66DC" w14:paraId="6B1286ED" w14:textId="77777777" w:rsidTr="00CD24C6">
        <w:trPr>
          <w:trHeight w:val="300"/>
        </w:trPr>
        <w:tc>
          <w:tcPr>
            <w:tcW w:w="1701" w:type="dxa"/>
            <w:tcBorders>
              <w:top w:val="single" w:sz="6" w:space="0" w:color="80808B"/>
              <w:left w:val="nil"/>
              <w:bottom w:val="single" w:sz="6" w:space="0" w:color="80808B"/>
              <w:right w:val="nil"/>
            </w:tcBorders>
            <w:hideMark/>
          </w:tcPr>
          <w:p w14:paraId="5EC65738" w14:textId="774EF934" w:rsidR="003614DB" w:rsidRPr="007E004A" w:rsidRDefault="003614DB" w:rsidP="00893109">
            <w:pPr>
              <w:pStyle w:val="SCVtablebody"/>
              <w:rPr>
                <w:b/>
                <w:bCs/>
                <w:color w:val="007586" w:themeColor="text2"/>
                <w:sz w:val="24"/>
                <w:szCs w:val="24"/>
              </w:rPr>
            </w:pPr>
            <w:r w:rsidRPr="007E004A">
              <w:rPr>
                <w:b/>
                <w:bCs/>
                <w:color w:val="007586" w:themeColor="text2"/>
                <w:sz w:val="24"/>
                <w:szCs w:val="24"/>
              </w:rPr>
              <w:t>2019–20 </w:t>
            </w:r>
          </w:p>
        </w:tc>
        <w:tc>
          <w:tcPr>
            <w:tcW w:w="1701" w:type="dxa"/>
            <w:tcBorders>
              <w:top w:val="single" w:sz="6" w:space="0" w:color="80808B"/>
              <w:left w:val="nil"/>
              <w:bottom w:val="single" w:sz="6" w:space="0" w:color="80808B"/>
              <w:right w:val="nil"/>
            </w:tcBorders>
            <w:vAlign w:val="center"/>
            <w:hideMark/>
          </w:tcPr>
          <w:p w14:paraId="7A0CDB94" w14:textId="4C241E4B" w:rsidR="003614DB" w:rsidRPr="003B66DC" w:rsidRDefault="003614DB" w:rsidP="00CD24C6">
            <w:pPr>
              <w:pStyle w:val="SCVtablebody"/>
              <w:jc w:val="right"/>
              <w:rPr>
                <w:sz w:val="24"/>
                <w:szCs w:val="24"/>
              </w:rPr>
            </w:pPr>
            <w:r w:rsidRPr="003B66DC">
              <w:rPr>
                <w:sz w:val="24"/>
                <w:szCs w:val="24"/>
              </w:rPr>
              <w:t>186</w:t>
            </w:r>
          </w:p>
        </w:tc>
        <w:tc>
          <w:tcPr>
            <w:tcW w:w="1701" w:type="dxa"/>
            <w:tcBorders>
              <w:top w:val="single" w:sz="6" w:space="0" w:color="80808B"/>
              <w:left w:val="nil"/>
              <w:bottom w:val="single" w:sz="6" w:space="0" w:color="80808B"/>
              <w:right w:val="nil"/>
            </w:tcBorders>
            <w:vAlign w:val="center"/>
            <w:hideMark/>
          </w:tcPr>
          <w:p w14:paraId="5A50AD9B" w14:textId="20AB05DB" w:rsidR="003614DB" w:rsidRPr="003B66DC" w:rsidRDefault="003614DB" w:rsidP="00CD24C6">
            <w:pPr>
              <w:pStyle w:val="SCVtablebody"/>
              <w:jc w:val="right"/>
              <w:rPr>
                <w:sz w:val="24"/>
                <w:szCs w:val="24"/>
              </w:rPr>
            </w:pPr>
            <w:r w:rsidRPr="003B66DC">
              <w:rPr>
                <w:sz w:val="24"/>
                <w:szCs w:val="24"/>
              </w:rPr>
              <w:t>20</w:t>
            </w:r>
          </w:p>
        </w:tc>
        <w:tc>
          <w:tcPr>
            <w:tcW w:w="1701" w:type="dxa"/>
            <w:tcBorders>
              <w:top w:val="single" w:sz="6" w:space="0" w:color="80808B"/>
              <w:left w:val="nil"/>
              <w:bottom w:val="single" w:sz="6" w:space="0" w:color="80808B"/>
              <w:right w:val="nil"/>
            </w:tcBorders>
            <w:vAlign w:val="center"/>
            <w:hideMark/>
          </w:tcPr>
          <w:p w14:paraId="6421026D" w14:textId="5C0C5788" w:rsidR="003614DB" w:rsidRPr="003B66DC" w:rsidRDefault="003614DB" w:rsidP="00CD24C6">
            <w:pPr>
              <w:pStyle w:val="SCVtablebody"/>
              <w:jc w:val="right"/>
              <w:rPr>
                <w:sz w:val="24"/>
                <w:szCs w:val="24"/>
              </w:rPr>
            </w:pPr>
            <w:r w:rsidRPr="003B66DC">
              <w:rPr>
                <w:sz w:val="24"/>
                <w:szCs w:val="24"/>
              </w:rPr>
              <w:t>166</w:t>
            </w:r>
          </w:p>
        </w:tc>
        <w:tc>
          <w:tcPr>
            <w:tcW w:w="1701" w:type="dxa"/>
            <w:tcBorders>
              <w:top w:val="single" w:sz="6" w:space="0" w:color="80808B"/>
              <w:left w:val="nil"/>
              <w:bottom w:val="single" w:sz="6" w:space="0" w:color="80808B"/>
              <w:right w:val="nil"/>
            </w:tcBorders>
            <w:vAlign w:val="center"/>
            <w:hideMark/>
          </w:tcPr>
          <w:p w14:paraId="6166F7BF" w14:textId="6086E65A" w:rsidR="003614DB" w:rsidRPr="003B66DC" w:rsidRDefault="003614DB" w:rsidP="00CD24C6">
            <w:pPr>
              <w:pStyle w:val="SCVtablebody"/>
              <w:jc w:val="right"/>
              <w:rPr>
                <w:sz w:val="24"/>
                <w:szCs w:val="24"/>
              </w:rPr>
            </w:pPr>
            <w:r w:rsidRPr="003B66DC">
              <w:rPr>
                <w:sz w:val="24"/>
                <w:szCs w:val="24"/>
              </w:rPr>
              <w:t>163</w:t>
            </w:r>
          </w:p>
        </w:tc>
        <w:tc>
          <w:tcPr>
            <w:tcW w:w="1701" w:type="dxa"/>
            <w:tcBorders>
              <w:top w:val="single" w:sz="6" w:space="0" w:color="80808B"/>
              <w:left w:val="nil"/>
              <w:bottom w:val="single" w:sz="6" w:space="0" w:color="80808B"/>
              <w:right w:val="nil"/>
            </w:tcBorders>
            <w:vAlign w:val="center"/>
            <w:hideMark/>
          </w:tcPr>
          <w:p w14:paraId="463B46A8" w14:textId="324004C1" w:rsidR="003614DB" w:rsidRPr="003B66DC" w:rsidRDefault="003614DB" w:rsidP="00CD24C6">
            <w:pPr>
              <w:pStyle w:val="SCVtablebody"/>
              <w:jc w:val="right"/>
              <w:rPr>
                <w:sz w:val="24"/>
                <w:szCs w:val="24"/>
              </w:rPr>
            </w:pPr>
            <w:r w:rsidRPr="003B66DC">
              <w:rPr>
                <w:sz w:val="24"/>
                <w:szCs w:val="24"/>
              </w:rPr>
              <w:t>23</w:t>
            </w:r>
          </w:p>
        </w:tc>
      </w:tr>
      <w:tr w:rsidR="003614DB" w:rsidRPr="003B66DC" w14:paraId="6D2CA212" w14:textId="77777777" w:rsidTr="00CD24C6">
        <w:trPr>
          <w:trHeight w:val="300"/>
        </w:trPr>
        <w:tc>
          <w:tcPr>
            <w:tcW w:w="1701" w:type="dxa"/>
            <w:tcBorders>
              <w:top w:val="single" w:sz="6" w:space="0" w:color="80808B"/>
              <w:left w:val="nil"/>
              <w:bottom w:val="single" w:sz="6" w:space="0" w:color="80808B"/>
              <w:right w:val="nil"/>
            </w:tcBorders>
            <w:hideMark/>
          </w:tcPr>
          <w:p w14:paraId="40CF2184" w14:textId="5D8404D8" w:rsidR="003614DB" w:rsidRPr="007E004A" w:rsidRDefault="003614DB" w:rsidP="00893109">
            <w:pPr>
              <w:pStyle w:val="SCVtablebody"/>
              <w:rPr>
                <w:b/>
                <w:bCs/>
                <w:color w:val="007586" w:themeColor="text2"/>
                <w:sz w:val="24"/>
                <w:szCs w:val="24"/>
              </w:rPr>
            </w:pPr>
            <w:r w:rsidRPr="007E004A">
              <w:rPr>
                <w:b/>
                <w:bCs/>
                <w:color w:val="007586" w:themeColor="text2"/>
                <w:sz w:val="24"/>
                <w:szCs w:val="24"/>
              </w:rPr>
              <w:t>2020–21 </w:t>
            </w:r>
          </w:p>
        </w:tc>
        <w:tc>
          <w:tcPr>
            <w:tcW w:w="1701" w:type="dxa"/>
            <w:tcBorders>
              <w:top w:val="single" w:sz="6" w:space="0" w:color="80808B"/>
              <w:left w:val="nil"/>
              <w:bottom w:val="single" w:sz="6" w:space="0" w:color="80808B"/>
              <w:right w:val="nil"/>
            </w:tcBorders>
            <w:vAlign w:val="center"/>
            <w:hideMark/>
          </w:tcPr>
          <w:p w14:paraId="6545A2B0" w14:textId="5D0335D4" w:rsidR="003614DB" w:rsidRPr="003B66DC" w:rsidRDefault="003614DB" w:rsidP="00CD24C6">
            <w:pPr>
              <w:pStyle w:val="SCVtablebody"/>
              <w:jc w:val="right"/>
              <w:rPr>
                <w:sz w:val="24"/>
                <w:szCs w:val="24"/>
              </w:rPr>
            </w:pPr>
            <w:r w:rsidRPr="003B66DC">
              <w:rPr>
                <w:sz w:val="24"/>
                <w:szCs w:val="24"/>
              </w:rPr>
              <w:t>168</w:t>
            </w:r>
          </w:p>
        </w:tc>
        <w:tc>
          <w:tcPr>
            <w:tcW w:w="1701" w:type="dxa"/>
            <w:tcBorders>
              <w:top w:val="single" w:sz="6" w:space="0" w:color="80808B"/>
              <w:left w:val="nil"/>
              <w:bottom w:val="single" w:sz="6" w:space="0" w:color="80808B"/>
              <w:right w:val="nil"/>
            </w:tcBorders>
            <w:vAlign w:val="center"/>
            <w:hideMark/>
          </w:tcPr>
          <w:p w14:paraId="3B7F1CB2" w14:textId="5F34FE6C" w:rsidR="003614DB" w:rsidRPr="003B66DC" w:rsidRDefault="003614DB" w:rsidP="00CD24C6">
            <w:pPr>
              <w:pStyle w:val="SCVtablebody"/>
              <w:jc w:val="right"/>
              <w:rPr>
                <w:sz w:val="24"/>
                <w:szCs w:val="24"/>
              </w:rPr>
            </w:pPr>
            <w:r w:rsidRPr="003B66DC">
              <w:rPr>
                <w:sz w:val="24"/>
                <w:szCs w:val="24"/>
              </w:rPr>
              <w:t>28</w:t>
            </w:r>
          </w:p>
        </w:tc>
        <w:tc>
          <w:tcPr>
            <w:tcW w:w="1701" w:type="dxa"/>
            <w:tcBorders>
              <w:top w:val="single" w:sz="6" w:space="0" w:color="80808B"/>
              <w:left w:val="nil"/>
              <w:bottom w:val="single" w:sz="6" w:space="0" w:color="80808B"/>
              <w:right w:val="nil"/>
            </w:tcBorders>
            <w:vAlign w:val="center"/>
            <w:hideMark/>
          </w:tcPr>
          <w:p w14:paraId="167C9B94" w14:textId="0F117178" w:rsidR="003614DB" w:rsidRPr="003B66DC" w:rsidRDefault="003614DB" w:rsidP="00CD24C6">
            <w:pPr>
              <w:pStyle w:val="SCVtablebody"/>
              <w:jc w:val="right"/>
              <w:rPr>
                <w:sz w:val="24"/>
                <w:szCs w:val="24"/>
              </w:rPr>
            </w:pPr>
            <w:r w:rsidRPr="003B66DC">
              <w:rPr>
                <w:sz w:val="24"/>
                <w:szCs w:val="24"/>
              </w:rPr>
              <w:t>140</w:t>
            </w:r>
          </w:p>
        </w:tc>
        <w:tc>
          <w:tcPr>
            <w:tcW w:w="1701" w:type="dxa"/>
            <w:tcBorders>
              <w:top w:val="single" w:sz="6" w:space="0" w:color="80808B"/>
              <w:left w:val="nil"/>
              <w:bottom w:val="single" w:sz="6" w:space="0" w:color="80808B"/>
              <w:right w:val="nil"/>
            </w:tcBorders>
            <w:vAlign w:val="center"/>
            <w:hideMark/>
          </w:tcPr>
          <w:p w14:paraId="4569381C" w14:textId="2B3AC237" w:rsidR="003614DB" w:rsidRPr="003B66DC" w:rsidRDefault="003614DB" w:rsidP="00CD24C6">
            <w:pPr>
              <w:pStyle w:val="SCVtablebody"/>
              <w:jc w:val="right"/>
              <w:rPr>
                <w:sz w:val="24"/>
                <w:szCs w:val="24"/>
              </w:rPr>
            </w:pPr>
            <w:r w:rsidRPr="003B66DC">
              <w:rPr>
                <w:sz w:val="24"/>
                <w:szCs w:val="24"/>
              </w:rPr>
              <w:t>144</w:t>
            </w:r>
          </w:p>
        </w:tc>
        <w:tc>
          <w:tcPr>
            <w:tcW w:w="1701" w:type="dxa"/>
            <w:tcBorders>
              <w:top w:val="single" w:sz="6" w:space="0" w:color="80808B"/>
              <w:left w:val="nil"/>
              <w:bottom w:val="single" w:sz="6" w:space="0" w:color="80808B"/>
              <w:right w:val="nil"/>
            </w:tcBorders>
            <w:vAlign w:val="center"/>
            <w:hideMark/>
          </w:tcPr>
          <w:p w14:paraId="709A5E9D" w14:textId="0839859C" w:rsidR="003614DB" w:rsidRPr="003B66DC" w:rsidRDefault="003614DB" w:rsidP="00CD24C6">
            <w:pPr>
              <w:pStyle w:val="SCVtablebody"/>
              <w:jc w:val="right"/>
              <w:rPr>
                <w:sz w:val="24"/>
                <w:szCs w:val="24"/>
              </w:rPr>
            </w:pPr>
            <w:r w:rsidRPr="003B66DC">
              <w:rPr>
                <w:sz w:val="24"/>
                <w:szCs w:val="24"/>
              </w:rPr>
              <w:t>24</w:t>
            </w:r>
          </w:p>
        </w:tc>
      </w:tr>
      <w:tr w:rsidR="003614DB" w:rsidRPr="003B66DC" w14:paraId="7846BDF8" w14:textId="77777777" w:rsidTr="00CD24C6">
        <w:trPr>
          <w:trHeight w:val="300"/>
        </w:trPr>
        <w:tc>
          <w:tcPr>
            <w:tcW w:w="1701" w:type="dxa"/>
            <w:tcBorders>
              <w:top w:val="single" w:sz="6" w:space="0" w:color="80808B"/>
              <w:left w:val="nil"/>
              <w:bottom w:val="single" w:sz="6" w:space="0" w:color="80808B"/>
              <w:right w:val="nil"/>
            </w:tcBorders>
            <w:hideMark/>
          </w:tcPr>
          <w:p w14:paraId="64528240" w14:textId="268CBC76" w:rsidR="003614DB" w:rsidRPr="007E004A" w:rsidRDefault="003614DB" w:rsidP="00893109">
            <w:pPr>
              <w:pStyle w:val="SCVtablebody"/>
              <w:rPr>
                <w:b/>
                <w:bCs/>
                <w:color w:val="007586" w:themeColor="text2"/>
                <w:sz w:val="24"/>
                <w:szCs w:val="24"/>
              </w:rPr>
            </w:pPr>
            <w:r w:rsidRPr="007E004A">
              <w:rPr>
                <w:b/>
                <w:bCs/>
                <w:color w:val="007586" w:themeColor="text2"/>
                <w:sz w:val="24"/>
                <w:szCs w:val="24"/>
              </w:rPr>
              <w:t>2021–22 </w:t>
            </w:r>
          </w:p>
        </w:tc>
        <w:tc>
          <w:tcPr>
            <w:tcW w:w="1701" w:type="dxa"/>
            <w:tcBorders>
              <w:top w:val="single" w:sz="6" w:space="0" w:color="80808B"/>
              <w:left w:val="nil"/>
              <w:bottom w:val="single" w:sz="6" w:space="0" w:color="80808B"/>
              <w:right w:val="nil"/>
            </w:tcBorders>
            <w:vAlign w:val="center"/>
            <w:hideMark/>
          </w:tcPr>
          <w:p w14:paraId="4C5BB8E0" w14:textId="21C76C0B" w:rsidR="003614DB" w:rsidRPr="003B66DC" w:rsidRDefault="003614DB" w:rsidP="00CD24C6">
            <w:pPr>
              <w:pStyle w:val="SCVtablebody"/>
              <w:jc w:val="right"/>
              <w:rPr>
                <w:sz w:val="24"/>
                <w:szCs w:val="24"/>
              </w:rPr>
            </w:pPr>
            <w:r w:rsidRPr="003B66DC">
              <w:rPr>
                <w:sz w:val="24"/>
                <w:szCs w:val="24"/>
              </w:rPr>
              <w:t>240</w:t>
            </w:r>
          </w:p>
        </w:tc>
        <w:tc>
          <w:tcPr>
            <w:tcW w:w="1701" w:type="dxa"/>
            <w:tcBorders>
              <w:top w:val="single" w:sz="6" w:space="0" w:color="80808B"/>
              <w:left w:val="nil"/>
              <w:bottom w:val="single" w:sz="6" w:space="0" w:color="80808B"/>
              <w:right w:val="nil"/>
            </w:tcBorders>
            <w:vAlign w:val="center"/>
            <w:hideMark/>
          </w:tcPr>
          <w:p w14:paraId="75D04B3A" w14:textId="7A88A893" w:rsidR="003614DB" w:rsidRPr="003B66DC" w:rsidRDefault="003614DB" w:rsidP="00CD24C6">
            <w:pPr>
              <w:pStyle w:val="SCVtablebody"/>
              <w:jc w:val="right"/>
              <w:rPr>
                <w:sz w:val="24"/>
                <w:szCs w:val="24"/>
              </w:rPr>
            </w:pPr>
            <w:r w:rsidRPr="003B66DC">
              <w:rPr>
                <w:sz w:val="24"/>
                <w:szCs w:val="24"/>
              </w:rPr>
              <w:t>43</w:t>
            </w:r>
          </w:p>
        </w:tc>
        <w:tc>
          <w:tcPr>
            <w:tcW w:w="1701" w:type="dxa"/>
            <w:tcBorders>
              <w:top w:val="single" w:sz="6" w:space="0" w:color="80808B"/>
              <w:left w:val="nil"/>
              <w:bottom w:val="single" w:sz="6" w:space="0" w:color="80808B"/>
              <w:right w:val="nil"/>
            </w:tcBorders>
            <w:vAlign w:val="center"/>
            <w:hideMark/>
          </w:tcPr>
          <w:p w14:paraId="52E2F8D0" w14:textId="67B813A6" w:rsidR="003614DB" w:rsidRPr="003B66DC" w:rsidRDefault="003614DB" w:rsidP="00CD24C6">
            <w:pPr>
              <w:pStyle w:val="SCVtablebody"/>
              <w:jc w:val="right"/>
              <w:rPr>
                <w:sz w:val="24"/>
                <w:szCs w:val="24"/>
              </w:rPr>
            </w:pPr>
            <w:r w:rsidRPr="003B66DC">
              <w:rPr>
                <w:sz w:val="24"/>
                <w:szCs w:val="24"/>
              </w:rPr>
              <w:t>197</w:t>
            </w:r>
          </w:p>
        </w:tc>
        <w:tc>
          <w:tcPr>
            <w:tcW w:w="1701" w:type="dxa"/>
            <w:tcBorders>
              <w:top w:val="single" w:sz="6" w:space="0" w:color="80808B"/>
              <w:left w:val="nil"/>
              <w:bottom w:val="single" w:sz="6" w:space="0" w:color="80808B"/>
              <w:right w:val="nil"/>
            </w:tcBorders>
            <w:vAlign w:val="center"/>
            <w:hideMark/>
          </w:tcPr>
          <w:p w14:paraId="6870306E" w14:textId="1BD6B813" w:rsidR="003614DB" w:rsidRPr="003B66DC" w:rsidRDefault="003614DB" w:rsidP="00CD24C6">
            <w:pPr>
              <w:pStyle w:val="SCVtablebody"/>
              <w:jc w:val="right"/>
              <w:rPr>
                <w:sz w:val="24"/>
                <w:szCs w:val="24"/>
              </w:rPr>
            </w:pPr>
            <w:r w:rsidRPr="003B66DC">
              <w:rPr>
                <w:sz w:val="24"/>
                <w:szCs w:val="24"/>
              </w:rPr>
              <w:t>212</w:t>
            </w:r>
          </w:p>
        </w:tc>
        <w:tc>
          <w:tcPr>
            <w:tcW w:w="1701" w:type="dxa"/>
            <w:tcBorders>
              <w:top w:val="single" w:sz="6" w:space="0" w:color="80808B"/>
              <w:left w:val="nil"/>
              <w:bottom w:val="single" w:sz="6" w:space="0" w:color="80808B"/>
              <w:right w:val="nil"/>
            </w:tcBorders>
            <w:vAlign w:val="center"/>
            <w:hideMark/>
          </w:tcPr>
          <w:p w14:paraId="32FEE93E" w14:textId="1760728B" w:rsidR="003614DB" w:rsidRPr="003B66DC" w:rsidRDefault="003614DB" w:rsidP="00CD24C6">
            <w:pPr>
              <w:pStyle w:val="SCVtablebody"/>
              <w:jc w:val="right"/>
              <w:rPr>
                <w:sz w:val="24"/>
                <w:szCs w:val="24"/>
              </w:rPr>
            </w:pPr>
            <w:r w:rsidRPr="003B66DC">
              <w:rPr>
                <w:sz w:val="24"/>
                <w:szCs w:val="24"/>
              </w:rPr>
              <w:t>28</w:t>
            </w:r>
          </w:p>
        </w:tc>
      </w:tr>
      <w:tr w:rsidR="003614DB" w:rsidRPr="003B66DC" w14:paraId="22E03E8A" w14:textId="77777777" w:rsidTr="00CD24C6">
        <w:trPr>
          <w:trHeight w:val="300"/>
        </w:trPr>
        <w:tc>
          <w:tcPr>
            <w:tcW w:w="1701" w:type="dxa"/>
            <w:tcBorders>
              <w:top w:val="single" w:sz="6" w:space="0" w:color="80808B"/>
              <w:left w:val="nil"/>
              <w:bottom w:val="single" w:sz="6" w:space="0" w:color="80808B"/>
              <w:right w:val="nil"/>
            </w:tcBorders>
            <w:hideMark/>
          </w:tcPr>
          <w:p w14:paraId="4CF2DA1D" w14:textId="01EE3050" w:rsidR="003614DB" w:rsidRPr="007E004A" w:rsidRDefault="003614DB" w:rsidP="00893109">
            <w:pPr>
              <w:pStyle w:val="SCVtablebody"/>
              <w:rPr>
                <w:b/>
                <w:bCs/>
                <w:color w:val="007586" w:themeColor="text2"/>
                <w:sz w:val="24"/>
                <w:szCs w:val="24"/>
              </w:rPr>
            </w:pPr>
            <w:r w:rsidRPr="007E004A">
              <w:rPr>
                <w:b/>
                <w:bCs/>
                <w:color w:val="007586" w:themeColor="text2"/>
                <w:sz w:val="24"/>
                <w:szCs w:val="24"/>
              </w:rPr>
              <w:t>2022–23 </w:t>
            </w:r>
          </w:p>
        </w:tc>
        <w:tc>
          <w:tcPr>
            <w:tcW w:w="1701" w:type="dxa"/>
            <w:tcBorders>
              <w:top w:val="single" w:sz="6" w:space="0" w:color="80808B"/>
              <w:left w:val="nil"/>
              <w:bottom w:val="single" w:sz="6" w:space="0" w:color="80808B"/>
              <w:right w:val="nil"/>
            </w:tcBorders>
            <w:vAlign w:val="center"/>
            <w:hideMark/>
          </w:tcPr>
          <w:p w14:paraId="1BA670AA" w14:textId="6A16F677" w:rsidR="003614DB" w:rsidRPr="003B66DC" w:rsidRDefault="003614DB" w:rsidP="00CD24C6">
            <w:pPr>
              <w:pStyle w:val="SCVtablebody"/>
              <w:jc w:val="right"/>
              <w:rPr>
                <w:sz w:val="24"/>
                <w:szCs w:val="24"/>
              </w:rPr>
            </w:pPr>
            <w:r w:rsidRPr="003B66DC">
              <w:rPr>
                <w:sz w:val="24"/>
                <w:szCs w:val="24"/>
              </w:rPr>
              <w:t>245</w:t>
            </w:r>
          </w:p>
        </w:tc>
        <w:tc>
          <w:tcPr>
            <w:tcW w:w="1701" w:type="dxa"/>
            <w:tcBorders>
              <w:top w:val="single" w:sz="6" w:space="0" w:color="80808B"/>
              <w:left w:val="nil"/>
              <w:bottom w:val="single" w:sz="6" w:space="0" w:color="80808B"/>
              <w:right w:val="nil"/>
            </w:tcBorders>
            <w:vAlign w:val="center"/>
            <w:hideMark/>
          </w:tcPr>
          <w:p w14:paraId="5B3CF356" w14:textId="0DFA275F" w:rsidR="003614DB" w:rsidRPr="003B66DC" w:rsidRDefault="003614DB" w:rsidP="00CD24C6">
            <w:pPr>
              <w:pStyle w:val="SCVtablebody"/>
              <w:jc w:val="right"/>
              <w:rPr>
                <w:sz w:val="24"/>
                <w:szCs w:val="24"/>
              </w:rPr>
            </w:pPr>
            <w:r w:rsidRPr="003B66DC">
              <w:rPr>
                <w:sz w:val="24"/>
                <w:szCs w:val="24"/>
              </w:rPr>
              <w:t>24</w:t>
            </w:r>
          </w:p>
        </w:tc>
        <w:tc>
          <w:tcPr>
            <w:tcW w:w="1701" w:type="dxa"/>
            <w:tcBorders>
              <w:top w:val="single" w:sz="6" w:space="0" w:color="80808B"/>
              <w:left w:val="nil"/>
              <w:bottom w:val="single" w:sz="6" w:space="0" w:color="80808B"/>
              <w:right w:val="nil"/>
            </w:tcBorders>
            <w:vAlign w:val="center"/>
            <w:hideMark/>
          </w:tcPr>
          <w:p w14:paraId="4C501251" w14:textId="50C52FD1" w:rsidR="003614DB" w:rsidRPr="003B66DC" w:rsidRDefault="003614DB" w:rsidP="00CD24C6">
            <w:pPr>
              <w:pStyle w:val="SCVtablebody"/>
              <w:jc w:val="right"/>
              <w:rPr>
                <w:sz w:val="24"/>
                <w:szCs w:val="24"/>
              </w:rPr>
            </w:pPr>
            <w:r w:rsidRPr="003B66DC">
              <w:rPr>
                <w:sz w:val="24"/>
                <w:szCs w:val="24"/>
              </w:rPr>
              <w:t>221</w:t>
            </w:r>
          </w:p>
        </w:tc>
        <w:tc>
          <w:tcPr>
            <w:tcW w:w="1701" w:type="dxa"/>
            <w:tcBorders>
              <w:top w:val="single" w:sz="6" w:space="0" w:color="80808B"/>
              <w:left w:val="nil"/>
              <w:bottom w:val="single" w:sz="6" w:space="0" w:color="80808B"/>
              <w:right w:val="nil"/>
            </w:tcBorders>
            <w:vAlign w:val="center"/>
            <w:hideMark/>
          </w:tcPr>
          <w:p w14:paraId="36DB92BB" w14:textId="37C849A1" w:rsidR="003614DB" w:rsidRPr="003B66DC" w:rsidRDefault="003614DB" w:rsidP="00CD24C6">
            <w:pPr>
              <w:pStyle w:val="SCVtablebody"/>
              <w:jc w:val="right"/>
              <w:rPr>
                <w:sz w:val="24"/>
                <w:szCs w:val="24"/>
              </w:rPr>
            </w:pPr>
            <w:r w:rsidRPr="003B66DC">
              <w:rPr>
                <w:sz w:val="24"/>
                <w:szCs w:val="24"/>
              </w:rPr>
              <w:t>210</w:t>
            </w:r>
          </w:p>
        </w:tc>
        <w:tc>
          <w:tcPr>
            <w:tcW w:w="1701" w:type="dxa"/>
            <w:tcBorders>
              <w:top w:val="single" w:sz="6" w:space="0" w:color="80808B"/>
              <w:left w:val="nil"/>
              <w:bottom w:val="single" w:sz="6" w:space="0" w:color="80808B"/>
              <w:right w:val="nil"/>
            </w:tcBorders>
            <w:vAlign w:val="center"/>
            <w:hideMark/>
          </w:tcPr>
          <w:p w14:paraId="2098D997" w14:textId="19BD8420" w:rsidR="003614DB" w:rsidRPr="003B66DC" w:rsidRDefault="003614DB" w:rsidP="00CD24C6">
            <w:pPr>
              <w:pStyle w:val="SCVtablebody"/>
              <w:jc w:val="right"/>
              <w:rPr>
                <w:sz w:val="24"/>
                <w:szCs w:val="24"/>
              </w:rPr>
            </w:pPr>
            <w:r w:rsidRPr="003B66DC">
              <w:rPr>
                <w:sz w:val="24"/>
                <w:szCs w:val="24"/>
              </w:rPr>
              <w:t>35</w:t>
            </w:r>
          </w:p>
        </w:tc>
      </w:tr>
      <w:tr w:rsidR="003614DB" w:rsidRPr="003B66DC" w14:paraId="24EBD590" w14:textId="77777777" w:rsidTr="00CD24C6">
        <w:trPr>
          <w:trHeight w:val="300"/>
        </w:trPr>
        <w:tc>
          <w:tcPr>
            <w:tcW w:w="1701" w:type="dxa"/>
            <w:tcBorders>
              <w:top w:val="single" w:sz="6" w:space="0" w:color="80808B"/>
              <w:left w:val="nil"/>
              <w:bottom w:val="single" w:sz="6" w:space="0" w:color="80808B"/>
              <w:right w:val="nil"/>
            </w:tcBorders>
          </w:tcPr>
          <w:p w14:paraId="0FCBEEF4" w14:textId="568D1C23" w:rsidR="003614DB" w:rsidRPr="007E004A" w:rsidRDefault="003614DB" w:rsidP="00893109">
            <w:pPr>
              <w:pStyle w:val="SCVtablebody"/>
              <w:rPr>
                <w:b/>
                <w:bCs/>
                <w:color w:val="007586" w:themeColor="text2"/>
                <w:sz w:val="24"/>
                <w:szCs w:val="24"/>
              </w:rPr>
            </w:pPr>
            <w:r w:rsidRPr="007E004A">
              <w:rPr>
                <w:b/>
                <w:bCs/>
                <w:color w:val="007586" w:themeColor="text2"/>
                <w:sz w:val="24"/>
                <w:szCs w:val="24"/>
              </w:rPr>
              <w:t>2023–24</w:t>
            </w:r>
          </w:p>
        </w:tc>
        <w:tc>
          <w:tcPr>
            <w:tcW w:w="1701" w:type="dxa"/>
            <w:tcBorders>
              <w:top w:val="single" w:sz="6" w:space="0" w:color="80808B"/>
              <w:left w:val="nil"/>
              <w:bottom w:val="single" w:sz="6" w:space="0" w:color="80808B"/>
              <w:right w:val="nil"/>
            </w:tcBorders>
            <w:vAlign w:val="center"/>
          </w:tcPr>
          <w:p w14:paraId="1D9AD0AC" w14:textId="7E7D4034" w:rsidR="003614DB" w:rsidRPr="003B66DC" w:rsidRDefault="003614DB" w:rsidP="00CD24C6">
            <w:pPr>
              <w:pStyle w:val="SCVtablebody"/>
              <w:jc w:val="right"/>
              <w:rPr>
                <w:sz w:val="24"/>
                <w:szCs w:val="24"/>
              </w:rPr>
            </w:pPr>
            <w:r w:rsidRPr="003B66DC">
              <w:rPr>
                <w:sz w:val="24"/>
                <w:szCs w:val="24"/>
              </w:rPr>
              <w:t>193</w:t>
            </w:r>
          </w:p>
        </w:tc>
        <w:tc>
          <w:tcPr>
            <w:tcW w:w="1701" w:type="dxa"/>
            <w:tcBorders>
              <w:top w:val="single" w:sz="6" w:space="0" w:color="80808B"/>
              <w:left w:val="nil"/>
              <w:bottom w:val="single" w:sz="6" w:space="0" w:color="80808B"/>
              <w:right w:val="nil"/>
            </w:tcBorders>
            <w:vAlign w:val="center"/>
          </w:tcPr>
          <w:p w14:paraId="57441BA4" w14:textId="261514C3" w:rsidR="003614DB" w:rsidRPr="003B66DC" w:rsidRDefault="003614DB" w:rsidP="00CD24C6">
            <w:pPr>
              <w:pStyle w:val="SCVtablebody"/>
              <w:jc w:val="right"/>
              <w:rPr>
                <w:sz w:val="24"/>
                <w:szCs w:val="24"/>
              </w:rPr>
            </w:pPr>
            <w:r w:rsidRPr="003B66DC">
              <w:rPr>
                <w:sz w:val="24"/>
                <w:szCs w:val="24"/>
              </w:rPr>
              <w:t>33</w:t>
            </w:r>
          </w:p>
        </w:tc>
        <w:tc>
          <w:tcPr>
            <w:tcW w:w="1701" w:type="dxa"/>
            <w:tcBorders>
              <w:top w:val="single" w:sz="6" w:space="0" w:color="80808B"/>
              <w:left w:val="nil"/>
              <w:bottom w:val="single" w:sz="6" w:space="0" w:color="80808B"/>
              <w:right w:val="nil"/>
            </w:tcBorders>
            <w:vAlign w:val="center"/>
          </w:tcPr>
          <w:p w14:paraId="6AE55584" w14:textId="11CA38B6" w:rsidR="003614DB" w:rsidRPr="003B66DC" w:rsidRDefault="003614DB" w:rsidP="00CD24C6">
            <w:pPr>
              <w:pStyle w:val="SCVtablebody"/>
              <w:jc w:val="right"/>
              <w:rPr>
                <w:sz w:val="24"/>
                <w:szCs w:val="24"/>
              </w:rPr>
            </w:pPr>
            <w:r w:rsidRPr="003B66DC">
              <w:rPr>
                <w:sz w:val="24"/>
                <w:szCs w:val="24"/>
              </w:rPr>
              <w:t>160</w:t>
            </w:r>
          </w:p>
        </w:tc>
        <w:tc>
          <w:tcPr>
            <w:tcW w:w="1701" w:type="dxa"/>
            <w:tcBorders>
              <w:top w:val="single" w:sz="6" w:space="0" w:color="80808B"/>
              <w:left w:val="nil"/>
              <w:bottom w:val="single" w:sz="6" w:space="0" w:color="80808B"/>
              <w:right w:val="nil"/>
            </w:tcBorders>
            <w:vAlign w:val="center"/>
          </w:tcPr>
          <w:p w14:paraId="7B0E9B37" w14:textId="15EE569E" w:rsidR="003614DB" w:rsidRPr="003B66DC" w:rsidRDefault="003614DB" w:rsidP="00CD24C6">
            <w:pPr>
              <w:pStyle w:val="SCVtablebody"/>
              <w:jc w:val="right"/>
              <w:rPr>
                <w:sz w:val="24"/>
                <w:szCs w:val="24"/>
              </w:rPr>
            </w:pPr>
            <w:r w:rsidRPr="003B66DC">
              <w:rPr>
                <w:sz w:val="24"/>
                <w:szCs w:val="24"/>
              </w:rPr>
              <w:t>169</w:t>
            </w:r>
          </w:p>
        </w:tc>
        <w:tc>
          <w:tcPr>
            <w:tcW w:w="1701" w:type="dxa"/>
            <w:tcBorders>
              <w:top w:val="single" w:sz="6" w:space="0" w:color="80808B"/>
              <w:left w:val="nil"/>
              <w:bottom w:val="single" w:sz="6" w:space="0" w:color="80808B"/>
              <w:right w:val="nil"/>
            </w:tcBorders>
            <w:vAlign w:val="center"/>
          </w:tcPr>
          <w:p w14:paraId="7A658D54" w14:textId="737D9D39" w:rsidR="003614DB" w:rsidRPr="003B66DC" w:rsidRDefault="003614DB" w:rsidP="00CD24C6">
            <w:pPr>
              <w:pStyle w:val="SCVtablebody"/>
              <w:jc w:val="right"/>
              <w:rPr>
                <w:sz w:val="24"/>
                <w:szCs w:val="24"/>
              </w:rPr>
            </w:pPr>
            <w:r w:rsidRPr="003B66DC">
              <w:rPr>
                <w:sz w:val="24"/>
                <w:szCs w:val="24"/>
              </w:rPr>
              <w:t>24</w:t>
            </w:r>
          </w:p>
        </w:tc>
      </w:tr>
      <w:tr w:rsidR="00731EA1" w:rsidRPr="003B66DC" w14:paraId="56AAD0EB" w14:textId="77777777" w:rsidTr="00CD24C6">
        <w:trPr>
          <w:trHeight w:val="300"/>
        </w:trPr>
        <w:tc>
          <w:tcPr>
            <w:tcW w:w="1701" w:type="dxa"/>
            <w:tcBorders>
              <w:top w:val="single" w:sz="6" w:space="0" w:color="80808B"/>
              <w:left w:val="nil"/>
              <w:bottom w:val="single" w:sz="6" w:space="0" w:color="80808B"/>
              <w:right w:val="nil"/>
            </w:tcBorders>
          </w:tcPr>
          <w:p w14:paraId="78B17A09" w14:textId="2CCACA70" w:rsidR="00731EA1" w:rsidRPr="007E004A" w:rsidRDefault="00237804" w:rsidP="00893109">
            <w:pPr>
              <w:pStyle w:val="SCVtablebody"/>
              <w:rPr>
                <w:b/>
                <w:bCs/>
                <w:color w:val="007586" w:themeColor="text2"/>
                <w:sz w:val="24"/>
                <w:szCs w:val="24"/>
              </w:rPr>
            </w:pPr>
            <w:r w:rsidRPr="007E004A">
              <w:rPr>
                <w:b/>
                <w:bCs/>
                <w:color w:val="007586" w:themeColor="text2"/>
                <w:sz w:val="24"/>
                <w:szCs w:val="24"/>
              </w:rPr>
              <w:t>2024</w:t>
            </w:r>
            <w:r w:rsidR="00AE2F6B" w:rsidRPr="007E004A">
              <w:rPr>
                <w:b/>
                <w:bCs/>
                <w:color w:val="007586" w:themeColor="text2"/>
                <w:sz w:val="24"/>
                <w:szCs w:val="24"/>
              </w:rPr>
              <w:t>–</w:t>
            </w:r>
            <w:r w:rsidRPr="007E004A">
              <w:rPr>
                <w:b/>
                <w:bCs/>
                <w:color w:val="007586" w:themeColor="text2"/>
                <w:sz w:val="24"/>
                <w:szCs w:val="24"/>
              </w:rPr>
              <w:t>25</w:t>
            </w:r>
          </w:p>
        </w:tc>
        <w:tc>
          <w:tcPr>
            <w:tcW w:w="1701" w:type="dxa"/>
            <w:tcBorders>
              <w:top w:val="single" w:sz="6" w:space="0" w:color="80808B"/>
              <w:left w:val="nil"/>
              <w:bottom w:val="single" w:sz="6" w:space="0" w:color="80808B"/>
              <w:right w:val="nil"/>
            </w:tcBorders>
            <w:vAlign w:val="center"/>
          </w:tcPr>
          <w:p w14:paraId="4BA39E5D" w14:textId="73EC7978" w:rsidR="00731EA1" w:rsidRPr="003B66DC" w:rsidRDefault="00237804" w:rsidP="00CD24C6">
            <w:pPr>
              <w:pStyle w:val="SCVtablebody"/>
              <w:jc w:val="right"/>
              <w:rPr>
                <w:sz w:val="24"/>
                <w:szCs w:val="24"/>
              </w:rPr>
            </w:pPr>
            <w:r w:rsidRPr="003B66DC">
              <w:rPr>
                <w:sz w:val="24"/>
                <w:szCs w:val="24"/>
              </w:rPr>
              <w:t>217</w:t>
            </w:r>
          </w:p>
        </w:tc>
        <w:tc>
          <w:tcPr>
            <w:tcW w:w="1701" w:type="dxa"/>
            <w:tcBorders>
              <w:top w:val="single" w:sz="6" w:space="0" w:color="80808B"/>
              <w:left w:val="nil"/>
              <w:bottom w:val="single" w:sz="6" w:space="0" w:color="80808B"/>
              <w:right w:val="nil"/>
            </w:tcBorders>
            <w:vAlign w:val="center"/>
          </w:tcPr>
          <w:p w14:paraId="5EFF2056" w14:textId="6F8C1568" w:rsidR="00731EA1" w:rsidRPr="003B66DC" w:rsidRDefault="00D952C9" w:rsidP="00CD24C6">
            <w:pPr>
              <w:pStyle w:val="SCVtablebody"/>
              <w:jc w:val="right"/>
              <w:rPr>
                <w:sz w:val="24"/>
                <w:szCs w:val="24"/>
              </w:rPr>
            </w:pPr>
            <w:r w:rsidRPr="003B66DC">
              <w:rPr>
                <w:sz w:val="24"/>
                <w:szCs w:val="24"/>
              </w:rPr>
              <w:t>34</w:t>
            </w:r>
          </w:p>
        </w:tc>
        <w:tc>
          <w:tcPr>
            <w:tcW w:w="1701" w:type="dxa"/>
            <w:tcBorders>
              <w:top w:val="single" w:sz="6" w:space="0" w:color="80808B"/>
              <w:left w:val="nil"/>
              <w:bottom w:val="single" w:sz="6" w:space="0" w:color="80808B"/>
              <w:right w:val="nil"/>
            </w:tcBorders>
            <w:vAlign w:val="center"/>
          </w:tcPr>
          <w:p w14:paraId="7C88792D" w14:textId="5B13F731" w:rsidR="00731EA1" w:rsidRPr="003B66DC" w:rsidRDefault="00D952C9" w:rsidP="00CD24C6">
            <w:pPr>
              <w:pStyle w:val="SCVtablebody"/>
              <w:jc w:val="right"/>
              <w:rPr>
                <w:sz w:val="24"/>
                <w:szCs w:val="24"/>
              </w:rPr>
            </w:pPr>
            <w:r w:rsidRPr="003B66DC">
              <w:rPr>
                <w:sz w:val="24"/>
                <w:szCs w:val="24"/>
              </w:rPr>
              <w:t>183</w:t>
            </w:r>
          </w:p>
        </w:tc>
        <w:tc>
          <w:tcPr>
            <w:tcW w:w="1701" w:type="dxa"/>
            <w:tcBorders>
              <w:top w:val="single" w:sz="6" w:space="0" w:color="80808B"/>
              <w:left w:val="nil"/>
              <w:bottom w:val="single" w:sz="6" w:space="0" w:color="80808B"/>
              <w:right w:val="nil"/>
            </w:tcBorders>
            <w:vAlign w:val="center"/>
          </w:tcPr>
          <w:p w14:paraId="1A9DAFCE" w14:textId="7A6A1A01" w:rsidR="00731EA1" w:rsidRPr="003B66DC" w:rsidRDefault="00324874" w:rsidP="00CD24C6">
            <w:pPr>
              <w:pStyle w:val="SCVtablebody"/>
              <w:jc w:val="right"/>
              <w:rPr>
                <w:sz w:val="24"/>
                <w:szCs w:val="24"/>
              </w:rPr>
            </w:pPr>
            <w:r w:rsidRPr="003B66DC">
              <w:rPr>
                <w:sz w:val="24"/>
                <w:szCs w:val="24"/>
              </w:rPr>
              <w:t>196</w:t>
            </w:r>
          </w:p>
        </w:tc>
        <w:tc>
          <w:tcPr>
            <w:tcW w:w="1701" w:type="dxa"/>
            <w:tcBorders>
              <w:top w:val="single" w:sz="6" w:space="0" w:color="80808B"/>
              <w:left w:val="nil"/>
              <w:bottom w:val="single" w:sz="6" w:space="0" w:color="80808B"/>
              <w:right w:val="nil"/>
            </w:tcBorders>
            <w:vAlign w:val="center"/>
          </w:tcPr>
          <w:p w14:paraId="2E6E4070" w14:textId="3AE5863C" w:rsidR="00731EA1" w:rsidRPr="003B66DC" w:rsidRDefault="00E01BD0" w:rsidP="00CD24C6">
            <w:pPr>
              <w:pStyle w:val="SCVtablebody"/>
              <w:jc w:val="right"/>
              <w:rPr>
                <w:sz w:val="24"/>
                <w:szCs w:val="24"/>
              </w:rPr>
            </w:pPr>
            <w:r w:rsidRPr="003B66DC">
              <w:rPr>
                <w:sz w:val="24"/>
                <w:szCs w:val="24"/>
              </w:rPr>
              <w:t>21</w:t>
            </w:r>
          </w:p>
        </w:tc>
      </w:tr>
    </w:tbl>
    <w:p w14:paraId="51AD6F15" w14:textId="227B9CAE" w:rsidR="009D5502" w:rsidRDefault="51D0B386" w:rsidP="005E7DE4">
      <w:pPr>
        <w:pStyle w:val="SCVbodyafterheading"/>
      </w:pPr>
      <w:r>
        <w:t>Table 2</w:t>
      </w:r>
      <w:r w:rsidR="6992E0CE">
        <w:t xml:space="preserve"> breaks down the year’s sentinel events by the top </w:t>
      </w:r>
      <w:r w:rsidR="5F5DBF75">
        <w:t>seven</w:t>
      </w:r>
      <w:r w:rsidR="6992E0CE">
        <w:t xml:space="preserve"> categories. </w:t>
      </w:r>
      <w:r w:rsidR="16D49ECC">
        <w:t>Table 3</w:t>
      </w:r>
      <w:r w:rsidR="6992E0CE">
        <w:t xml:space="preserve"> shows the top </w:t>
      </w:r>
      <w:r w:rsidR="5BFFB116">
        <w:t>seven</w:t>
      </w:r>
      <w:r w:rsidR="6992E0CE">
        <w:t xml:space="preserve"> admitting specialties.</w:t>
      </w:r>
    </w:p>
    <w:p w14:paraId="684F5BD5" w14:textId="31425542" w:rsidR="006617EB" w:rsidRDefault="1204CB76" w:rsidP="005E7DE4">
      <w:pPr>
        <w:pStyle w:val="SCVfigurecaption"/>
      </w:pPr>
      <w:r>
        <w:t>Table 2</w:t>
      </w:r>
      <w:r w:rsidR="6992E0CE">
        <w:t xml:space="preserve">: </w:t>
      </w:r>
      <w:r w:rsidR="779ECD9B">
        <w:t xml:space="preserve">Breakdown of sentinel events top </w:t>
      </w:r>
      <w:r w:rsidR="2630D47E">
        <w:t>seven</w:t>
      </w:r>
      <w:r w:rsidR="779ECD9B">
        <w:t xml:space="preserve"> categories or subcategories at notiﬁcation</w:t>
      </w:r>
      <w:r w:rsidR="6992E0CE">
        <w:t>,</w:t>
      </w:r>
      <w:r w:rsidR="779ECD9B">
        <w:t xml:space="preserve"> 2024</w:t>
      </w:r>
      <w:r w:rsidR="6992E0CE">
        <w:t>–</w:t>
      </w:r>
      <w:r w:rsidR="779ECD9B">
        <w:t>25</w:t>
      </w:r>
    </w:p>
    <w:tbl>
      <w:tblPr>
        <w:tblStyle w:val="TableGrid"/>
        <w:tblW w:w="0" w:type="auto"/>
        <w:tblLook w:val="04A0" w:firstRow="1" w:lastRow="0" w:firstColumn="1" w:lastColumn="0" w:noHBand="0" w:noVBand="1"/>
      </w:tblPr>
      <w:tblGrid>
        <w:gridCol w:w="5102"/>
        <w:gridCol w:w="5102"/>
      </w:tblGrid>
      <w:tr w:rsidR="00416FF7" w:rsidRPr="00D43659" w14:paraId="21497F27" w14:textId="77777777" w:rsidTr="00CD24C6">
        <w:trPr>
          <w:cnfStyle w:val="100000000000" w:firstRow="1" w:lastRow="0" w:firstColumn="0" w:lastColumn="0" w:oddVBand="0" w:evenVBand="0" w:oddHBand="0" w:evenHBand="0" w:firstRowFirstColumn="0" w:firstRowLastColumn="0" w:lastRowFirstColumn="0" w:lastRowLastColumn="0"/>
        </w:trPr>
        <w:tc>
          <w:tcPr>
            <w:tcW w:w="5102" w:type="dxa"/>
          </w:tcPr>
          <w:p w14:paraId="09C768C0" w14:textId="5518236E" w:rsidR="00416FF7" w:rsidRPr="00D43659" w:rsidRDefault="003E4C6A" w:rsidP="003E4C6A">
            <w:pPr>
              <w:pStyle w:val="SCVtablecolhead"/>
              <w:rPr>
                <w:sz w:val="24"/>
                <w:szCs w:val="20"/>
              </w:rPr>
            </w:pPr>
            <w:r w:rsidRPr="00D43659">
              <w:rPr>
                <w:sz w:val="24"/>
                <w:szCs w:val="20"/>
              </w:rPr>
              <w:t>Category or subcategory</w:t>
            </w:r>
          </w:p>
        </w:tc>
        <w:tc>
          <w:tcPr>
            <w:tcW w:w="5102" w:type="dxa"/>
            <w:vAlign w:val="center"/>
          </w:tcPr>
          <w:p w14:paraId="420A541C" w14:textId="18CC1DE6" w:rsidR="00416FF7" w:rsidRPr="00D43659" w:rsidRDefault="7EA13E88" w:rsidP="00CD24C6">
            <w:pPr>
              <w:pStyle w:val="SCVtablecolhead"/>
              <w:jc w:val="right"/>
              <w:rPr>
                <w:sz w:val="24"/>
                <w:szCs w:val="20"/>
              </w:rPr>
            </w:pPr>
            <w:r w:rsidRPr="00D43659">
              <w:rPr>
                <w:sz w:val="24"/>
                <w:szCs w:val="20"/>
              </w:rPr>
              <w:t>Percent</w:t>
            </w:r>
            <w:r w:rsidR="4BEEB19D" w:rsidRPr="00D43659">
              <w:rPr>
                <w:sz w:val="24"/>
                <w:szCs w:val="20"/>
              </w:rPr>
              <w:t>age</w:t>
            </w:r>
            <w:r w:rsidR="4E611CAE" w:rsidRPr="00D43659">
              <w:rPr>
                <w:sz w:val="24"/>
                <w:szCs w:val="20"/>
              </w:rPr>
              <w:t xml:space="preserve"> (%)</w:t>
            </w:r>
          </w:p>
        </w:tc>
      </w:tr>
      <w:tr w:rsidR="00416FF7" w:rsidRPr="00D43659" w14:paraId="6585E609" w14:textId="77777777" w:rsidTr="00CD24C6">
        <w:tc>
          <w:tcPr>
            <w:tcW w:w="5102" w:type="dxa"/>
          </w:tcPr>
          <w:p w14:paraId="1B9FD1DD" w14:textId="2B50D3E0" w:rsidR="00416FF7" w:rsidRPr="00080917" w:rsidRDefault="00416FF7" w:rsidP="003E4C6A">
            <w:pPr>
              <w:pStyle w:val="SCVtablebody"/>
              <w:rPr>
                <w:b/>
                <w:bCs/>
                <w:color w:val="007586" w:themeColor="text2"/>
                <w:sz w:val="24"/>
                <w:szCs w:val="20"/>
              </w:rPr>
            </w:pPr>
            <w:r w:rsidRPr="00080917">
              <w:rPr>
                <w:b/>
                <w:bCs/>
                <w:color w:val="007586" w:themeColor="text2"/>
                <w:sz w:val="24"/>
                <w:szCs w:val="20"/>
              </w:rPr>
              <w:t>Clinical process or procedure</w:t>
            </w:r>
          </w:p>
        </w:tc>
        <w:tc>
          <w:tcPr>
            <w:tcW w:w="5102" w:type="dxa"/>
            <w:vAlign w:val="center"/>
          </w:tcPr>
          <w:p w14:paraId="5D42C4D4" w14:textId="4C6E768C" w:rsidR="00187EAB" w:rsidRPr="00D43659" w:rsidRDefault="00187EAB" w:rsidP="00CD24C6">
            <w:pPr>
              <w:pStyle w:val="SCVtablebody"/>
              <w:jc w:val="right"/>
              <w:rPr>
                <w:sz w:val="24"/>
                <w:szCs w:val="20"/>
              </w:rPr>
            </w:pPr>
            <w:r w:rsidRPr="00D43659">
              <w:rPr>
                <w:sz w:val="24"/>
                <w:szCs w:val="20"/>
              </w:rPr>
              <w:t>34</w:t>
            </w:r>
          </w:p>
        </w:tc>
      </w:tr>
      <w:tr w:rsidR="00416FF7" w:rsidRPr="00D43659" w14:paraId="3956A5C9" w14:textId="77777777" w:rsidTr="00CD24C6">
        <w:tc>
          <w:tcPr>
            <w:tcW w:w="5102" w:type="dxa"/>
          </w:tcPr>
          <w:p w14:paraId="5CD6CC1F" w14:textId="4D3DFA68" w:rsidR="00416FF7" w:rsidRPr="00080917" w:rsidRDefault="00A54240" w:rsidP="003E4C6A">
            <w:pPr>
              <w:pStyle w:val="SCVtablebody"/>
              <w:rPr>
                <w:b/>
                <w:bCs/>
                <w:color w:val="007586" w:themeColor="text2"/>
                <w:sz w:val="24"/>
                <w:szCs w:val="20"/>
              </w:rPr>
            </w:pPr>
            <w:r w:rsidRPr="00080917">
              <w:rPr>
                <w:b/>
                <w:bCs/>
                <w:color w:val="007586" w:themeColor="text2"/>
                <w:sz w:val="24"/>
                <w:szCs w:val="20"/>
              </w:rPr>
              <w:t>Recognising and responding to clinical deterioration</w:t>
            </w:r>
          </w:p>
        </w:tc>
        <w:tc>
          <w:tcPr>
            <w:tcW w:w="5102" w:type="dxa"/>
            <w:vAlign w:val="center"/>
          </w:tcPr>
          <w:p w14:paraId="3761ADD5" w14:textId="0A375D36" w:rsidR="00416FF7" w:rsidRPr="00D43659" w:rsidRDefault="00187EAB" w:rsidP="00CD24C6">
            <w:pPr>
              <w:pStyle w:val="SCVtablebody"/>
              <w:jc w:val="right"/>
              <w:rPr>
                <w:sz w:val="24"/>
                <w:szCs w:val="20"/>
              </w:rPr>
            </w:pPr>
            <w:r w:rsidRPr="00D43659">
              <w:rPr>
                <w:sz w:val="24"/>
                <w:szCs w:val="20"/>
              </w:rPr>
              <w:t>29</w:t>
            </w:r>
          </w:p>
        </w:tc>
      </w:tr>
      <w:tr w:rsidR="00416FF7" w:rsidRPr="00D43659" w14:paraId="75BDB72C" w14:textId="77777777" w:rsidTr="00CD24C6">
        <w:tc>
          <w:tcPr>
            <w:tcW w:w="5102" w:type="dxa"/>
          </w:tcPr>
          <w:p w14:paraId="4C22EEF4" w14:textId="3A2995D3" w:rsidR="00416FF7" w:rsidRPr="00080917" w:rsidRDefault="00A54240" w:rsidP="003E4C6A">
            <w:pPr>
              <w:pStyle w:val="SCVtablebody"/>
              <w:rPr>
                <w:b/>
                <w:bCs/>
                <w:color w:val="007586" w:themeColor="text2"/>
                <w:sz w:val="24"/>
                <w:szCs w:val="20"/>
              </w:rPr>
            </w:pPr>
            <w:r w:rsidRPr="00080917">
              <w:rPr>
                <w:b/>
                <w:bCs/>
                <w:color w:val="007586" w:themeColor="text2"/>
                <w:sz w:val="24"/>
                <w:szCs w:val="20"/>
              </w:rPr>
              <w:lastRenderedPageBreak/>
              <w:t>Self-harm</w:t>
            </w:r>
          </w:p>
        </w:tc>
        <w:tc>
          <w:tcPr>
            <w:tcW w:w="5102" w:type="dxa"/>
            <w:vAlign w:val="center"/>
          </w:tcPr>
          <w:p w14:paraId="7335E5CC" w14:textId="4F3D55C3" w:rsidR="00416FF7" w:rsidRPr="00D43659" w:rsidRDefault="00187EAB" w:rsidP="00CD24C6">
            <w:pPr>
              <w:pStyle w:val="SCVtablebody"/>
              <w:jc w:val="right"/>
              <w:rPr>
                <w:sz w:val="24"/>
                <w:szCs w:val="20"/>
              </w:rPr>
            </w:pPr>
            <w:r w:rsidRPr="00D43659">
              <w:rPr>
                <w:sz w:val="24"/>
                <w:szCs w:val="20"/>
              </w:rPr>
              <w:t>11</w:t>
            </w:r>
          </w:p>
        </w:tc>
      </w:tr>
      <w:tr w:rsidR="00416FF7" w:rsidRPr="00D43659" w14:paraId="76671513" w14:textId="77777777" w:rsidTr="00CD24C6">
        <w:tc>
          <w:tcPr>
            <w:tcW w:w="5102" w:type="dxa"/>
          </w:tcPr>
          <w:p w14:paraId="0A28FAC4" w14:textId="44D77F27" w:rsidR="00416FF7" w:rsidRPr="00080917" w:rsidRDefault="00091DD5" w:rsidP="003E4C6A">
            <w:pPr>
              <w:pStyle w:val="SCVtablebody"/>
              <w:rPr>
                <w:b/>
                <w:bCs/>
                <w:color w:val="007586" w:themeColor="text2"/>
                <w:sz w:val="24"/>
                <w:szCs w:val="20"/>
              </w:rPr>
            </w:pPr>
            <w:r w:rsidRPr="00080917">
              <w:rPr>
                <w:b/>
                <w:bCs/>
                <w:color w:val="007586" w:themeColor="text2"/>
                <w:sz w:val="24"/>
                <w:szCs w:val="20"/>
              </w:rPr>
              <w:t>Communication of clinical information</w:t>
            </w:r>
          </w:p>
        </w:tc>
        <w:tc>
          <w:tcPr>
            <w:tcW w:w="5102" w:type="dxa"/>
            <w:vAlign w:val="center"/>
          </w:tcPr>
          <w:p w14:paraId="6128D458" w14:textId="7F0FF7F2" w:rsidR="00416FF7" w:rsidRPr="00D43659" w:rsidRDefault="00187EAB" w:rsidP="00CD24C6">
            <w:pPr>
              <w:pStyle w:val="SCVtablebody"/>
              <w:jc w:val="right"/>
              <w:rPr>
                <w:sz w:val="24"/>
                <w:szCs w:val="20"/>
              </w:rPr>
            </w:pPr>
            <w:r w:rsidRPr="00D43659">
              <w:rPr>
                <w:sz w:val="24"/>
                <w:szCs w:val="20"/>
              </w:rPr>
              <w:t>6</w:t>
            </w:r>
          </w:p>
        </w:tc>
      </w:tr>
      <w:tr w:rsidR="00416FF7" w:rsidRPr="00D43659" w14:paraId="7E847C41" w14:textId="77777777" w:rsidTr="00CD24C6">
        <w:tc>
          <w:tcPr>
            <w:tcW w:w="5102" w:type="dxa"/>
          </w:tcPr>
          <w:p w14:paraId="6BA06353" w14:textId="762A2B9B" w:rsidR="00416FF7" w:rsidRPr="00080917" w:rsidRDefault="00091DD5" w:rsidP="003E4C6A">
            <w:pPr>
              <w:pStyle w:val="SCVtablebody"/>
              <w:rPr>
                <w:b/>
                <w:bCs/>
                <w:color w:val="007586" w:themeColor="text2"/>
                <w:sz w:val="24"/>
                <w:szCs w:val="20"/>
              </w:rPr>
            </w:pPr>
            <w:r w:rsidRPr="00080917">
              <w:rPr>
                <w:b/>
                <w:bCs/>
                <w:color w:val="007586" w:themeColor="text2"/>
                <w:sz w:val="24"/>
                <w:szCs w:val="20"/>
              </w:rPr>
              <w:t>Falls</w:t>
            </w:r>
          </w:p>
        </w:tc>
        <w:tc>
          <w:tcPr>
            <w:tcW w:w="5102" w:type="dxa"/>
            <w:vAlign w:val="center"/>
          </w:tcPr>
          <w:p w14:paraId="030F56E0" w14:textId="22A80483" w:rsidR="00416FF7" w:rsidRPr="00D43659" w:rsidRDefault="00187EAB" w:rsidP="00CD24C6">
            <w:pPr>
              <w:pStyle w:val="SCVtablebody"/>
              <w:jc w:val="right"/>
              <w:rPr>
                <w:sz w:val="24"/>
                <w:szCs w:val="20"/>
              </w:rPr>
            </w:pPr>
            <w:r w:rsidRPr="00D43659">
              <w:rPr>
                <w:sz w:val="24"/>
                <w:szCs w:val="20"/>
              </w:rPr>
              <w:t>6</w:t>
            </w:r>
          </w:p>
        </w:tc>
      </w:tr>
      <w:tr w:rsidR="00187EAB" w:rsidRPr="00D43659" w14:paraId="20D13D23" w14:textId="77777777" w:rsidTr="00CD24C6">
        <w:tc>
          <w:tcPr>
            <w:tcW w:w="5102" w:type="dxa"/>
          </w:tcPr>
          <w:p w14:paraId="7191D4A8" w14:textId="5B636968" w:rsidR="00187EAB" w:rsidRPr="00080917" w:rsidRDefault="00091DD5" w:rsidP="003E4C6A">
            <w:pPr>
              <w:pStyle w:val="SCVtablebody"/>
              <w:rPr>
                <w:b/>
                <w:bCs/>
                <w:color w:val="007586" w:themeColor="text2"/>
                <w:sz w:val="24"/>
                <w:szCs w:val="20"/>
              </w:rPr>
            </w:pPr>
            <w:r w:rsidRPr="00080917">
              <w:rPr>
                <w:b/>
                <w:bCs/>
                <w:color w:val="007586" w:themeColor="text2"/>
                <w:sz w:val="24"/>
                <w:szCs w:val="20"/>
              </w:rPr>
              <w:t>Medication error resulting in serious harm or death</w:t>
            </w:r>
          </w:p>
        </w:tc>
        <w:tc>
          <w:tcPr>
            <w:tcW w:w="5102" w:type="dxa"/>
            <w:vAlign w:val="center"/>
          </w:tcPr>
          <w:p w14:paraId="02981E5B" w14:textId="16232469" w:rsidR="00187EAB" w:rsidRPr="00D43659" w:rsidRDefault="00187EAB" w:rsidP="00CD24C6">
            <w:pPr>
              <w:pStyle w:val="SCVtablebody"/>
              <w:jc w:val="right"/>
              <w:rPr>
                <w:sz w:val="24"/>
                <w:szCs w:val="20"/>
              </w:rPr>
            </w:pPr>
            <w:r w:rsidRPr="00D43659">
              <w:rPr>
                <w:sz w:val="24"/>
                <w:szCs w:val="20"/>
              </w:rPr>
              <w:t>6</w:t>
            </w:r>
          </w:p>
        </w:tc>
      </w:tr>
      <w:tr w:rsidR="00187EAB" w:rsidRPr="00D43659" w14:paraId="3A04D469" w14:textId="77777777" w:rsidTr="00CD24C6">
        <w:tc>
          <w:tcPr>
            <w:tcW w:w="5102" w:type="dxa"/>
          </w:tcPr>
          <w:p w14:paraId="4C3B9FAD" w14:textId="4FE1D39F" w:rsidR="00187EAB" w:rsidRPr="00080917" w:rsidRDefault="00091DD5" w:rsidP="003E4C6A">
            <w:pPr>
              <w:pStyle w:val="SCVtablebody"/>
              <w:rPr>
                <w:b/>
                <w:bCs/>
                <w:color w:val="007586" w:themeColor="text2"/>
                <w:sz w:val="24"/>
                <w:szCs w:val="20"/>
              </w:rPr>
            </w:pPr>
            <w:r w:rsidRPr="00080917">
              <w:rPr>
                <w:b/>
                <w:bCs/>
                <w:color w:val="007586" w:themeColor="text2"/>
                <w:sz w:val="24"/>
                <w:szCs w:val="20"/>
              </w:rPr>
              <w:t>Medical device or equipment</w:t>
            </w:r>
          </w:p>
        </w:tc>
        <w:tc>
          <w:tcPr>
            <w:tcW w:w="5102" w:type="dxa"/>
            <w:vAlign w:val="center"/>
          </w:tcPr>
          <w:p w14:paraId="26698AF6" w14:textId="5D389F91" w:rsidR="00187EAB" w:rsidRPr="00D43659" w:rsidRDefault="00187EAB" w:rsidP="00CD24C6">
            <w:pPr>
              <w:pStyle w:val="SCVtablebody"/>
              <w:jc w:val="right"/>
              <w:rPr>
                <w:sz w:val="24"/>
                <w:szCs w:val="20"/>
              </w:rPr>
            </w:pPr>
            <w:r w:rsidRPr="00D43659">
              <w:rPr>
                <w:sz w:val="24"/>
                <w:szCs w:val="20"/>
              </w:rPr>
              <w:t>2</w:t>
            </w:r>
          </w:p>
        </w:tc>
      </w:tr>
    </w:tbl>
    <w:p w14:paraId="64B832D1" w14:textId="667036D9" w:rsidR="006617EB" w:rsidRDefault="338D20E1" w:rsidP="151CC029">
      <w:pPr>
        <w:pStyle w:val="SCVfigurecaption"/>
      </w:pPr>
      <w:r>
        <w:t>Table 3</w:t>
      </w:r>
      <w:r w:rsidR="6992E0CE">
        <w:t xml:space="preserve">: </w:t>
      </w:r>
      <w:r w:rsidR="779ECD9B">
        <w:t xml:space="preserve">Sentinel events by top </w:t>
      </w:r>
      <w:r w:rsidR="09C32429">
        <w:t>seven</w:t>
      </w:r>
      <w:r w:rsidR="779ECD9B">
        <w:t xml:space="preserve"> admitting specialties</w:t>
      </w:r>
      <w:r w:rsidR="6992E0CE">
        <w:t>, 2024–25</w:t>
      </w:r>
      <w:r w:rsidR="779ECD9B">
        <w:t xml:space="preserve"> </w:t>
      </w:r>
    </w:p>
    <w:tbl>
      <w:tblPr>
        <w:tblStyle w:val="TableGrid"/>
        <w:tblW w:w="0" w:type="auto"/>
        <w:tblLook w:val="04A0" w:firstRow="1" w:lastRow="0" w:firstColumn="1" w:lastColumn="0" w:noHBand="0" w:noVBand="1"/>
      </w:tblPr>
      <w:tblGrid>
        <w:gridCol w:w="5102"/>
        <w:gridCol w:w="5102"/>
      </w:tblGrid>
      <w:tr w:rsidR="00FE59E6" w:rsidRPr="00A63D9B" w14:paraId="0CB9FE9A" w14:textId="77777777" w:rsidTr="00CD24C6">
        <w:trPr>
          <w:cnfStyle w:val="100000000000" w:firstRow="1" w:lastRow="0" w:firstColumn="0" w:lastColumn="0" w:oddVBand="0" w:evenVBand="0" w:oddHBand="0" w:evenHBand="0" w:firstRowFirstColumn="0" w:firstRowLastColumn="0" w:lastRowFirstColumn="0" w:lastRowLastColumn="0"/>
        </w:trPr>
        <w:tc>
          <w:tcPr>
            <w:tcW w:w="5102" w:type="dxa"/>
          </w:tcPr>
          <w:p w14:paraId="1EE7A004" w14:textId="4F7EF8EE" w:rsidR="00FE59E6" w:rsidRPr="00A63D9B" w:rsidRDefault="00FE59E6" w:rsidP="00FC4044">
            <w:pPr>
              <w:pStyle w:val="SCVtablecolhead"/>
              <w:rPr>
                <w:sz w:val="24"/>
                <w:szCs w:val="20"/>
              </w:rPr>
            </w:pPr>
            <w:r w:rsidRPr="00A63D9B">
              <w:rPr>
                <w:sz w:val="24"/>
                <w:szCs w:val="20"/>
              </w:rPr>
              <w:t>Admitting specialty</w:t>
            </w:r>
          </w:p>
        </w:tc>
        <w:tc>
          <w:tcPr>
            <w:tcW w:w="5102" w:type="dxa"/>
            <w:vAlign w:val="center"/>
          </w:tcPr>
          <w:p w14:paraId="36F2692F" w14:textId="7E069F20" w:rsidR="00FE59E6" w:rsidRPr="00A63D9B" w:rsidRDefault="195D4B93" w:rsidP="00CD24C6">
            <w:pPr>
              <w:pStyle w:val="SCVtablecolhead"/>
              <w:jc w:val="right"/>
              <w:rPr>
                <w:sz w:val="24"/>
                <w:szCs w:val="20"/>
              </w:rPr>
            </w:pPr>
            <w:r w:rsidRPr="00A63D9B">
              <w:rPr>
                <w:sz w:val="24"/>
                <w:szCs w:val="20"/>
              </w:rPr>
              <w:t>Percent</w:t>
            </w:r>
            <w:r w:rsidR="35E48576" w:rsidRPr="00A63D9B">
              <w:rPr>
                <w:sz w:val="24"/>
                <w:szCs w:val="20"/>
              </w:rPr>
              <w:t>age</w:t>
            </w:r>
            <w:r w:rsidR="7ECA45DB" w:rsidRPr="00A63D9B">
              <w:rPr>
                <w:sz w:val="24"/>
                <w:szCs w:val="20"/>
              </w:rPr>
              <w:t xml:space="preserve"> (%)</w:t>
            </w:r>
          </w:p>
        </w:tc>
      </w:tr>
      <w:tr w:rsidR="00FE59E6" w:rsidRPr="00A63D9B" w14:paraId="1F68EE8E" w14:textId="77777777" w:rsidTr="00CD24C6">
        <w:tc>
          <w:tcPr>
            <w:tcW w:w="5102" w:type="dxa"/>
          </w:tcPr>
          <w:p w14:paraId="56691B35" w14:textId="3F92F533" w:rsidR="00FE59E6" w:rsidRPr="00CD24C6" w:rsidRDefault="00463A47" w:rsidP="00FC4044">
            <w:pPr>
              <w:pStyle w:val="SCVtablebody"/>
              <w:rPr>
                <w:b/>
                <w:bCs/>
                <w:color w:val="007586" w:themeColor="text2"/>
                <w:sz w:val="24"/>
                <w:szCs w:val="20"/>
              </w:rPr>
            </w:pPr>
            <w:r w:rsidRPr="00CD24C6">
              <w:rPr>
                <w:b/>
                <w:bCs/>
                <w:color w:val="007586" w:themeColor="text2"/>
                <w:sz w:val="24"/>
                <w:szCs w:val="20"/>
              </w:rPr>
              <w:t>General Medical</w:t>
            </w:r>
          </w:p>
        </w:tc>
        <w:tc>
          <w:tcPr>
            <w:tcW w:w="5102" w:type="dxa"/>
            <w:vAlign w:val="center"/>
          </w:tcPr>
          <w:p w14:paraId="1945A21D" w14:textId="6CAA9E3C" w:rsidR="00FE59E6" w:rsidRPr="00A63D9B" w:rsidRDefault="00D66A40" w:rsidP="00CD24C6">
            <w:pPr>
              <w:pStyle w:val="SCVtablebody"/>
              <w:jc w:val="right"/>
              <w:rPr>
                <w:sz w:val="24"/>
                <w:szCs w:val="20"/>
              </w:rPr>
            </w:pPr>
            <w:r w:rsidRPr="00A63D9B">
              <w:rPr>
                <w:sz w:val="24"/>
                <w:szCs w:val="20"/>
              </w:rPr>
              <w:t>11</w:t>
            </w:r>
          </w:p>
        </w:tc>
      </w:tr>
      <w:tr w:rsidR="00FE59E6" w:rsidRPr="00A63D9B" w14:paraId="1760C8C7" w14:textId="77777777" w:rsidTr="00CD24C6">
        <w:tc>
          <w:tcPr>
            <w:tcW w:w="5102" w:type="dxa"/>
          </w:tcPr>
          <w:p w14:paraId="17948405" w14:textId="7BA4553D" w:rsidR="00FE59E6" w:rsidRPr="00CD24C6" w:rsidRDefault="00463A47" w:rsidP="00FC4044">
            <w:pPr>
              <w:pStyle w:val="SCVtablebody"/>
              <w:rPr>
                <w:b/>
                <w:bCs/>
                <w:color w:val="007586" w:themeColor="text2"/>
                <w:sz w:val="24"/>
                <w:szCs w:val="20"/>
              </w:rPr>
            </w:pPr>
            <w:r w:rsidRPr="00CD24C6">
              <w:rPr>
                <w:b/>
                <w:bCs/>
                <w:color w:val="007586" w:themeColor="text2"/>
                <w:sz w:val="24"/>
                <w:szCs w:val="20"/>
              </w:rPr>
              <w:t>General Surgical</w:t>
            </w:r>
          </w:p>
        </w:tc>
        <w:tc>
          <w:tcPr>
            <w:tcW w:w="5102" w:type="dxa"/>
            <w:vAlign w:val="center"/>
          </w:tcPr>
          <w:p w14:paraId="379983C4" w14:textId="08134D9F" w:rsidR="00FE59E6" w:rsidRPr="00A63D9B" w:rsidRDefault="00D66A40" w:rsidP="00CD24C6">
            <w:pPr>
              <w:pStyle w:val="SCVtablebody"/>
              <w:jc w:val="right"/>
              <w:rPr>
                <w:sz w:val="24"/>
                <w:szCs w:val="20"/>
              </w:rPr>
            </w:pPr>
            <w:r w:rsidRPr="00A63D9B">
              <w:rPr>
                <w:sz w:val="24"/>
                <w:szCs w:val="20"/>
              </w:rPr>
              <w:t>10</w:t>
            </w:r>
          </w:p>
        </w:tc>
      </w:tr>
      <w:tr w:rsidR="00FE59E6" w:rsidRPr="00A63D9B" w14:paraId="2AC08026" w14:textId="77777777" w:rsidTr="00CD24C6">
        <w:tc>
          <w:tcPr>
            <w:tcW w:w="5102" w:type="dxa"/>
          </w:tcPr>
          <w:p w14:paraId="77033436" w14:textId="39804FBD" w:rsidR="00FE59E6" w:rsidRPr="00CD24C6" w:rsidRDefault="00463A47" w:rsidP="00FC4044">
            <w:pPr>
              <w:pStyle w:val="SCVtablebody"/>
              <w:rPr>
                <w:b/>
                <w:bCs/>
                <w:color w:val="007586" w:themeColor="text2"/>
                <w:sz w:val="24"/>
                <w:szCs w:val="20"/>
              </w:rPr>
            </w:pPr>
            <w:r w:rsidRPr="00CD24C6">
              <w:rPr>
                <w:b/>
                <w:bCs/>
                <w:color w:val="007586" w:themeColor="text2"/>
                <w:sz w:val="24"/>
                <w:szCs w:val="20"/>
              </w:rPr>
              <w:t>Obstetric/Maternity</w:t>
            </w:r>
          </w:p>
        </w:tc>
        <w:tc>
          <w:tcPr>
            <w:tcW w:w="5102" w:type="dxa"/>
            <w:vAlign w:val="center"/>
          </w:tcPr>
          <w:p w14:paraId="50F6E51E" w14:textId="71A3FD5E" w:rsidR="00FE59E6" w:rsidRPr="00A63D9B" w:rsidRDefault="00D66A40" w:rsidP="00CD24C6">
            <w:pPr>
              <w:pStyle w:val="SCVtablebody"/>
              <w:jc w:val="right"/>
              <w:rPr>
                <w:sz w:val="24"/>
                <w:szCs w:val="20"/>
              </w:rPr>
            </w:pPr>
            <w:r w:rsidRPr="00A63D9B">
              <w:rPr>
                <w:sz w:val="24"/>
                <w:szCs w:val="20"/>
              </w:rPr>
              <w:t>9</w:t>
            </w:r>
          </w:p>
        </w:tc>
      </w:tr>
      <w:tr w:rsidR="00FE59E6" w:rsidRPr="00A63D9B" w14:paraId="542A7A56" w14:textId="77777777" w:rsidTr="00CD24C6">
        <w:tc>
          <w:tcPr>
            <w:tcW w:w="5102" w:type="dxa"/>
          </w:tcPr>
          <w:p w14:paraId="3600F9E3" w14:textId="091FCBAE" w:rsidR="00FE59E6" w:rsidRPr="00CD24C6" w:rsidRDefault="00463A47" w:rsidP="00FC4044">
            <w:pPr>
              <w:pStyle w:val="SCVtablebody"/>
              <w:rPr>
                <w:b/>
                <w:bCs/>
                <w:color w:val="007586" w:themeColor="text2"/>
                <w:sz w:val="24"/>
                <w:szCs w:val="20"/>
              </w:rPr>
            </w:pPr>
            <w:r w:rsidRPr="00CD24C6">
              <w:rPr>
                <w:b/>
                <w:bCs/>
                <w:color w:val="007586" w:themeColor="text2"/>
                <w:sz w:val="24"/>
                <w:szCs w:val="20"/>
              </w:rPr>
              <w:t>Pre-hospital</w:t>
            </w:r>
          </w:p>
        </w:tc>
        <w:tc>
          <w:tcPr>
            <w:tcW w:w="5102" w:type="dxa"/>
            <w:vAlign w:val="center"/>
          </w:tcPr>
          <w:p w14:paraId="5E7F4943" w14:textId="1F7549FC" w:rsidR="00FE59E6" w:rsidRPr="00A63D9B" w:rsidRDefault="00D66A40" w:rsidP="00CD24C6">
            <w:pPr>
              <w:pStyle w:val="SCVtablebody"/>
              <w:jc w:val="right"/>
              <w:rPr>
                <w:sz w:val="24"/>
                <w:szCs w:val="20"/>
              </w:rPr>
            </w:pPr>
            <w:r w:rsidRPr="00A63D9B">
              <w:rPr>
                <w:sz w:val="24"/>
                <w:szCs w:val="20"/>
              </w:rPr>
              <w:t>9</w:t>
            </w:r>
          </w:p>
        </w:tc>
      </w:tr>
      <w:tr w:rsidR="00FE59E6" w:rsidRPr="00A63D9B" w14:paraId="695AF814" w14:textId="77777777" w:rsidTr="00CD24C6">
        <w:tc>
          <w:tcPr>
            <w:tcW w:w="5102" w:type="dxa"/>
          </w:tcPr>
          <w:p w14:paraId="7CA41DC4" w14:textId="32DDD4D6" w:rsidR="00FE59E6" w:rsidRPr="00CD24C6" w:rsidRDefault="00D66A40" w:rsidP="00FC4044">
            <w:pPr>
              <w:pStyle w:val="SCVtablebody"/>
              <w:rPr>
                <w:b/>
                <w:bCs/>
                <w:color w:val="007586" w:themeColor="text2"/>
                <w:sz w:val="24"/>
                <w:szCs w:val="20"/>
              </w:rPr>
            </w:pPr>
            <w:r w:rsidRPr="00CD24C6">
              <w:rPr>
                <w:b/>
                <w:bCs/>
                <w:color w:val="007586" w:themeColor="text2"/>
                <w:sz w:val="24"/>
                <w:szCs w:val="20"/>
              </w:rPr>
              <w:t>Emergency Medicine</w:t>
            </w:r>
          </w:p>
        </w:tc>
        <w:tc>
          <w:tcPr>
            <w:tcW w:w="5102" w:type="dxa"/>
            <w:vAlign w:val="center"/>
          </w:tcPr>
          <w:p w14:paraId="3F16D0F4" w14:textId="6B0AFC13" w:rsidR="00FE59E6" w:rsidRPr="00A63D9B" w:rsidRDefault="00D66A40" w:rsidP="00CD24C6">
            <w:pPr>
              <w:pStyle w:val="SCVtablebody"/>
              <w:jc w:val="right"/>
              <w:rPr>
                <w:sz w:val="24"/>
                <w:szCs w:val="20"/>
              </w:rPr>
            </w:pPr>
            <w:r w:rsidRPr="00A63D9B">
              <w:rPr>
                <w:sz w:val="24"/>
                <w:szCs w:val="20"/>
              </w:rPr>
              <w:t>9</w:t>
            </w:r>
          </w:p>
        </w:tc>
      </w:tr>
      <w:tr w:rsidR="00FE59E6" w:rsidRPr="00A63D9B" w14:paraId="467B3184" w14:textId="77777777" w:rsidTr="00CD24C6">
        <w:tc>
          <w:tcPr>
            <w:tcW w:w="5102" w:type="dxa"/>
          </w:tcPr>
          <w:p w14:paraId="61EC167E" w14:textId="78E63EE0" w:rsidR="00FE59E6" w:rsidRPr="00CD24C6" w:rsidRDefault="00D66A40" w:rsidP="00FC4044">
            <w:pPr>
              <w:pStyle w:val="SCVtablebody"/>
              <w:rPr>
                <w:b/>
                <w:bCs/>
                <w:color w:val="007586" w:themeColor="text2"/>
                <w:sz w:val="24"/>
                <w:szCs w:val="20"/>
              </w:rPr>
            </w:pPr>
            <w:r w:rsidRPr="00CD24C6">
              <w:rPr>
                <w:b/>
                <w:bCs/>
                <w:color w:val="007586" w:themeColor="text2"/>
                <w:sz w:val="24"/>
                <w:szCs w:val="20"/>
              </w:rPr>
              <w:t>Cardiology</w:t>
            </w:r>
          </w:p>
        </w:tc>
        <w:tc>
          <w:tcPr>
            <w:tcW w:w="5102" w:type="dxa"/>
            <w:vAlign w:val="center"/>
          </w:tcPr>
          <w:p w14:paraId="3927C9F3" w14:textId="34071CF9" w:rsidR="00FE59E6" w:rsidRPr="00A63D9B" w:rsidRDefault="00D66A40" w:rsidP="00CD24C6">
            <w:pPr>
              <w:pStyle w:val="SCVtablebody"/>
              <w:jc w:val="right"/>
              <w:rPr>
                <w:sz w:val="24"/>
                <w:szCs w:val="20"/>
              </w:rPr>
            </w:pPr>
            <w:r w:rsidRPr="00A63D9B">
              <w:rPr>
                <w:sz w:val="24"/>
                <w:szCs w:val="20"/>
              </w:rPr>
              <w:t>6</w:t>
            </w:r>
          </w:p>
        </w:tc>
      </w:tr>
      <w:tr w:rsidR="00FE59E6" w:rsidRPr="00A63D9B" w14:paraId="24886977" w14:textId="77777777" w:rsidTr="00CD24C6">
        <w:tc>
          <w:tcPr>
            <w:tcW w:w="5102" w:type="dxa"/>
          </w:tcPr>
          <w:p w14:paraId="7F275E4E" w14:textId="739FC00C" w:rsidR="00FE59E6" w:rsidRPr="00CD24C6" w:rsidRDefault="00D66A40" w:rsidP="00FC4044">
            <w:pPr>
              <w:pStyle w:val="SCVtablebody"/>
              <w:rPr>
                <w:b/>
                <w:bCs/>
                <w:color w:val="007586" w:themeColor="text2"/>
                <w:sz w:val="24"/>
                <w:szCs w:val="20"/>
              </w:rPr>
            </w:pPr>
            <w:r w:rsidRPr="00CD24C6">
              <w:rPr>
                <w:b/>
                <w:bCs/>
                <w:color w:val="007586" w:themeColor="text2"/>
                <w:sz w:val="24"/>
                <w:szCs w:val="20"/>
              </w:rPr>
              <w:t>Urology</w:t>
            </w:r>
          </w:p>
        </w:tc>
        <w:tc>
          <w:tcPr>
            <w:tcW w:w="5102" w:type="dxa"/>
            <w:vAlign w:val="center"/>
          </w:tcPr>
          <w:p w14:paraId="2459CFDF" w14:textId="0FEF5134" w:rsidR="00FE59E6" w:rsidRPr="00A63D9B" w:rsidRDefault="00D66A40" w:rsidP="00CD24C6">
            <w:pPr>
              <w:pStyle w:val="SCVtablebody"/>
              <w:jc w:val="right"/>
              <w:rPr>
                <w:sz w:val="24"/>
                <w:szCs w:val="20"/>
              </w:rPr>
            </w:pPr>
            <w:r w:rsidRPr="00A63D9B">
              <w:rPr>
                <w:sz w:val="24"/>
                <w:szCs w:val="20"/>
              </w:rPr>
              <w:t>6</w:t>
            </w:r>
          </w:p>
        </w:tc>
      </w:tr>
    </w:tbl>
    <w:p w14:paraId="5CC5603E" w14:textId="13E13C6C" w:rsidR="00B00E0C" w:rsidRPr="00035969" w:rsidRDefault="1FAD68B0" w:rsidP="005E7DE4">
      <w:pPr>
        <w:pStyle w:val="Heading2"/>
        <w:rPr>
          <w:rStyle w:val="normaltextrun"/>
          <w:rFonts w:asciiTheme="minorHAnsi" w:eastAsiaTheme="minorEastAsia" w:hAnsiTheme="minorHAnsi" w:cstheme="minorBidi"/>
          <w:b w:val="0"/>
          <w:bCs w:val="0"/>
          <w:color w:val="007586" w:themeColor="text2"/>
          <w:sz w:val="20"/>
          <w:szCs w:val="20"/>
          <w:lang w:eastAsia="en-US"/>
        </w:rPr>
      </w:pPr>
      <w:bookmarkStart w:id="18" w:name="_Toc185595235"/>
      <w:bookmarkStart w:id="19" w:name="_Toc238026638"/>
      <w:r w:rsidRPr="00035969">
        <w:rPr>
          <w:rStyle w:val="normaltextrun"/>
          <w:color w:val="007586" w:themeColor="text2"/>
        </w:rPr>
        <w:t>Review</w:t>
      </w:r>
      <w:r w:rsidR="5811132B" w:rsidRPr="00035969">
        <w:rPr>
          <w:rStyle w:val="normaltextrun"/>
          <w:color w:val="007586" w:themeColor="text2"/>
        </w:rPr>
        <w:t xml:space="preserve"> </w:t>
      </w:r>
      <w:r w:rsidR="77373BB3" w:rsidRPr="00035969">
        <w:rPr>
          <w:rStyle w:val="normaltextrun"/>
          <w:color w:val="007586" w:themeColor="text2"/>
        </w:rPr>
        <w:t>p</w:t>
      </w:r>
      <w:r w:rsidR="0B381C10" w:rsidRPr="00035969">
        <w:rPr>
          <w:rStyle w:val="normaltextrun"/>
          <w:color w:val="007586" w:themeColor="text2"/>
        </w:rPr>
        <w:t>anel</w:t>
      </w:r>
      <w:r w:rsidR="5811132B" w:rsidRPr="00035969">
        <w:rPr>
          <w:rStyle w:val="normaltextrun"/>
          <w:color w:val="007586" w:themeColor="text2"/>
        </w:rPr>
        <w:t xml:space="preserve"> </w:t>
      </w:r>
      <w:r w:rsidR="0B381C10" w:rsidRPr="00035969">
        <w:rPr>
          <w:rStyle w:val="normaltextrun"/>
          <w:color w:val="007586" w:themeColor="text2"/>
        </w:rPr>
        <w:t>composition</w:t>
      </w:r>
      <w:bookmarkEnd w:id="18"/>
      <w:bookmarkEnd w:id="19"/>
    </w:p>
    <w:p w14:paraId="0424037D" w14:textId="75C57FC4" w:rsidR="00CD6E79" w:rsidRPr="0057201C" w:rsidRDefault="1857C8DA" w:rsidP="0057201C">
      <w:pPr>
        <w:pStyle w:val="SCVbody"/>
      </w:pPr>
      <w:r>
        <w:t>SCV</w:t>
      </w:r>
      <w:r w:rsidR="2FFC26C9">
        <w:t xml:space="preserve"> </w:t>
      </w:r>
      <w:r w:rsidR="387614FD">
        <w:t>continues</w:t>
      </w:r>
      <w:r w:rsidR="2FFC26C9">
        <w:t xml:space="preserve"> </w:t>
      </w:r>
      <w:r w:rsidR="387614FD">
        <w:t>to</w:t>
      </w:r>
      <w:r w:rsidR="2FFC26C9">
        <w:t xml:space="preserve"> </w:t>
      </w:r>
      <w:r w:rsidR="587C9F40">
        <w:t>see</w:t>
      </w:r>
      <w:r w:rsidR="587C9F40" w:rsidRPr="509B18F9">
        <w:rPr>
          <w:rStyle w:val="CommentReference"/>
          <w:sz w:val="24"/>
          <w:szCs w:val="24"/>
        </w:rPr>
        <w:t xml:space="preserve"> im</w:t>
      </w:r>
      <w:r w:rsidR="587C9F40">
        <w:t>provements</w:t>
      </w:r>
      <w:r w:rsidR="2FFC26C9">
        <w:t xml:space="preserve"> </w:t>
      </w:r>
      <w:r w:rsidR="355603B9">
        <w:t>in</w:t>
      </w:r>
      <w:r w:rsidR="2FFC26C9">
        <w:t xml:space="preserve"> </w:t>
      </w:r>
      <w:r w:rsidR="5CB9D160">
        <w:t>review</w:t>
      </w:r>
      <w:r w:rsidR="2FFC26C9">
        <w:t xml:space="preserve"> </w:t>
      </w:r>
      <w:r w:rsidR="355603B9">
        <w:t>panel</w:t>
      </w:r>
      <w:r w:rsidR="2FFC26C9">
        <w:t xml:space="preserve"> </w:t>
      </w:r>
      <w:r w:rsidR="355603B9">
        <w:t>composition</w:t>
      </w:r>
      <w:r w:rsidR="5E1B8916">
        <w:t>, including stronger consumer and external expert representation</w:t>
      </w:r>
      <w:r w:rsidR="6BB3C434">
        <w:t xml:space="preserve"> (</w:t>
      </w:r>
      <w:r w:rsidR="37254F53">
        <w:t xml:space="preserve">Table </w:t>
      </w:r>
      <w:r w:rsidR="4D1646C7">
        <w:t>4</w:t>
      </w:r>
      <w:r w:rsidR="6BB3C434">
        <w:t>)</w:t>
      </w:r>
      <w:r w:rsidR="6992E0CE">
        <w:t>. This</w:t>
      </w:r>
      <w:r w:rsidR="7EFD8FA6">
        <w:t xml:space="preserve"> </w:t>
      </w:r>
      <w:r w:rsidR="5E1B8916">
        <w:t xml:space="preserve">is important in ensuring </w:t>
      </w:r>
      <w:r w:rsidR="6F3CF7DF">
        <w:t>outcomes are informed by lived or living experience</w:t>
      </w:r>
      <w:r w:rsidR="0962E83C">
        <w:t xml:space="preserve">. </w:t>
      </w:r>
      <w:r w:rsidR="4BF8B980">
        <w:t xml:space="preserve">Consumers </w:t>
      </w:r>
      <w:r w:rsidR="409AF49E">
        <w:t>include</w:t>
      </w:r>
      <w:r w:rsidR="4BF8B980">
        <w:t xml:space="preserve"> patients, carers,</w:t>
      </w:r>
      <w:r w:rsidR="507B4277">
        <w:t xml:space="preserve"> </w:t>
      </w:r>
      <w:r w:rsidR="4BF8B980">
        <w:t xml:space="preserve">families and community </w:t>
      </w:r>
      <w:r w:rsidR="3CC4C879">
        <w:t>impacted by</w:t>
      </w:r>
      <w:r w:rsidR="4BF8B980">
        <w:t xml:space="preserve"> health </w:t>
      </w:r>
      <w:r w:rsidR="1E8ECED7">
        <w:t>service treatment</w:t>
      </w:r>
      <w:r w:rsidR="4BF8B980">
        <w:t xml:space="preserve"> </w:t>
      </w:r>
      <w:r w:rsidR="4569B5D6">
        <w:t>and care.</w:t>
      </w:r>
    </w:p>
    <w:p w14:paraId="1A56D133" w14:textId="35F830EA" w:rsidR="00772422" w:rsidRPr="00834EF2" w:rsidRDefault="00772422" w:rsidP="00772422">
      <w:pPr>
        <w:pStyle w:val="SCVbody"/>
      </w:pPr>
      <w:r>
        <w:t xml:space="preserve">Their contribution is essential to safe, </w:t>
      </w:r>
      <w:r w:rsidR="562E32D7">
        <w:t>high-quality</w:t>
      </w:r>
      <w:r>
        <w:t xml:space="preserve"> care and to continuous improvement across the health system. Effective partnering provides accountability</w:t>
      </w:r>
      <w:r w:rsidR="00F4301C">
        <w:t xml:space="preserve"> and transparency</w:t>
      </w:r>
      <w:r>
        <w:t xml:space="preserve"> in service delivery and strengthens consumer participation in review processes.</w:t>
      </w:r>
    </w:p>
    <w:p w14:paraId="4A95DE4A" w14:textId="1552108C" w:rsidR="009B140E" w:rsidRPr="0057201C" w:rsidRDefault="0A7E71CA" w:rsidP="009B140E">
      <w:pPr>
        <w:pStyle w:val="SCVtablecaption"/>
      </w:pPr>
      <w:r>
        <w:t>Table</w:t>
      </w:r>
      <w:r w:rsidR="2FFC26C9">
        <w:t xml:space="preserve"> </w:t>
      </w:r>
      <w:r w:rsidR="5F05069D">
        <w:t>4</w:t>
      </w:r>
      <w:r w:rsidR="65E536AF">
        <w:t>:</w:t>
      </w:r>
      <w:r w:rsidR="2FFC26C9">
        <w:t xml:space="preserve"> </w:t>
      </w:r>
      <w:r>
        <w:t>Review</w:t>
      </w:r>
      <w:r w:rsidR="2FFC26C9">
        <w:t xml:space="preserve"> </w:t>
      </w:r>
      <w:r>
        <w:t>panel</w:t>
      </w:r>
      <w:r w:rsidR="2FFC26C9">
        <w:t xml:space="preserve"> </w:t>
      </w:r>
      <w:r>
        <w:t>membership</w:t>
      </w:r>
      <w:r w:rsidR="65E536AF">
        <w:t>,</w:t>
      </w:r>
      <w:r w:rsidR="2FFC26C9">
        <w:t xml:space="preserve"> </w:t>
      </w:r>
      <w:r>
        <w:t>2021–22</w:t>
      </w:r>
      <w:r w:rsidR="2FFC26C9">
        <w:t xml:space="preserve"> </w:t>
      </w:r>
      <w:r>
        <w:t>to</w:t>
      </w:r>
      <w:r w:rsidR="2FFC26C9">
        <w:t xml:space="preserve"> </w:t>
      </w:r>
      <w:r>
        <w:t>202</w:t>
      </w:r>
      <w:r w:rsidR="430BBDD8">
        <w:t>4</w:t>
      </w:r>
      <w:r>
        <w:t>–2</w:t>
      </w:r>
      <w:r w:rsidR="430BBDD8">
        <w:t>5</w:t>
      </w:r>
    </w:p>
    <w:tbl>
      <w:tblPr>
        <w:tblStyle w:val="TableGrid"/>
        <w:tblW w:w="0" w:type="auto"/>
        <w:tblLook w:val="04A0" w:firstRow="1" w:lastRow="0" w:firstColumn="1" w:lastColumn="0" w:noHBand="0" w:noVBand="1"/>
      </w:tblPr>
      <w:tblGrid>
        <w:gridCol w:w="2977"/>
        <w:gridCol w:w="1806"/>
        <w:gridCol w:w="1807"/>
        <w:gridCol w:w="1807"/>
        <w:gridCol w:w="1807"/>
      </w:tblGrid>
      <w:tr w:rsidR="009B140E" w:rsidRPr="00082559" w14:paraId="0D1AD4C6" w14:textId="77777777" w:rsidTr="007F4F90">
        <w:trPr>
          <w:cnfStyle w:val="100000000000" w:firstRow="1" w:lastRow="0" w:firstColumn="0" w:lastColumn="0" w:oddVBand="0" w:evenVBand="0" w:oddHBand="0" w:evenHBand="0" w:firstRowFirstColumn="0" w:firstRowLastColumn="0" w:lastRowFirstColumn="0" w:lastRowLastColumn="0"/>
        </w:trPr>
        <w:tc>
          <w:tcPr>
            <w:tcW w:w="2977" w:type="dxa"/>
          </w:tcPr>
          <w:p w14:paraId="727D8FFA" w14:textId="77777777" w:rsidR="009B140E" w:rsidRPr="00082559" w:rsidRDefault="009B140E">
            <w:pPr>
              <w:pStyle w:val="SCVtablecolhead"/>
              <w:rPr>
                <w:sz w:val="24"/>
                <w:szCs w:val="20"/>
              </w:rPr>
            </w:pPr>
            <w:r w:rsidRPr="00082559">
              <w:rPr>
                <w:sz w:val="24"/>
                <w:szCs w:val="20"/>
              </w:rPr>
              <w:t>Contribution source</w:t>
            </w:r>
          </w:p>
        </w:tc>
        <w:tc>
          <w:tcPr>
            <w:tcW w:w="1806" w:type="dxa"/>
            <w:vAlign w:val="center"/>
          </w:tcPr>
          <w:p w14:paraId="56095484" w14:textId="77777777" w:rsidR="009B140E" w:rsidRPr="00082559" w:rsidRDefault="009B140E" w:rsidP="007F4F90">
            <w:pPr>
              <w:pStyle w:val="SCVtablecolhead"/>
              <w:jc w:val="right"/>
              <w:rPr>
                <w:bCs/>
                <w:sz w:val="24"/>
                <w:szCs w:val="20"/>
              </w:rPr>
            </w:pPr>
            <w:r w:rsidRPr="00082559">
              <w:rPr>
                <w:bCs/>
                <w:sz w:val="24"/>
                <w:szCs w:val="20"/>
              </w:rPr>
              <w:t>2021</w:t>
            </w:r>
            <w:r w:rsidRPr="00082559">
              <w:rPr>
                <w:sz w:val="24"/>
                <w:szCs w:val="20"/>
              </w:rPr>
              <w:t>–</w:t>
            </w:r>
            <w:r w:rsidRPr="00082559">
              <w:rPr>
                <w:bCs/>
                <w:sz w:val="24"/>
                <w:szCs w:val="20"/>
              </w:rPr>
              <w:t>22</w:t>
            </w:r>
          </w:p>
        </w:tc>
        <w:tc>
          <w:tcPr>
            <w:tcW w:w="1807" w:type="dxa"/>
            <w:vAlign w:val="center"/>
          </w:tcPr>
          <w:p w14:paraId="3EFC3EF8" w14:textId="77777777" w:rsidR="009B140E" w:rsidRPr="00082559" w:rsidRDefault="009B140E" w:rsidP="007F4F90">
            <w:pPr>
              <w:pStyle w:val="SCVtablecolhead"/>
              <w:jc w:val="right"/>
              <w:rPr>
                <w:bCs/>
                <w:sz w:val="24"/>
                <w:szCs w:val="20"/>
              </w:rPr>
            </w:pPr>
            <w:r w:rsidRPr="00082559">
              <w:rPr>
                <w:bCs/>
                <w:sz w:val="24"/>
                <w:szCs w:val="20"/>
              </w:rPr>
              <w:t>2022</w:t>
            </w:r>
            <w:r w:rsidRPr="00082559">
              <w:rPr>
                <w:sz w:val="24"/>
                <w:szCs w:val="20"/>
              </w:rPr>
              <w:t>–</w:t>
            </w:r>
            <w:r w:rsidRPr="00082559">
              <w:rPr>
                <w:bCs/>
                <w:sz w:val="24"/>
                <w:szCs w:val="20"/>
              </w:rPr>
              <w:t>23</w:t>
            </w:r>
          </w:p>
        </w:tc>
        <w:tc>
          <w:tcPr>
            <w:tcW w:w="1807" w:type="dxa"/>
            <w:vAlign w:val="center"/>
          </w:tcPr>
          <w:p w14:paraId="6E0882F6" w14:textId="77777777" w:rsidR="009B140E" w:rsidRPr="00082559" w:rsidRDefault="009B140E" w:rsidP="007F4F90">
            <w:pPr>
              <w:pStyle w:val="SCVtablecolhead"/>
              <w:jc w:val="right"/>
              <w:rPr>
                <w:bCs/>
                <w:sz w:val="24"/>
                <w:szCs w:val="20"/>
              </w:rPr>
            </w:pPr>
            <w:r w:rsidRPr="00082559">
              <w:rPr>
                <w:bCs/>
                <w:sz w:val="24"/>
                <w:szCs w:val="20"/>
              </w:rPr>
              <w:t>2023</w:t>
            </w:r>
            <w:r w:rsidRPr="00082559">
              <w:rPr>
                <w:sz w:val="24"/>
                <w:szCs w:val="20"/>
              </w:rPr>
              <w:t>–</w:t>
            </w:r>
            <w:r w:rsidRPr="00082559">
              <w:rPr>
                <w:bCs/>
                <w:sz w:val="24"/>
                <w:szCs w:val="20"/>
              </w:rPr>
              <w:t>24</w:t>
            </w:r>
          </w:p>
        </w:tc>
        <w:tc>
          <w:tcPr>
            <w:tcW w:w="1807" w:type="dxa"/>
            <w:vAlign w:val="center"/>
          </w:tcPr>
          <w:p w14:paraId="57951386" w14:textId="77777777" w:rsidR="009B140E" w:rsidRPr="00082559" w:rsidRDefault="009B140E" w:rsidP="007F4F90">
            <w:pPr>
              <w:pStyle w:val="SCVtablecolhead"/>
              <w:jc w:val="right"/>
              <w:rPr>
                <w:bCs/>
                <w:sz w:val="24"/>
                <w:szCs w:val="20"/>
              </w:rPr>
            </w:pPr>
            <w:r w:rsidRPr="00082559">
              <w:rPr>
                <w:bCs/>
                <w:sz w:val="24"/>
                <w:szCs w:val="20"/>
              </w:rPr>
              <w:t>2024</w:t>
            </w:r>
            <w:r w:rsidRPr="00082559">
              <w:rPr>
                <w:sz w:val="24"/>
                <w:szCs w:val="20"/>
              </w:rPr>
              <w:t>–</w:t>
            </w:r>
            <w:r w:rsidRPr="00082559">
              <w:rPr>
                <w:bCs/>
                <w:sz w:val="24"/>
                <w:szCs w:val="20"/>
              </w:rPr>
              <w:t>25</w:t>
            </w:r>
          </w:p>
        </w:tc>
      </w:tr>
      <w:tr w:rsidR="009B140E" w:rsidRPr="00082559" w14:paraId="5C3770B0" w14:textId="77777777" w:rsidTr="007F4F90">
        <w:tc>
          <w:tcPr>
            <w:tcW w:w="2977" w:type="dxa"/>
          </w:tcPr>
          <w:p w14:paraId="59616248" w14:textId="77777777" w:rsidR="009B140E" w:rsidRPr="007F4F90" w:rsidRDefault="009B140E">
            <w:pPr>
              <w:pStyle w:val="SCVtablebody"/>
              <w:rPr>
                <w:b/>
                <w:bCs/>
                <w:color w:val="007586" w:themeColor="text2"/>
                <w:sz w:val="24"/>
                <w:szCs w:val="20"/>
              </w:rPr>
            </w:pPr>
            <w:r w:rsidRPr="007F4F90">
              <w:rPr>
                <w:b/>
                <w:bCs/>
                <w:color w:val="007586" w:themeColor="text2"/>
                <w:sz w:val="24"/>
                <w:szCs w:val="20"/>
              </w:rPr>
              <w:t>Consumer representative</w:t>
            </w:r>
          </w:p>
        </w:tc>
        <w:tc>
          <w:tcPr>
            <w:tcW w:w="1806" w:type="dxa"/>
            <w:vAlign w:val="center"/>
          </w:tcPr>
          <w:p w14:paraId="08044066" w14:textId="77777777" w:rsidR="009B140E" w:rsidRPr="00082559" w:rsidRDefault="009B140E" w:rsidP="007F4F90">
            <w:pPr>
              <w:pStyle w:val="SCVtablebody"/>
              <w:jc w:val="right"/>
              <w:rPr>
                <w:sz w:val="24"/>
                <w:szCs w:val="20"/>
              </w:rPr>
            </w:pPr>
            <w:r w:rsidRPr="00082559">
              <w:rPr>
                <w:sz w:val="24"/>
                <w:szCs w:val="20"/>
              </w:rPr>
              <w:t>70%</w:t>
            </w:r>
          </w:p>
        </w:tc>
        <w:tc>
          <w:tcPr>
            <w:tcW w:w="1807" w:type="dxa"/>
            <w:vAlign w:val="center"/>
          </w:tcPr>
          <w:p w14:paraId="26272D2C" w14:textId="77777777" w:rsidR="009B140E" w:rsidRPr="00082559" w:rsidRDefault="009B140E" w:rsidP="007F4F90">
            <w:pPr>
              <w:pStyle w:val="SCVtablebody"/>
              <w:jc w:val="right"/>
              <w:rPr>
                <w:sz w:val="24"/>
                <w:szCs w:val="20"/>
              </w:rPr>
            </w:pPr>
            <w:r w:rsidRPr="00082559">
              <w:rPr>
                <w:sz w:val="24"/>
                <w:szCs w:val="20"/>
              </w:rPr>
              <w:t>89%</w:t>
            </w:r>
          </w:p>
        </w:tc>
        <w:tc>
          <w:tcPr>
            <w:tcW w:w="1807" w:type="dxa"/>
            <w:vAlign w:val="center"/>
          </w:tcPr>
          <w:p w14:paraId="47FCB997" w14:textId="77777777" w:rsidR="009B140E" w:rsidRPr="00082559" w:rsidRDefault="009B140E" w:rsidP="007F4F90">
            <w:pPr>
              <w:pStyle w:val="SCVtablebody"/>
              <w:jc w:val="right"/>
              <w:rPr>
                <w:sz w:val="24"/>
                <w:szCs w:val="20"/>
              </w:rPr>
            </w:pPr>
            <w:r w:rsidRPr="00082559">
              <w:rPr>
                <w:sz w:val="24"/>
                <w:szCs w:val="20"/>
              </w:rPr>
              <w:t>95%</w:t>
            </w:r>
          </w:p>
        </w:tc>
        <w:tc>
          <w:tcPr>
            <w:tcW w:w="1807" w:type="dxa"/>
            <w:vAlign w:val="center"/>
          </w:tcPr>
          <w:p w14:paraId="4568B012" w14:textId="77777777" w:rsidR="009B140E" w:rsidRPr="00082559" w:rsidRDefault="009B140E" w:rsidP="007F4F90">
            <w:pPr>
              <w:pStyle w:val="SCVtablebody"/>
              <w:jc w:val="right"/>
              <w:rPr>
                <w:sz w:val="24"/>
                <w:szCs w:val="20"/>
              </w:rPr>
            </w:pPr>
            <w:r w:rsidRPr="00082559">
              <w:rPr>
                <w:sz w:val="24"/>
                <w:szCs w:val="20"/>
              </w:rPr>
              <w:t>99%</w:t>
            </w:r>
          </w:p>
        </w:tc>
      </w:tr>
      <w:tr w:rsidR="009B140E" w:rsidRPr="00082559" w14:paraId="2C0CE5A0" w14:textId="77777777" w:rsidTr="007F4F90">
        <w:tc>
          <w:tcPr>
            <w:tcW w:w="2977" w:type="dxa"/>
          </w:tcPr>
          <w:p w14:paraId="55EAFB15" w14:textId="77777777" w:rsidR="009B140E" w:rsidRPr="007F4F90" w:rsidRDefault="009B140E">
            <w:pPr>
              <w:pStyle w:val="SCVtablebody"/>
              <w:rPr>
                <w:b/>
                <w:bCs/>
                <w:color w:val="007586" w:themeColor="text2"/>
                <w:sz w:val="24"/>
                <w:szCs w:val="20"/>
              </w:rPr>
            </w:pPr>
            <w:r w:rsidRPr="007F4F90">
              <w:rPr>
                <w:b/>
                <w:bCs/>
                <w:color w:val="007586" w:themeColor="text2"/>
                <w:sz w:val="24"/>
                <w:szCs w:val="20"/>
              </w:rPr>
              <w:t>External expert</w:t>
            </w:r>
          </w:p>
        </w:tc>
        <w:tc>
          <w:tcPr>
            <w:tcW w:w="1806" w:type="dxa"/>
            <w:vAlign w:val="center"/>
          </w:tcPr>
          <w:p w14:paraId="32AF4B17" w14:textId="77777777" w:rsidR="009B140E" w:rsidRPr="00082559" w:rsidRDefault="009B140E" w:rsidP="007F4F90">
            <w:pPr>
              <w:pStyle w:val="SCVtablebody"/>
              <w:jc w:val="right"/>
              <w:rPr>
                <w:sz w:val="24"/>
                <w:szCs w:val="20"/>
              </w:rPr>
            </w:pPr>
            <w:r w:rsidRPr="00082559">
              <w:rPr>
                <w:sz w:val="24"/>
                <w:szCs w:val="20"/>
              </w:rPr>
              <w:t>94%</w:t>
            </w:r>
          </w:p>
        </w:tc>
        <w:tc>
          <w:tcPr>
            <w:tcW w:w="1807" w:type="dxa"/>
            <w:vAlign w:val="center"/>
          </w:tcPr>
          <w:p w14:paraId="09E091DE" w14:textId="77777777" w:rsidR="009B140E" w:rsidRPr="00082559" w:rsidRDefault="009B140E" w:rsidP="007F4F90">
            <w:pPr>
              <w:pStyle w:val="SCVtablebody"/>
              <w:jc w:val="right"/>
              <w:rPr>
                <w:sz w:val="24"/>
                <w:szCs w:val="20"/>
              </w:rPr>
            </w:pPr>
            <w:r w:rsidRPr="00082559">
              <w:rPr>
                <w:sz w:val="24"/>
                <w:szCs w:val="20"/>
              </w:rPr>
              <w:t>95%</w:t>
            </w:r>
          </w:p>
        </w:tc>
        <w:tc>
          <w:tcPr>
            <w:tcW w:w="1807" w:type="dxa"/>
            <w:vAlign w:val="center"/>
          </w:tcPr>
          <w:p w14:paraId="0748A354" w14:textId="77777777" w:rsidR="009B140E" w:rsidRPr="00082559" w:rsidRDefault="009B140E" w:rsidP="007F4F90">
            <w:pPr>
              <w:pStyle w:val="SCVtablebody"/>
              <w:jc w:val="right"/>
              <w:rPr>
                <w:sz w:val="24"/>
                <w:szCs w:val="20"/>
              </w:rPr>
            </w:pPr>
            <w:r w:rsidRPr="00082559">
              <w:rPr>
                <w:sz w:val="24"/>
                <w:szCs w:val="20"/>
              </w:rPr>
              <w:t>98%</w:t>
            </w:r>
          </w:p>
        </w:tc>
        <w:tc>
          <w:tcPr>
            <w:tcW w:w="1807" w:type="dxa"/>
            <w:vAlign w:val="center"/>
          </w:tcPr>
          <w:p w14:paraId="08AE9168" w14:textId="77777777" w:rsidR="009B140E" w:rsidRPr="00082559" w:rsidRDefault="009B140E" w:rsidP="007F4F90">
            <w:pPr>
              <w:pStyle w:val="SCVtablebody"/>
              <w:jc w:val="right"/>
              <w:rPr>
                <w:sz w:val="24"/>
                <w:szCs w:val="20"/>
              </w:rPr>
            </w:pPr>
            <w:r w:rsidRPr="00082559">
              <w:rPr>
                <w:sz w:val="24"/>
                <w:szCs w:val="20"/>
              </w:rPr>
              <w:t>99%</w:t>
            </w:r>
          </w:p>
        </w:tc>
      </w:tr>
      <w:tr w:rsidR="009B140E" w:rsidRPr="00082559" w14:paraId="4D781267" w14:textId="77777777" w:rsidTr="007F4F90">
        <w:tc>
          <w:tcPr>
            <w:tcW w:w="2977" w:type="dxa"/>
          </w:tcPr>
          <w:p w14:paraId="05D1F05D" w14:textId="77777777" w:rsidR="009B140E" w:rsidRPr="007F4F90" w:rsidRDefault="009B140E">
            <w:pPr>
              <w:pStyle w:val="SCVtablebody"/>
              <w:rPr>
                <w:b/>
                <w:bCs/>
                <w:color w:val="007586" w:themeColor="text2"/>
                <w:sz w:val="24"/>
                <w:szCs w:val="20"/>
              </w:rPr>
            </w:pPr>
            <w:r w:rsidRPr="007F4F90">
              <w:rPr>
                <w:b/>
                <w:bCs/>
                <w:color w:val="007586" w:themeColor="text2"/>
                <w:sz w:val="24"/>
                <w:szCs w:val="20"/>
              </w:rPr>
              <w:lastRenderedPageBreak/>
              <w:t>Family contribution</w:t>
            </w:r>
          </w:p>
        </w:tc>
        <w:tc>
          <w:tcPr>
            <w:tcW w:w="1806" w:type="dxa"/>
            <w:vAlign w:val="center"/>
          </w:tcPr>
          <w:p w14:paraId="61FECCF7" w14:textId="77777777" w:rsidR="009B140E" w:rsidRPr="00082559" w:rsidRDefault="009B140E" w:rsidP="007F4F90">
            <w:pPr>
              <w:pStyle w:val="SCVtablebody"/>
              <w:jc w:val="right"/>
              <w:rPr>
                <w:sz w:val="24"/>
                <w:szCs w:val="20"/>
              </w:rPr>
            </w:pPr>
            <w:r w:rsidRPr="00082559">
              <w:rPr>
                <w:sz w:val="24"/>
                <w:szCs w:val="20"/>
              </w:rPr>
              <w:t>47%</w:t>
            </w:r>
          </w:p>
        </w:tc>
        <w:tc>
          <w:tcPr>
            <w:tcW w:w="1807" w:type="dxa"/>
            <w:vAlign w:val="center"/>
          </w:tcPr>
          <w:p w14:paraId="070A0DE1" w14:textId="77777777" w:rsidR="009B140E" w:rsidRPr="00082559" w:rsidRDefault="009B140E" w:rsidP="007F4F90">
            <w:pPr>
              <w:pStyle w:val="SCVtablebody"/>
              <w:jc w:val="right"/>
              <w:rPr>
                <w:sz w:val="24"/>
                <w:szCs w:val="20"/>
              </w:rPr>
            </w:pPr>
            <w:r w:rsidRPr="00082559">
              <w:rPr>
                <w:sz w:val="24"/>
                <w:szCs w:val="20"/>
              </w:rPr>
              <w:t>59%</w:t>
            </w:r>
          </w:p>
        </w:tc>
        <w:tc>
          <w:tcPr>
            <w:tcW w:w="1807" w:type="dxa"/>
            <w:vAlign w:val="center"/>
          </w:tcPr>
          <w:p w14:paraId="27C324AA" w14:textId="77777777" w:rsidR="009B140E" w:rsidRPr="00082559" w:rsidRDefault="009B140E" w:rsidP="007F4F90">
            <w:pPr>
              <w:pStyle w:val="SCVtablebody"/>
              <w:jc w:val="right"/>
              <w:rPr>
                <w:sz w:val="24"/>
                <w:szCs w:val="20"/>
              </w:rPr>
            </w:pPr>
            <w:r w:rsidRPr="00082559">
              <w:rPr>
                <w:sz w:val="24"/>
                <w:szCs w:val="20"/>
              </w:rPr>
              <w:t>62%</w:t>
            </w:r>
          </w:p>
        </w:tc>
        <w:tc>
          <w:tcPr>
            <w:tcW w:w="1807" w:type="dxa"/>
            <w:vAlign w:val="center"/>
          </w:tcPr>
          <w:p w14:paraId="046262E1" w14:textId="77777777" w:rsidR="009B140E" w:rsidRPr="00082559" w:rsidRDefault="009B140E" w:rsidP="007F4F90">
            <w:pPr>
              <w:pStyle w:val="SCVtablebody"/>
              <w:jc w:val="right"/>
              <w:rPr>
                <w:sz w:val="24"/>
                <w:szCs w:val="20"/>
              </w:rPr>
            </w:pPr>
            <w:r w:rsidRPr="00082559">
              <w:rPr>
                <w:sz w:val="24"/>
                <w:szCs w:val="20"/>
              </w:rPr>
              <w:t>63%</w:t>
            </w:r>
          </w:p>
        </w:tc>
      </w:tr>
    </w:tbl>
    <w:p w14:paraId="03CC8BEB" w14:textId="466515B4" w:rsidR="00F86B3F" w:rsidRDefault="00F86B3F" w:rsidP="00F86B3F">
      <w:pPr>
        <w:pStyle w:val="Heading3"/>
        <w:spacing w:before="120"/>
      </w:pPr>
      <w:r>
        <w:t>Guidance for health services to support consumer, carer and family engagement</w:t>
      </w:r>
    </w:p>
    <w:p w14:paraId="592055C4" w14:textId="77777777" w:rsidR="00F86B3F" w:rsidRPr="003946F7" w:rsidRDefault="00F86B3F" w:rsidP="00F86B3F">
      <w:pPr>
        <w:pStyle w:val="SCVbody"/>
        <w:rPr>
          <w:caps/>
        </w:rPr>
      </w:pPr>
      <w:r>
        <w:t>Health services should ensure:</w:t>
      </w:r>
    </w:p>
    <w:p w14:paraId="48871E2A" w14:textId="77777777" w:rsidR="00F86B3F" w:rsidRPr="0057201C" w:rsidRDefault="00F86B3F" w:rsidP="00F86B3F">
      <w:pPr>
        <w:pStyle w:val="SCVbullet1"/>
      </w:pPr>
      <w:r>
        <w:t>a</w:t>
      </w:r>
      <w:r w:rsidDel="006E2965">
        <w:t xml:space="preserve"> </w:t>
      </w:r>
      <w:r>
        <w:t xml:space="preserve">glossary is accessible to panel members to ensure technical terms are </w:t>
      </w:r>
      <w:r w:rsidRPr="0057201C">
        <w:t>explained</w:t>
      </w:r>
    </w:p>
    <w:p w14:paraId="029D028F" w14:textId="77777777" w:rsidR="00F86B3F" w:rsidRPr="0057201C" w:rsidRDefault="00F86B3F" w:rsidP="00F86B3F">
      <w:pPr>
        <w:pStyle w:val="SCVbullet1"/>
      </w:pPr>
      <w:r w:rsidRPr="0057201C">
        <w:t>the review process</w:t>
      </w:r>
      <w:r>
        <w:t xml:space="preserve"> is clearly explained to</w:t>
      </w:r>
      <w:r w:rsidRPr="0057201C">
        <w:t xml:space="preserve"> consumer panel members </w:t>
      </w:r>
      <w:r>
        <w:t>as part of their induction and access to a support person from health service consumer groups or consumer liaison is provided</w:t>
      </w:r>
    </w:p>
    <w:p w14:paraId="5C77DE7F" w14:textId="77777777" w:rsidR="00F86B3F" w:rsidRPr="0057201C" w:rsidRDefault="00F86B3F" w:rsidP="00F86B3F">
      <w:pPr>
        <w:pStyle w:val="SCVbullet1"/>
      </w:pPr>
      <w:r w:rsidRPr="0057201C">
        <w:t>consumer</w:t>
      </w:r>
      <w:r w:rsidRPr="0057201C" w:rsidDel="006E2965">
        <w:t xml:space="preserve"> </w:t>
      </w:r>
      <w:r w:rsidRPr="0057201C">
        <w:t>needs are appropriately identified including</w:t>
      </w:r>
      <w:r>
        <w:t>,</w:t>
      </w:r>
      <w:r w:rsidRPr="0057201C">
        <w:t xml:space="preserve"> for example, culturally appropriate support</w:t>
      </w:r>
      <w:r>
        <w:t xml:space="preserve"> or</w:t>
      </w:r>
      <w:r w:rsidRPr="0057201C">
        <w:t xml:space="preserve"> accessibility requirements</w:t>
      </w:r>
    </w:p>
    <w:p w14:paraId="7D9F90F7" w14:textId="77777777" w:rsidR="00F86B3F" w:rsidRPr="0057201C" w:rsidRDefault="00F86B3F" w:rsidP="00F86B3F">
      <w:pPr>
        <w:pStyle w:val="SCVbullet1"/>
      </w:pPr>
      <w:r w:rsidRPr="0057201C">
        <w:t>time is made to introduce consumer</w:t>
      </w:r>
      <w:r>
        <w:t>s</w:t>
      </w:r>
      <w:r w:rsidRPr="0057201C">
        <w:t xml:space="preserve"> to the panel </w:t>
      </w:r>
      <w:r>
        <w:t>c</w:t>
      </w:r>
      <w:r w:rsidRPr="0057201C">
        <w:t xml:space="preserve">hair </w:t>
      </w:r>
      <w:r>
        <w:t>about</w:t>
      </w:r>
      <w:r w:rsidRPr="0057201C">
        <w:t xml:space="preserve"> a week before the</w:t>
      </w:r>
      <w:r>
        <w:t>ir</w:t>
      </w:r>
      <w:r w:rsidRPr="0057201C">
        <w:t xml:space="preserve"> first meeting</w:t>
      </w:r>
    </w:p>
    <w:p w14:paraId="6D895AF9" w14:textId="77777777" w:rsidR="00F86B3F" w:rsidRPr="0057201C" w:rsidRDefault="00F86B3F" w:rsidP="00F86B3F">
      <w:pPr>
        <w:pStyle w:val="SCVbullet1"/>
      </w:pPr>
      <w:r w:rsidRPr="0057201C">
        <w:t xml:space="preserve">the panel minimises or avoids </w:t>
      </w:r>
      <w:r>
        <w:t>using</w:t>
      </w:r>
      <w:r w:rsidRPr="0057201C">
        <w:t xml:space="preserve"> technical jargon during meetings</w:t>
      </w:r>
      <w:r>
        <w:t xml:space="preserve"> and consumers have the chance to review final reports</w:t>
      </w:r>
    </w:p>
    <w:p w14:paraId="4973FD6A" w14:textId="77777777" w:rsidR="00F86B3F" w:rsidRDefault="00F86B3F" w:rsidP="00F86B3F">
      <w:pPr>
        <w:pStyle w:val="SCVbullet1"/>
      </w:pPr>
      <w:r>
        <w:t>networking opportunities with neighbouring or larger health services are used to help identify consumer representatives for panels and to share consumer resources</w:t>
      </w:r>
    </w:p>
    <w:p w14:paraId="3DD0A4B0" w14:textId="77777777" w:rsidR="00EE4C31" w:rsidRDefault="00F86B3F" w:rsidP="00F86B3F">
      <w:pPr>
        <w:pStyle w:val="SCVbullet1"/>
      </w:pPr>
      <w:r w:rsidRPr="0057201C">
        <w:t xml:space="preserve">the SCV </w:t>
      </w:r>
      <w:r>
        <w:t xml:space="preserve">Sentinel Events and Safety Review </w:t>
      </w:r>
      <w:r w:rsidRPr="0057201C">
        <w:t xml:space="preserve">team is contacted if </w:t>
      </w:r>
      <w:r>
        <w:t>health services cannot find</w:t>
      </w:r>
      <w:r w:rsidRPr="0057201C">
        <w:t xml:space="preserve"> consumer representatives, especially if seeking a consumer with lived experience</w:t>
      </w:r>
    </w:p>
    <w:p w14:paraId="377F3017" w14:textId="77777777" w:rsidR="00F86B3F" w:rsidRDefault="00F86B3F" w:rsidP="00F86B3F">
      <w:pPr>
        <w:pStyle w:val="SCVbullet1"/>
      </w:pPr>
      <w:r w:rsidRPr="0057201C">
        <w:t>a lear</w:t>
      </w:r>
      <w:r>
        <w:t xml:space="preserve">ning package is developed using the SCV </w:t>
      </w:r>
      <w:hyperlink r:id="rId28">
        <w:r w:rsidRPr="3E45D29F">
          <w:rPr>
            <w:rStyle w:val="Hyperlink"/>
          </w:rPr>
          <w:t>online training modules</w:t>
        </w:r>
      </w:hyperlink>
      <w:r>
        <w:t xml:space="preserve"> &lt;</w:t>
      </w:r>
      <w:r w:rsidRPr="00532742">
        <w:t>https://www.safercare.vic.gov.au/best-practice-improvement/online-training-modules</w:t>
      </w:r>
      <w:r>
        <w:t xml:space="preserve">&gt; </w:t>
      </w:r>
      <w:r w:rsidRPr="00FB5A53">
        <w:t>and</w:t>
      </w:r>
      <w:r>
        <w:t xml:space="preserve"> </w:t>
      </w:r>
      <w:hyperlink r:id="rId29" w:anchor="goto-toolsand-resources">
        <w:r w:rsidRPr="3E45D29F">
          <w:rPr>
            <w:rStyle w:val="Hyperlink"/>
          </w:rPr>
          <w:t>guidance to support consumers in preparing for review panels</w:t>
        </w:r>
      </w:hyperlink>
      <w:r>
        <w:t xml:space="preserve"> &lt;</w:t>
      </w:r>
      <w:r w:rsidRPr="00532742">
        <w:t>https://www.safercare.vic.gov.au/report-manage-issues/managing-adverse-events#goto-toolsand-resources</w:t>
      </w:r>
      <w:r>
        <w:t>&gt;.</w:t>
      </w:r>
    </w:p>
    <w:p w14:paraId="33ED0F4E" w14:textId="77777777" w:rsidR="00EE4C31" w:rsidRPr="0057201C" w:rsidRDefault="00EE4C31" w:rsidP="00EE4C31">
      <w:pPr>
        <w:pStyle w:val="Heading3"/>
        <w:spacing w:before="120"/>
      </w:pPr>
      <w:r w:rsidRPr="0057201C">
        <w:rPr>
          <w:caps/>
        </w:rPr>
        <w:t>G</w:t>
      </w:r>
      <w:r w:rsidRPr="0057201C">
        <w:t xml:space="preserve">uidance </w:t>
      </w:r>
      <w:r w:rsidRPr="0057201C" w:rsidDel="003D7273">
        <w:t xml:space="preserve">for </w:t>
      </w:r>
      <w:r w:rsidRPr="0057201C">
        <w:t>consumers</w:t>
      </w:r>
      <w:r w:rsidRPr="00251801">
        <w:rPr>
          <w:caps/>
        </w:rPr>
        <w:t xml:space="preserve"> </w:t>
      </w:r>
    </w:p>
    <w:p w14:paraId="2B7AF903" w14:textId="2870F516" w:rsidR="00EE4C31" w:rsidRDefault="00EE4C31" w:rsidP="00EE4C31">
      <w:pPr>
        <w:pStyle w:val="SCVbullet1"/>
        <w:numPr>
          <w:ilvl w:val="0"/>
          <w:numId w:val="0"/>
        </w:numPr>
        <w:ind w:left="720" w:hanging="360"/>
        <w:sectPr w:rsidR="00EE4C31" w:rsidSect="005E1B76">
          <w:headerReference w:type="even" r:id="rId30"/>
          <w:headerReference w:type="default" r:id="rId31"/>
          <w:footerReference w:type="even" r:id="rId32"/>
          <w:footerReference w:type="default" r:id="rId33"/>
          <w:headerReference w:type="first" r:id="rId34"/>
          <w:footerReference w:type="first" r:id="rId35"/>
          <w:pgSz w:w="11906" w:h="16838" w:code="9"/>
          <w:pgMar w:top="3402" w:right="851" w:bottom="1361" w:left="851" w:header="851" w:footer="851" w:gutter="0"/>
          <w:pgBorders w:offsetFrom="page">
            <w:bottom w:val="single" w:sz="8" w:space="24" w:color="FFFFFF"/>
          </w:pgBorders>
          <w:cols w:space="720"/>
          <w:docGrid w:linePitch="360"/>
        </w:sectPr>
      </w:pPr>
      <w:r>
        <w:t xml:space="preserve">If you are interested in working with a health service to improve the quality and safety of care, contact the health service and ask for information on how best to become involved. You could also visit the </w:t>
      </w:r>
      <w:hyperlink r:id="rId36">
        <w:r w:rsidRPr="734CD950">
          <w:rPr>
            <w:rStyle w:val="Hyperlink"/>
          </w:rPr>
          <w:t>Guides to consumer representatives on adverse event reviews webpage</w:t>
        </w:r>
      </w:hyperlink>
      <w:r>
        <w:t xml:space="preserve"> &lt;https://www.safercare.vic.gov.au/best-practice-improvement/publications/guides-to-consumer-representatives-on-adverse-event-reviews&gt;.</w:t>
      </w:r>
    </w:p>
    <w:p w14:paraId="73002462" w14:textId="444F82C8" w:rsidR="002670F4" w:rsidRPr="00FB5A53" w:rsidRDefault="007E5DCD" w:rsidP="002670F4">
      <w:pPr>
        <w:pStyle w:val="SCVAdvicebreakoutheading"/>
        <w:rPr>
          <w:caps/>
        </w:rPr>
      </w:pPr>
      <w:bookmarkStart w:id="20" w:name="_Toc185595239"/>
      <w:r>
        <w:t>Improvement initiatives and r</w:t>
      </w:r>
      <w:r w:rsidR="002670F4" w:rsidRPr="00F76796">
        <w:t>esources</w:t>
      </w:r>
      <w:r w:rsidR="002670F4">
        <w:rPr>
          <w:caps/>
        </w:rPr>
        <w:t xml:space="preserve"> </w:t>
      </w:r>
    </w:p>
    <w:p w14:paraId="6780BCFC" w14:textId="77777777" w:rsidR="002670F4" w:rsidRPr="00FB5A53" w:rsidRDefault="002670F4" w:rsidP="002670F4">
      <w:pPr>
        <w:pStyle w:val="SCVbullet1"/>
      </w:pPr>
      <w:hyperlink r:id="rId37" w:history="1">
        <w:r w:rsidRPr="00C8775C">
          <w:rPr>
            <w:rStyle w:val="Hyperlink"/>
          </w:rPr>
          <w:t>How to engage a consumer representative</w:t>
        </w:r>
      </w:hyperlink>
      <w:r>
        <w:t xml:space="preserve"> &lt;</w:t>
      </w:r>
      <w:r w:rsidRPr="00532742">
        <w:t>https://www.safercare.vic.gov.au/support-and-training/partnering-with-consumers/health-services/how-to-engage-a-consumer-representative</w:t>
      </w:r>
      <w:r>
        <w:t>&gt;</w:t>
      </w:r>
    </w:p>
    <w:p w14:paraId="50DEF347" w14:textId="77777777" w:rsidR="002670F4" w:rsidRPr="00FB5A53" w:rsidRDefault="002670F4" w:rsidP="002670F4">
      <w:pPr>
        <w:pStyle w:val="SCVbullet1"/>
      </w:pPr>
      <w:hyperlink r:id="rId38" w:history="1">
        <w:r w:rsidRPr="00C8775C">
          <w:rPr>
            <w:rStyle w:val="Hyperlink"/>
          </w:rPr>
          <w:t>Consumer representatives on review teams</w:t>
        </w:r>
      </w:hyperlink>
      <w:r>
        <w:t xml:space="preserve"> &lt;</w:t>
      </w:r>
      <w:r w:rsidRPr="00532742">
        <w:t>https://www.safercare.vic.gov.au/report-manage-issues/sentinel-events/involve-consumers-in-incident-reviews</w:t>
      </w:r>
      <w:r>
        <w:t>&gt;</w:t>
      </w:r>
    </w:p>
    <w:p w14:paraId="1427BB92" w14:textId="0B076CEF" w:rsidR="002670F4" w:rsidRPr="004868DF" w:rsidRDefault="74E73F86" w:rsidP="002670F4">
      <w:pPr>
        <w:pStyle w:val="SCVbullet1"/>
        <w:rPr>
          <w:color w:val="000000" w:themeColor="text1"/>
        </w:rPr>
      </w:pPr>
      <w:hyperlink r:id="rId39">
        <w:r w:rsidRPr="509B18F9">
          <w:rPr>
            <w:rStyle w:val="Hyperlink"/>
          </w:rPr>
          <w:t>Guide to consumer remuneration</w:t>
        </w:r>
      </w:hyperlink>
      <w:r>
        <w:t xml:space="preserve"> &lt;</w:t>
      </w:r>
      <w:r w:rsidR="080FA68C" w:rsidRPr="509B18F9">
        <w:rPr>
          <w:color w:val="000000" w:themeColor="text1"/>
        </w:rPr>
        <w:t>https://www.safercare.vic.gov.au/sites/default/files/2019-01/Remunerating%20consumers%20a%20guide%20for%20government.pdf</w:t>
      </w:r>
      <w:r w:rsidRPr="509B18F9">
        <w:rPr>
          <w:color w:val="000000" w:themeColor="text1"/>
        </w:rPr>
        <w:t>&gt;</w:t>
      </w:r>
    </w:p>
    <w:p w14:paraId="6DB1B5C0" w14:textId="77777777" w:rsidR="002670F4" w:rsidRDefault="002670F4" w:rsidP="00834EF2">
      <w:pPr>
        <w:pStyle w:val="SCVbody"/>
      </w:pPr>
    </w:p>
    <w:p w14:paraId="3F30A100" w14:textId="24F21049" w:rsidR="00377835" w:rsidRPr="004437A0" w:rsidRDefault="41DD61F1" w:rsidP="57EA0190">
      <w:pPr>
        <w:pStyle w:val="Heading1"/>
        <w:rPr>
          <w:rStyle w:val="normaltextrun"/>
          <w:rFonts w:asciiTheme="minorHAnsi" w:eastAsiaTheme="minorEastAsia" w:hAnsiTheme="minorHAnsi" w:cstheme="minorBidi"/>
          <w:b w:val="0"/>
          <w:bCs w:val="0"/>
          <w:sz w:val="24"/>
          <w:szCs w:val="24"/>
        </w:rPr>
      </w:pPr>
      <w:bookmarkStart w:id="21" w:name="_Toc185595240"/>
      <w:bookmarkStart w:id="22" w:name="_Toc238026639"/>
      <w:bookmarkEnd w:id="20"/>
      <w:r w:rsidRPr="57EA0190">
        <w:rPr>
          <w:rStyle w:val="normaltextrun"/>
        </w:rPr>
        <w:lastRenderedPageBreak/>
        <w:t>Key</w:t>
      </w:r>
      <w:r w:rsidR="5811132B" w:rsidRPr="57EA0190">
        <w:rPr>
          <w:rStyle w:val="normaltextrun"/>
        </w:rPr>
        <w:t xml:space="preserve"> </w:t>
      </w:r>
      <w:r w:rsidRPr="57EA0190">
        <w:rPr>
          <w:rStyle w:val="normaltextrun"/>
        </w:rPr>
        <w:t>sentinel</w:t>
      </w:r>
      <w:r w:rsidR="5811132B" w:rsidRPr="57EA0190">
        <w:rPr>
          <w:rStyle w:val="normaltextrun"/>
        </w:rPr>
        <w:t xml:space="preserve"> </w:t>
      </w:r>
      <w:r w:rsidRPr="57EA0190">
        <w:rPr>
          <w:rStyle w:val="normaltextrun"/>
        </w:rPr>
        <w:t>event</w:t>
      </w:r>
      <w:r w:rsidR="5811132B" w:rsidRPr="57EA0190">
        <w:rPr>
          <w:rStyle w:val="normaltextrun"/>
        </w:rPr>
        <w:t xml:space="preserve"> </w:t>
      </w:r>
      <w:r w:rsidRPr="57EA0190">
        <w:rPr>
          <w:rStyle w:val="normaltextrun"/>
        </w:rPr>
        <w:t>themes</w:t>
      </w:r>
      <w:r w:rsidR="5811132B" w:rsidRPr="57EA0190">
        <w:rPr>
          <w:rStyle w:val="normaltextrun"/>
        </w:rPr>
        <w:t xml:space="preserve"> </w:t>
      </w:r>
      <w:r w:rsidR="6B587D88" w:rsidRPr="57EA0190">
        <w:rPr>
          <w:rStyle w:val="normaltextrun"/>
        </w:rPr>
        <w:t xml:space="preserve">in </w:t>
      </w:r>
      <w:r w:rsidRPr="57EA0190">
        <w:rPr>
          <w:rStyle w:val="normaltextrun"/>
        </w:rPr>
        <w:t>202</w:t>
      </w:r>
      <w:r w:rsidR="04DA9623" w:rsidRPr="57EA0190">
        <w:rPr>
          <w:rStyle w:val="normaltextrun"/>
        </w:rPr>
        <w:t>4</w:t>
      </w:r>
      <w:r w:rsidR="39C3F5F6" w:rsidRPr="57EA0190">
        <w:rPr>
          <w:rStyle w:val="normaltextrun"/>
        </w:rPr>
        <w:t>–</w:t>
      </w:r>
      <w:r w:rsidR="1C1F0398" w:rsidRPr="57EA0190">
        <w:rPr>
          <w:rStyle w:val="normaltextrun"/>
        </w:rPr>
        <w:t>2</w:t>
      </w:r>
      <w:r w:rsidR="49354168" w:rsidRPr="57EA0190">
        <w:rPr>
          <w:rStyle w:val="normaltextrun"/>
        </w:rPr>
        <w:t>5</w:t>
      </w:r>
      <w:bookmarkEnd w:id="21"/>
      <w:bookmarkEnd w:id="22"/>
    </w:p>
    <w:p w14:paraId="334D950C" w14:textId="2D98D5CE" w:rsidR="00162D6D" w:rsidRPr="002A409B" w:rsidRDefault="005A71CC" w:rsidP="002A409B">
      <w:pPr>
        <w:pStyle w:val="Heading3"/>
        <w:spacing w:before="160" w:after="160" w:line="276" w:lineRule="auto"/>
      </w:pPr>
      <w:r w:rsidRPr="2371BA73">
        <w:rPr>
          <w:rFonts w:asciiTheme="minorHAnsi" w:eastAsiaTheme="minorEastAsia" w:hAnsiTheme="minorHAnsi" w:cstheme="minorBidi"/>
          <w:b w:val="0"/>
          <w:color w:val="auto"/>
          <w:lang w:eastAsia="en-US"/>
        </w:rPr>
        <w:t>To</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maximise</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learning</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and</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improvement</w:t>
      </w:r>
      <w:r w:rsidR="00824FA7" w:rsidRPr="2371BA73">
        <w:rPr>
          <w:rFonts w:asciiTheme="minorHAnsi" w:eastAsiaTheme="minorEastAsia" w:hAnsiTheme="minorHAnsi" w:cstheme="minorBidi"/>
          <w:b w:val="0"/>
          <w:color w:val="auto"/>
          <w:lang w:eastAsia="en-US"/>
        </w:rPr>
        <w:t xml:space="preserve"> </w:t>
      </w:r>
      <w:r w:rsidRPr="2371BA73" w:rsidDel="00F76728">
        <w:rPr>
          <w:rFonts w:asciiTheme="minorHAnsi" w:eastAsiaTheme="minorEastAsia" w:hAnsiTheme="minorHAnsi" w:cstheme="minorBidi"/>
          <w:b w:val="0"/>
          <w:color w:val="auto"/>
          <w:lang w:eastAsia="en-US"/>
        </w:rPr>
        <w:t>opportunities</w:t>
      </w:r>
      <w:r w:rsidR="00AE497B" w:rsidRPr="2371BA73">
        <w:rPr>
          <w:rFonts w:asciiTheme="minorHAnsi" w:eastAsiaTheme="minorEastAsia" w:hAnsiTheme="minorHAnsi" w:cstheme="minorBidi"/>
          <w:b w:val="0"/>
          <w:color w:val="auto"/>
          <w:lang w:eastAsia="en-US"/>
        </w:rPr>
        <w:t xml:space="preserve"> for Victorian health services</w:t>
      </w:r>
      <w:r w:rsidRPr="2371BA73" w:rsidDel="00F76728">
        <w:rPr>
          <w:rFonts w:asciiTheme="minorHAnsi" w:eastAsiaTheme="minorEastAsia" w:hAnsiTheme="minorHAnsi" w:cstheme="minorBidi"/>
          <w:b w:val="0"/>
          <w:color w:val="auto"/>
          <w:lang w:eastAsia="en-US"/>
        </w:rPr>
        <w:t>,</w:t>
      </w:r>
      <w:r w:rsidR="00824FA7" w:rsidRPr="2371BA73">
        <w:rPr>
          <w:rFonts w:asciiTheme="minorHAnsi" w:eastAsiaTheme="minorEastAsia" w:hAnsiTheme="minorHAnsi" w:cstheme="minorBidi"/>
          <w:b w:val="0"/>
          <w:color w:val="auto"/>
          <w:lang w:eastAsia="en-US"/>
        </w:rPr>
        <w:t xml:space="preserve"> </w:t>
      </w:r>
      <w:r w:rsidR="004F6B59" w:rsidRPr="2371BA73" w:rsidDel="00F76728">
        <w:rPr>
          <w:rFonts w:asciiTheme="minorHAnsi" w:eastAsiaTheme="minorEastAsia" w:hAnsiTheme="minorHAnsi" w:cstheme="minorBidi"/>
          <w:b w:val="0"/>
          <w:color w:val="auto"/>
          <w:lang w:eastAsia="en-US"/>
        </w:rPr>
        <w:t>this</w:t>
      </w:r>
      <w:r w:rsidR="00824FA7" w:rsidRPr="2371BA73">
        <w:rPr>
          <w:rFonts w:asciiTheme="minorHAnsi" w:eastAsiaTheme="minorEastAsia" w:hAnsiTheme="minorHAnsi" w:cstheme="minorBidi"/>
          <w:b w:val="0"/>
          <w:color w:val="auto"/>
          <w:lang w:eastAsia="en-US"/>
        </w:rPr>
        <w:t xml:space="preserve"> </w:t>
      </w:r>
      <w:r w:rsidR="004F6B59" w:rsidRPr="2371BA73">
        <w:rPr>
          <w:rFonts w:asciiTheme="minorHAnsi" w:eastAsiaTheme="minorEastAsia" w:hAnsiTheme="minorHAnsi" w:cstheme="minorBidi"/>
          <w:b w:val="0"/>
          <w:color w:val="auto"/>
          <w:lang w:eastAsia="en-US"/>
        </w:rPr>
        <w:t>report</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focus</w:t>
      </w:r>
      <w:r w:rsidR="004F6B59" w:rsidRPr="2371BA73">
        <w:rPr>
          <w:rFonts w:asciiTheme="minorHAnsi" w:eastAsiaTheme="minorEastAsia" w:hAnsiTheme="minorHAnsi" w:cstheme="minorBidi"/>
          <w:b w:val="0"/>
          <w:color w:val="auto"/>
          <w:lang w:eastAsia="en-US"/>
        </w:rPr>
        <w:t>es</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on</w:t>
      </w:r>
      <w:r w:rsidR="00824FA7" w:rsidRPr="2371BA73">
        <w:rPr>
          <w:rFonts w:asciiTheme="minorHAnsi" w:eastAsiaTheme="minorEastAsia" w:hAnsiTheme="minorHAnsi" w:cstheme="minorBidi"/>
          <w:b w:val="0"/>
          <w:color w:val="auto"/>
          <w:lang w:eastAsia="en-US"/>
        </w:rPr>
        <w:t xml:space="preserve"> </w:t>
      </w:r>
      <w:r w:rsidR="004F6B59" w:rsidRPr="2371BA73">
        <w:rPr>
          <w:rFonts w:asciiTheme="minorHAnsi" w:eastAsiaTheme="minorEastAsia" w:hAnsiTheme="minorHAnsi" w:cstheme="minorBidi"/>
          <w:b w:val="0"/>
          <w:color w:val="auto"/>
          <w:lang w:eastAsia="en-US"/>
        </w:rPr>
        <w:t>k</w:t>
      </w:r>
      <w:r w:rsidRPr="2371BA73">
        <w:rPr>
          <w:rFonts w:asciiTheme="minorHAnsi" w:eastAsiaTheme="minorEastAsia" w:hAnsiTheme="minorHAnsi" w:cstheme="minorBidi"/>
          <w:b w:val="0"/>
          <w:color w:val="auto"/>
          <w:lang w:eastAsia="en-US"/>
        </w:rPr>
        <w:t>ey</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sentinel</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event</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themes</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frequently</w:t>
      </w:r>
      <w:r w:rsidR="00824FA7" w:rsidRPr="2371BA73">
        <w:rPr>
          <w:rFonts w:asciiTheme="minorHAnsi" w:eastAsiaTheme="minorEastAsia" w:hAnsiTheme="minorHAnsi" w:cstheme="minorBidi"/>
          <w:b w:val="0"/>
          <w:color w:val="auto"/>
          <w:lang w:eastAsia="en-US"/>
        </w:rPr>
        <w:t xml:space="preserve"> </w:t>
      </w:r>
      <w:r w:rsidRPr="2371BA73">
        <w:rPr>
          <w:rFonts w:asciiTheme="minorHAnsi" w:eastAsiaTheme="minorEastAsia" w:hAnsiTheme="minorHAnsi" w:cstheme="minorBidi"/>
          <w:b w:val="0"/>
          <w:color w:val="auto"/>
          <w:lang w:eastAsia="en-US"/>
        </w:rPr>
        <w:t>reported</w:t>
      </w:r>
      <w:r w:rsidR="3ECB9E82" w:rsidRPr="2371BA73">
        <w:rPr>
          <w:rFonts w:asciiTheme="minorHAnsi" w:eastAsiaTheme="minorEastAsia" w:hAnsiTheme="minorHAnsi" w:cstheme="minorBidi"/>
          <w:b w:val="0"/>
          <w:color w:val="auto"/>
          <w:lang w:eastAsia="en-US"/>
        </w:rPr>
        <w:t xml:space="preserve"> to SCV</w:t>
      </w:r>
      <w:r w:rsidR="00284AC6" w:rsidRPr="2371BA73">
        <w:rPr>
          <w:rFonts w:asciiTheme="minorHAnsi" w:eastAsiaTheme="minorEastAsia" w:hAnsiTheme="minorHAnsi" w:cstheme="minorBidi"/>
          <w:b w:val="0"/>
          <w:color w:val="auto"/>
          <w:lang w:eastAsia="en-US"/>
        </w:rPr>
        <w:t xml:space="preserve"> during 2024</w:t>
      </w:r>
      <w:r w:rsidR="0057201C" w:rsidRPr="2371BA73">
        <w:rPr>
          <w:rFonts w:asciiTheme="minorHAnsi" w:eastAsiaTheme="minorEastAsia" w:hAnsiTheme="minorHAnsi" w:cstheme="minorBidi"/>
          <w:b w:val="0"/>
          <w:color w:val="auto"/>
          <w:lang w:eastAsia="en-US"/>
        </w:rPr>
        <w:t>–</w:t>
      </w:r>
      <w:r w:rsidR="00284AC6" w:rsidRPr="2371BA73">
        <w:rPr>
          <w:rFonts w:asciiTheme="minorHAnsi" w:eastAsiaTheme="minorEastAsia" w:hAnsiTheme="minorHAnsi" w:cstheme="minorBidi"/>
          <w:b w:val="0"/>
          <w:color w:val="auto"/>
          <w:lang w:eastAsia="en-US"/>
        </w:rPr>
        <w:t>25.</w:t>
      </w:r>
    </w:p>
    <w:p w14:paraId="6418E0AB" w14:textId="77777777" w:rsidR="00751952" w:rsidRDefault="007C0C40" w:rsidP="0057201C">
      <w:pPr>
        <w:pStyle w:val="SCVbody"/>
      </w:pPr>
      <w:r>
        <w:t>This section analyses sentinel event data to</w:t>
      </w:r>
      <w:r w:rsidR="00751952">
        <w:t>:</w:t>
      </w:r>
      <w:r>
        <w:t xml:space="preserve"> </w:t>
      </w:r>
    </w:p>
    <w:p w14:paraId="6438223B" w14:textId="040AF913" w:rsidR="00751952" w:rsidRDefault="007C0C40" w:rsidP="00751952">
      <w:pPr>
        <w:pStyle w:val="SCVbullet1"/>
      </w:pPr>
      <w:r>
        <w:t xml:space="preserve">identify shared </w:t>
      </w:r>
      <w:r w:rsidR="00542768">
        <w:t>insights</w:t>
      </w:r>
    </w:p>
    <w:p w14:paraId="45F767C6" w14:textId="4B3902CF" w:rsidR="002F2C06" w:rsidRDefault="007C0C40" w:rsidP="00751952">
      <w:pPr>
        <w:pStyle w:val="SCVbullet1"/>
      </w:pPr>
      <w:r>
        <w:t xml:space="preserve">highlight key areas of improvement across </w:t>
      </w:r>
      <w:r w:rsidRPr="0057201C">
        <w:t xml:space="preserve">the sector </w:t>
      </w:r>
    </w:p>
    <w:p w14:paraId="062782A1" w14:textId="5BA26D26" w:rsidR="00751952" w:rsidRDefault="002F2C06" w:rsidP="00751952">
      <w:pPr>
        <w:pStyle w:val="SCVbullet1"/>
      </w:pPr>
      <w:r>
        <w:t xml:space="preserve">spotlight </w:t>
      </w:r>
      <w:r w:rsidR="2AD26782" w:rsidRPr="0057201C">
        <w:t xml:space="preserve">key </w:t>
      </w:r>
      <w:r>
        <w:t xml:space="preserve">SCV </w:t>
      </w:r>
      <w:r w:rsidR="2AD26782" w:rsidRPr="0057201C">
        <w:t xml:space="preserve">initiatives </w:t>
      </w:r>
      <w:r>
        <w:t xml:space="preserve">that </w:t>
      </w:r>
      <w:r w:rsidR="2AD26782" w:rsidRPr="0057201C">
        <w:t>support health services in these areas</w:t>
      </w:r>
    </w:p>
    <w:p w14:paraId="7C1F61F3" w14:textId="7F5A574F" w:rsidR="00E83282" w:rsidRPr="0057201C" w:rsidRDefault="007C0C40" w:rsidP="00834EF2">
      <w:pPr>
        <w:pStyle w:val="SCVbullet1"/>
        <w:rPr>
          <w:rStyle w:val="normaltextrun"/>
        </w:rPr>
      </w:pPr>
      <w:r w:rsidRPr="0057201C">
        <w:t>outline resources that support ongoing capability development and continuous learning</w:t>
      </w:r>
      <w:r w:rsidR="00751952">
        <w:t>.</w:t>
      </w:r>
    </w:p>
    <w:p w14:paraId="3C8197C5" w14:textId="00CFD67E" w:rsidR="005A71CC" w:rsidRPr="00FB5A53" w:rsidRDefault="184A4568" w:rsidP="00834EF2">
      <w:pPr>
        <w:pStyle w:val="SCVbodyafterheading"/>
      </w:pPr>
      <w:r>
        <w:t>This</w:t>
      </w:r>
      <w:r w:rsidR="2FFC26C9">
        <w:t xml:space="preserve"> </w:t>
      </w:r>
      <w:r>
        <w:t>year</w:t>
      </w:r>
      <w:r w:rsidR="2A22B5C7">
        <w:t>’s</w:t>
      </w:r>
      <w:r w:rsidR="2FFC26C9">
        <w:t xml:space="preserve"> </w:t>
      </w:r>
      <w:r w:rsidR="2A22B5C7">
        <w:t>report</w:t>
      </w:r>
      <w:r w:rsidR="2FFC26C9">
        <w:t xml:space="preserve"> </w:t>
      </w:r>
      <w:r w:rsidR="3F4FCC4D">
        <w:t>covers</w:t>
      </w:r>
      <w:r w:rsidR="2FFC26C9">
        <w:t xml:space="preserve"> </w:t>
      </w:r>
      <w:r w:rsidR="10125EF8">
        <w:t>four</w:t>
      </w:r>
      <w:r w:rsidR="3CDCAEE6">
        <w:t xml:space="preserve"> key</w:t>
      </w:r>
      <w:r w:rsidR="19DD5D88">
        <w:t xml:space="preserve"> </w:t>
      </w:r>
      <w:r w:rsidR="2A22B5C7">
        <w:t>themes:</w:t>
      </w:r>
    </w:p>
    <w:p w14:paraId="6E7391FF" w14:textId="3DDC5FD3" w:rsidR="00522FA5" w:rsidRPr="00FB5A53" w:rsidRDefault="795B3433" w:rsidP="1D8ABA5E">
      <w:pPr>
        <w:pStyle w:val="SCVbullet1"/>
        <w:rPr>
          <w:b/>
          <w:bCs/>
        </w:rPr>
      </w:pPr>
      <w:r w:rsidRPr="509B18F9">
        <w:rPr>
          <w:b/>
          <w:bCs/>
        </w:rPr>
        <w:t>perioperative care</w:t>
      </w:r>
      <w:r w:rsidR="48E34F79" w:rsidRPr="509B18F9">
        <w:rPr>
          <w:b/>
          <w:bCs/>
        </w:rPr>
        <w:t xml:space="preserve"> (surgery</w:t>
      </w:r>
      <w:r w:rsidR="5022EB93" w:rsidRPr="509B18F9">
        <w:rPr>
          <w:b/>
          <w:bCs/>
        </w:rPr>
        <w:t>-</w:t>
      </w:r>
      <w:r w:rsidR="48E34F79" w:rsidRPr="509B18F9">
        <w:rPr>
          <w:b/>
          <w:bCs/>
        </w:rPr>
        <w:t>related)</w:t>
      </w:r>
    </w:p>
    <w:p w14:paraId="1D0A3938" w14:textId="43191C73" w:rsidR="00F26E2B" w:rsidRPr="00FB5A53" w:rsidRDefault="6E8F7B36" w:rsidP="1D8ABA5E">
      <w:pPr>
        <w:pStyle w:val="SCVbullet1"/>
        <w:rPr>
          <w:b/>
          <w:bCs/>
        </w:rPr>
      </w:pPr>
      <w:r w:rsidRPr="509B18F9">
        <w:rPr>
          <w:b/>
          <w:bCs/>
        </w:rPr>
        <w:t>m</w:t>
      </w:r>
      <w:r w:rsidR="39A2CB54" w:rsidRPr="509B18F9">
        <w:rPr>
          <w:b/>
          <w:bCs/>
        </w:rPr>
        <w:t>atern</w:t>
      </w:r>
      <w:r w:rsidR="3CE95E03" w:rsidRPr="509B18F9">
        <w:rPr>
          <w:b/>
          <w:bCs/>
        </w:rPr>
        <w:t>ity</w:t>
      </w:r>
      <w:r w:rsidR="39A2CB54" w:rsidRPr="509B18F9">
        <w:rPr>
          <w:b/>
          <w:bCs/>
        </w:rPr>
        <w:t xml:space="preserve"> and </w:t>
      </w:r>
      <w:r w:rsidR="3CE95E03" w:rsidRPr="509B18F9">
        <w:rPr>
          <w:b/>
          <w:bCs/>
        </w:rPr>
        <w:t>paediatric</w:t>
      </w:r>
      <w:r w:rsidR="3F4FCC4D" w:rsidRPr="509B18F9">
        <w:rPr>
          <w:b/>
          <w:bCs/>
        </w:rPr>
        <w:t xml:space="preserve"> care</w:t>
      </w:r>
    </w:p>
    <w:p w14:paraId="40C62852" w14:textId="1A3EC180" w:rsidR="00F1653A" w:rsidRDefault="79730E9C" w:rsidP="1D8ABA5E">
      <w:pPr>
        <w:pStyle w:val="SCVbullet1"/>
        <w:rPr>
          <w:b/>
          <w:bCs/>
        </w:rPr>
      </w:pPr>
      <w:r w:rsidRPr="509B18F9">
        <w:rPr>
          <w:b/>
          <w:bCs/>
        </w:rPr>
        <w:t>mental health and self</w:t>
      </w:r>
      <w:r w:rsidR="5C5583E2" w:rsidRPr="509B18F9">
        <w:rPr>
          <w:b/>
          <w:bCs/>
        </w:rPr>
        <w:t>-harm</w:t>
      </w:r>
    </w:p>
    <w:p w14:paraId="7A709295" w14:textId="7815C7CD" w:rsidR="006E28D2" w:rsidRPr="00FB5A53" w:rsidRDefault="79730E9C" w:rsidP="00B91171">
      <w:pPr>
        <w:pStyle w:val="SCVbullet1"/>
      </w:pPr>
      <w:r w:rsidRPr="509B18F9">
        <w:rPr>
          <w:b/>
          <w:bCs/>
        </w:rPr>
        <w:t>medication errors.</w:t>
      </w:r>
    </w:p>
    <w:p w14:paraId="33BFA127" w14:textId="7CB5CD99" w:rsidR="00A3764F" w:rsidRPr="003432A8" w:rsidRDefault="1B64411C" w:rsidP="00326D26">
      <w:pPr>
        <w:pStyle w:val="Heading2"/>
        <w:rPr>
          <w:rStyle w:val="Heading1Char"/>
          <w:b/>
          <w:bCs/>
          <w:sz w:val="28"/>
          <w:szCs w:val="28"/>
          <w:lang w:eastAsia="en-US"/>
        </w:rPr>
      </w:pPr>
      <w:bookmarkStart w:id="23" w:name="_Toc238026640"/>
      <w:r w:rsidRPr="003432A8">
        <w:rPr>
          <w:rStyle w:val="Heading1Char"/>
          <w:b/>
          <w:bCs/>
          <w:sz w:val="28"/>
          <w:szCs w:val="28"/>
        </w:rPr>
        <w:t xml:space="preserve">1. </w:t>
      </w:r>
      <w:r w:rsidR="7D7C84E3" w:rsidRPr="003432A8">
        <w:rPr>
          <w:rStyle w:val="Heading1Char"/>
          <w:b/>
          <w:bCs/>
          <w:sz w:val="28"/>
          <w:szCs w:val="28"/>
        </w:rPr>
        <w:t>S</w:t>
      </w:r>
      <w:r w:rsidR="486DF92A" w:rsidRPr="003432A8">
        <w:rPr>
          <w:rStyle w:val="Heading1Char"/>
          <w:b/>
          <w:bCs/>
          <w:sz w:val="28"/>
          <w:szCs w:val="28"/>
        </w:rPr>
        <w:t xml:space="preserve">entinel </w:t>
      </w:r>
      <w:r w:rsidR="2DC54FDD" w:rsidRPr="003432A8">
        <w:rPr>
          <w:rStyle w:val="Heading1Char"/>
          <w:b/>
          <w:bCs/>
          <w:sz w:val="28"/>
          <w:szCs w:val="28"/>
        </w:rPr>
        <w:t>e</w:t>
      </w:r>
      <w:r w:rsidR="486DF92A" w:rsidRPr="003432A8">
        <w:rPr>
          <w:rStyle w:val="Heading1Char"/>
          <w:b/>
          <w:bCs/>
          <w:sz w:val="28"/>
          <w:szCs w:val="28"/>
        </w:rPr>
        <w:t xml:space="preserve">vents relating to </w:t>
      </w:r>
      <w:r w:rsidR="7D36EF4D" w:rsidRPr="003432A8">
        <w:rPr>
          <w:rStyle w:val="Heading1Char"/>
          <w:b/>
          <w:bCs/>
          <w:sz w:val="28"/>
          <w:szCs w:val="28"/>
        </w:rPr>
        <w:t>perioperative care</w:t>
      </w:r>
      <w:r w:rsidR="1387A849" w:rsidRPr="003432A8">
        <w:rPr>
          <w:rStyle w:val="Heading1Char"/>
          <w:b/>
          <w:bCs/>
          <w:sz w:val="28"/>
          <w:szCs w:val="28"/>
        </w:rPr>
        <w:t xml:space="preserve"> (</w:t>
      </w:r>
      <w:r w:rsidR="091B55F1" w:rsidRPr="003432A8">
        <w:rPr>
          <w:rStyle w:val="Heading1Char"/>
          <w:b/>
          <w:bCs/>
          <w:sz w:val="28"/>
          <w:szCs w:val="28"/>
        </w:rPr>
        <w:t>s</w:t>
      </w:r>
      <w:r w:rsidR="1387A849" w:rsidRPr="003432A8">
        <w:rPr>
          <w:rStyle w:val="Heading1Char"/>
          <w:b/>
          <w:bCs/>
          <w:sz w:val="28"/>
          <w:szCs w:val="28"/>
        </w:rPr>
        <w:t>urgery</w:t>
      </w:r>
      <w:r w:rsidR="4F2D3EBE" w:rsidRPr="003432A8">
        <w:rPr>
          <w:rStyle w:val="Heading1Char"/>
          <w:b/>
          <w:bCs/>
          <w:sz w:val="28"/>
          <w:szCs w:val="28"/>
        </w:rPr>
        <w:t>-</w:t>
      </w:r>
      <w:r w:rsidR="1387A849" w:rsidRPr="003432A8">
        <w:rPr>
          <w:rStyle w:val="Heading1Char"/>
          <w:b/>
          <w:bCs/>
          <w:sz w:val="28"/>
          <w:szCs w:val="28"/>
        </w:rPr>
        <w:t>related)</w:t>
      </w:r>
      <w:bookmarkEnd w:id="23"/>
    </w:p>
    <w:p w14:paraId="5343CC47" w14:textId="07A9BAA9" w:rsidR="003063C1" w:rsidRPr="00F02843" w:rsidRDefault="6E9EDBF2" w:rsidP="0057201C">
      <w:pPr>
        <w:pStyle w:val="SCVbody"/>
      </w:pPr>
      <w:r>
        <w:t xml:space="preserve">In Victoria, </w:t>
      </w:r>
      <w:r w:rsidR="3E04D464">
        <w:t xml:space="preserve">both </w:t>
      </w:r>
      <w:r>
        <w:t xml:space="preserve">SCV </w:t>
      </w:r>
      <w:r w:rsidR="61441A01">
        <w:t xml:space="preserve">and the </w:t>
      </w:r>
      <w:r>
        <w:t>Victorian Perioperative Consultative Council</w:t>
      </w:r>
      <w:r w:rsidDel="00710522">
        <w:t xml:space="preserve"> </w:t>
      </w:r>
      <w:r w:rsidR="00710522">
        <w:t>review perioperative sentinel events</w:t>
      </w:r>
      <w:r>
        <w:t>. The</w:t>
      </w:r>
      <w:r w:rsidR="73AAAFC2" w:rsidDel="00710522">
        <w:t xml:space="preserve"> </w:t>
      </w:r>
      <w:r w:rsidR="00710522">
        <w:t xml:space="preserve">council </w:t>
      </w:r>
      <w:r>
        <w:t xml:space="preserve">oversees, monitors and analyses cases of perioperative mortality and morbidity. </w:t>
      </w:r>
    </w:p>
    <w:p w14:paraId="03C501AC" w14:textId="4A36E5D8" w:rsidR="00500661" w:rsidRPr="002A409B" w:rsidRDefault="7739C79E" w:rsidP="003D76A5">
      <w:pPr>
        <w:pStyle w:val="SCVbody"/>
        <w:rPr>
          <w:rFonts w:ascii="Arial" w:eastAsia="Arial" w:hAnsi="Arial" w:cs="Arial"/>
        </w:rPr>
      </w:pPr>
      <w:r w:rsidRPr="370D2C6F">
        <w:rPr>
          <w:rFonts w:ascii="Arial" w:eastAsia="Arial" w:hAnsi="Arial" w:cs="Arial"/>
        </w:rPr>
        <w:t xml:space="preserve">Perioperative </w:t>
      </w:r>
      <w:r w:rsidR="4885DFC1" w:rsidRPr="370D2C6F">
        <w:rPr>
          <w:rFonts w:ascii="Arial" w:eastAsia="Arial" w:hAnsi="Arial" w:cs="Arial"/>
        </w:rPr>
        <w:t xml:space="preserve">sentinel </w:t>
      </w:r>
      <w:r w:rsidR="4885DFC1" w:rsidRPr="370D2C6F">
        <w:t xml:space="preserve">events </w:t>
      </w:r>
      <w:r w:rsidR="00710522">
        <w:t>cover</w:t>
      </w:r>
      <w:r w:rsidR="6C13E71B" w:rsidRPr="370D2C6F">
        <w:t xml:space="preserve"> the </w:t>
      </w:r>
      <w:r w:rsidR="3DA09FFC" w:rsidRPr="370D2C6F">
        <w:t xml:space="preserve">entire </w:t>
      </w:r>
      <w:r w:rsidR="4354752D" w:rsidRPr="370D2C6F">
        <w:t xml:space="preserve">perioperative period – before, </w:t>
      </w:r>
      <w:r w:rsidR="29EB500F" w:rsidRPr="370D2C6F">
        <w:t xml:space="preserve">during and after surgery. </w:t>
      </w:r>
      <w:r w:rsidR="65574824" w:rsidRPr="370D2C6F">
        <w:t xml:space="preserve">This category may also include </w:t>
      </w:r>
      <w:r w:rsidR="6690912D" w:rsidRPr="370D2C6F">
        <w:t>events involving</w:t>
      </w:r>
      <w:r w:rsidR="3700B156" w:rsidRPr="370D2C6F">
        <w:t xml:space="preserve"> </w:t>
      </w:r>
      <w:r w:rsidR="2747B831" w:rsidRPr="370D2C6F">
        <w:t xml:space="preserve">unfulfilled </w:t>
      </w:r>
      <w:r w:rsidR="3700B156" w:rsidRPr="370D2C6F">
        <w:t xml:space="preserve">outpatient </w:t>
      </w:r>
      <w:r w:rsidR="4F88D15F" w:rsidRPr="370D2C6F">
        <w:t>or referral process</w:t>
      </w:r>
      <w:r w:rsidR="2747B831" w:rsidRPr="370D2C6F">
        <w:t>es, such as to oncology,</w:t>
      </w:r>
      <w:r w:rsidR="4F88D15F" w:rsidRPr="370D2C6F">
        <w:t xml:space="preserve"> or delayed recognition </w:t>
      </w:r>
      <w:r w:rsidR="1DEF5F68" w:rsidRPr="370D2C6F">
        <w:t xml:space="preserve">of a surgical </w:t>
      </w:r>
      <w:r w:rsidR="6DD9233D" w:rsidRPr="370D2C6F">
        <w:t>problem</w:t>
      </w:r>
      <w:r w:rsidR="1DEF5F68" w:rsidRPr="370D2C6F">
        <w:t xml:space="preserve"> </w:t>
      </w:r>
      <w:r w:rsidR="00500661" w:rsidRPr="370D2C6F">
        <w:t xml:space="preserve">when </w:t>
      </w:r>
      <w:r w:rsidR="3DD7FAE1" w:rsidRPr="370D2C6F">
        <w:t>a patient presents to an emergency department.</w:t>
      </w:r>
    </w:p>
    <w:p w14:paraId="207B07EB" w14:textId="0F7B9DAE" w:rsidR="658DC533" w:rsidRPr="00DC6D13" w:rsidRDefault="6E9EDBF2" w:rsidP="003D76A5">
      <w:pPr>
        <w:pStyle w:val="SCVbody"/>
      </w:pPr>
      <w:r w:rsidRPr="777990B6">
        <w:t>In 2024</w:t>
      </w:r>
      <w:r w:rsidR="436F36D6" w:rsidRPr="777990B6">
        <w:t>–</w:t>
      </w:r>
      <w:r w:rsidRPr="777990B6">
        <w:t xml:space="preserve">25 health </w:t>
      </w:r>
      <w:r w:rsidRPr="002A409B">
        <w:t>services</w:t>
      </w:r>
      <w:r w:rsidRPr="777990B6">
        <w:t xml:space="preserve"> identified </w:t>
      </w:r>
      <w:r w:rsidRPr="777990B6">
        <w:rPr>
          <w:b/>
          <w:bCs/>
        </w:rPr>
        <w:t xml:space="preserve">65 </w:t>
      </w:r>
      <w:r w:rsidRPr="777990B6">
        <w:t xml:space="preserve">perioperative or periprocedural </w:t>
      </w:r>
      <w:r w:rsidR="155FBB12" w:rsidRPr="777990B6">
        <w:t xml:space="preserve">sentinel </w:t>
      </w:r>
      <w:r w:rsidRPr="777990B6">
        <w:t xml:space="preserve">events. </w:t>
      </w:r>
    </w:p>
    <w:p w14:paraId="21BB1730" w14:textId="4134057C" w:rsidR="658DC533" w:rsidRPr="002A409B" w:rsidRDefault="6E9EDBF2" w:rsidP="003D76A5">
      <w:pPr>
        <w:pStyle w:val="SCVbody"/>
      </w:pPr>
      <w:r w:rsidRPr="777990B6">
        <w:t>The perioperative care data</w:t>
      </w:r>
      <w:r w:rsidR="795796DB" w:rsidRPr="777990B6">
        <w:t xml:space="preserve"> presented in this report </w:t>
      </w:r>
      <w:r w:rsidRPr="777990B6">
        <w:t xml:space="preserve">is </w:t>
      </w:r>
      <w:r w:rsidR="2509DD98" w:rsidRPr="777990B6">
        <w:t xml:space="preserve">drawn </w:t>
      </w:r>
      <w:r w:rsidRPr="777990B6">
        <w:t xml:space="preserve">from the </w:t>
      </w:r>
      <w:r w:rsidR="03C887AA" w:rsidRPr="777990B6">
        <w:t xml:space="preserve">SCV </w:t>
      </w:r>
      <w:r w:rsidR="15EE0CA1" w:rsidRPr="777990B6">
        <w:t>s</w:t>
      </w:r>
      <w:r w:rsidRPr="777990B6">
        <w:t xml:space="preserve">entinel </w:t>
      </w:r>
      <w:r w:rsidR="15EE0CA1" w:rsidRPr="777990B6">
        <w:t>e</w:t>
      </w:r>
      <w:r w:rsidRPr="777990B6">
        <w:t>vent porta</w:t>
      </w:r>
      <w:r w:rsidRPr="002A409B">
        <w:t>l</w:t>
      </w:r>
      <w:r w:rsidR="56574518" w:rsidRPr="002A409B">
        <w:t xml:space="preserve"> point of notification, where health services select relevant surgery, anaesthetic and procedure categories. Other cases may meet the criteria for this category but are not included in this analysis — for example, cases involving missed surgery or missed referrals.</w:t>
      </w:r>
    </w:p>
    <w:p w14:paraId="28D0ABBE" w14:textId="6688CBF0" w:rsidR="658DC533" w:rsidRDefault="6E9EDBF2" w:rsidP="003D76A5">
      <w:pPr>
        <w:pStyle w:val="SCVbody"/>
      </w:pPr>
      <w:r w:rsidRPr="777990B6">
        <w:t xml:space="preserve"> </w:t>
      </w:r>
    </w:p>
    <w:p w14:paraId="4E265DCA" w14:textId="77777777" w:rsidR="00F7524D" w:rsidRDefault="00F7524D" w:rsidP="003D76A5">
      <w:pPr>
        <w:pStyle w:val="SCVbody"/>
      </w:pPr>
    </w:p>
    <w:p w14:paraId="72BCDD64" w14:textId="77777777" w:rsidR="00F7524D" w:rsidRDefault="00F7524D" w:rsidP="003D76A5">
      <w:pPr>
        <w:pStyle w:val="SCVbody"/>
      </w:pPr>
    </w:p>
    <w:p w14:paraId="10288618" w14:textId="30E8EC45" w:rsidR="658DC533" w:rsidRPr="003432A8" w:rsidRDefault="658DC533" w:rsidP="005E7DE4">
      <w:pPr>
        <w:pStyle w:val="Heading3"/>
        <w:rPr>
          <w:color w:val="auto"/>
        </w:rPr>
      </w:pPr>
      <w:r w:rsidRPr="003432A8">
        <w:rPr>
          <w:color w:val="auto"/>
        </w:rPr>
        <w:t xml:space="preserve">Key themes </w:t>
      </w:r>
    </w:p>
    <w:p w14:paraId="0E1C41F8" w14:textId="4BE70B47" w:rsidR="00593E64" w:rsidRDefault="08E03CDB" w:rsidP="003D76A5">
      <w:pPr>
        <w:pStyle w:val="SCVbody"/>
      </w:pPr>
      <w:r>
        <w:t xml:space="preserve">In 2024–25, </w:t>
      </w:r>
      <w:r w:rsidRPr="509B18F9">
        <w:rPr>
          <w:b/>
          <w:bCs/>
        </w:rPr>
        <w:t>88</w:t>
      </w:r>
      <w:r w:rsidR="3FAAF8D8" w:rsidRPr="509B18F9">
        <w:rPr>
          <w:b/>
          <w:bCs/>
        </w:rPr>
        <w:t>%</w:t>
      </w:r>
      <w:r w:rsidR="4C1FAABB">
        <w:t xml:space="preserve"> </w:t>
      </w:r>
      <w:r>
        <w:t xml:space="preserve">of all </w:t>
      </w:r>
      <w:r w:rsidR="62A7081C">
        <w:t xml:space="preserve">perioperative </w:t>
      </w:r>
      <w:r>
        <w:t>events were Category 11</w:t>
      </w:r>
      <w:r w:rsidR="4526B1C8">
        <w:t xml:space="preserve"> events. </w:t>
      </w:r>
      <w:r>
        <w:t>The top subcategories were</w:t>
      </w:r>
      <w:r w:rsidR="09BC28D0">
        <w:t>:</w:t>
      </w:r>
    </w:p>
    <w:p w14:paraId="7F41672A" w14:textId="43BE5124" w:rsidR="00593E64" w:rsidRPr="00511D5C" w:rsidRDefault="658DC533" w:rsidP="0057201C">
      <w:pPr>
        <w:pStyle w:val="SCVbullet1"/>
        <w:rPr>
          <w:u w:val="single"/>
        </w:rPr>
      </w:pPr>
      <w:r w:rsidRPr="7D21C944">
        <w:t>clinical process or procedure</w:t>
      </w:r>
    </w:p>
    <w:p w14:paraId="2568DCC5" w14:textId="773BB26F" w:rsidR="00BB5DCC" w:rsidRPr="00511D5C" w:rsidRDefault="658DC533" w:rsidP="0057201C">
      <w:pPr>
        <w:pStyle w:val="SCVbullet1"/>
        <w:rPr>
          <w:u w:val="single"/>
        </w:rPr>
      </w:pPr>
      <w:r w:rsidRPr="7D21C944">
        <w:t>deteriorating patient</w:t>
      </w:r>
    </w:p>
    <w:p w14:paraId="0AF4A4AF" w14:textId="48393CCB" w:rsidR="00BB5DCC" w:rsidRPr="00511D5C" w:rsidRDefault="658DC533" w:rsidP="0057201C">
      <w:pPr>
        <w:pStyle w:val="SCVbullet1"/>
        <w:rPr>
          <w:u w:val="single"/>
        </w:rPr>
      </w:pPr>
      <w:r w:rsidRPr="7D21C944">
        <w:t>communication of clinical information</w:t>
      </w:r>
    </w:p>
    <w:p w14:paraId="2634962A" w14:textId="036B44A8" w:rsidR="658DC533" w:rsidRDefault="658DC533" w:rsidP="0057201C">
      <w:pPr>
        <w:pStyle w:val="SCVbullet1"/>
        <w:rPr>
          <w:u w:val="single"/>
        </w:rPr>
      </w:pPr>
      <w:r w:rsidRPr="7D21C944">
        <w:t>medical device or equipment</w:t>
      </w:r>
      <w:r w:rsidR="005F2EBC">
        <w:t>.</w:t>
      </w:r>
    </w:p>
    <w:p w14:paraId="7A87AC8A" w14:textId="3C13832D" w:rsidR="00D37187" w:rsidRDefault="00340060" w:rsidP="0057201C">
      <w:pPr>
        <w:pStyle w:val="SCVbodyafterheading"/>
      </w:pPr>
      <w:r>
        <w:t>The remain</w:t>
      </w:r>
      <w:r w:rsidR="002019F6">
        <w:t>ing</w:t>
      </w:r>
      <w:r w:rsidR="658DC533" w:rsidRPr="7D21C944">
        <w:t xml:space="preserve"> </w:t>
      </w:r>
      <w:r w:rsidR="009A2171">
        <w:t>perioperative</w:t>
      </w:r>
      <w:r w:rsidR="00EC5DA5">
        <w:t>-</w:t>
      </w:r>
      <w:r w:rsidR="658DC533" w:rsidRPr="7D21C944">
        <w:t xml:space="preserve">related sentinel events </w:t>
      </w:r>
      <w:r w:rsidR="00B753BE">
        <w:t xml:space="preserve">were </w:t>
      </w:r>
      <w:r w:rsidR="00EC5DA5">
        <w:t>from</w:t>
      </w:r>
      <w:r w:rsidR="00EC5DA5" w:rsidRPr="7D21C944">
        <w:t xml:space="preserve"> </w:t>
      </w:r>
      <w:r w:rsidR="658DC533" w:rsidRPr="7D21C944">
        <w:t>the following categories:</w:t>
      </w:r>
    </w:p>
    <w:p w14:paraId="4F0CDE1B" w14:textId="43BE32FF" w:rsidR="658DC533" w:rsidRDefault="00EC5DA5" w:rsidP="0057201C">
      <w:pPr>
        <w:pStyle w:val="SCVbullet1"/>
      </w:pPr>
      <w:r>
        <w:t>c</w:t>
      </w:r>
      <w:r w:rsidR="658DC533" w:rsidRPr="7D21C944">
        <w:t xml:space="preserve">ategory 1: </w:t>
      </w:r>
      <w:r w:rsidR="00354820">
        <w:t>p</w:t>
      </w:r>
      <w:r w:rsidR="658DC533">
        <w:t>rocedure</w:t>
      </w:r>
      <w:r w:rsidR="658DC533" w:rsidRPr="7D21C944">
        <w:t xml:space="preserve"> performed on the wrong site resulting in serious harm or death</w:t>
      </w:r>
      <w:r w:rsidR="00173F23">
        <w:t xml:space="preserve"> (</w:t>
      </w:r>
      <w:r w:rsidR="00AA2E3A">
        <w:t>3</w:t>
      </w:r>
      <w:r w:rsidR="00173F23">
        <w:t>%)</w:t>
      </w:r>
    </w:p>
    <w:p w14:paraId="4229A5B5" w14:textId="2834E53D" w:rsidR="658DC533" w:rsidRPr="00F24952" w:rsidRDefault="00EC5DA5" w:rsidP="0057201C">
      <w:pPr>
        <w:pStyle w:val="SCVbullet1"/>
        <w:rPr>
          <w:b/>
        </w:rPr>
      </w:pPr>
      <w:r>
        <w:t>c</w:t>
      </w:r>
      <w:r w:rsidR="658DC533" w:rsidRPr="7D21C944">
        <w:t xml:space="preserve">ategory 3: </w:t>
      </w:r>
      <w:r w:rsidR="00354820">
        <w:t>w</w:t>
      </w:r>
      <w:r w:rsidR="658DC533">
        <w:t>rong</w:t>
      </w:r>
      <w:r w:rsidR="658DC533" w:rsidRPr="7D21C944">
        <w:t xml:space="preserve"> surgical or invasive procedure resulting in serious harm or death </w:t>
      </w:r>
      <w:r w:rsidR="00173F23">
        <w:t>(</w:t>
      </w:r>
      <w:r w:rsidR="00AA2E3A">
        <w:t>1.5</w:t>
      </w:r>
      <w:r w:rsidR="00173F23">
        <w:t>%)</w:t>
      </w:r>
      <w:r w:rsidR="00BC51CA">
        <w:t xml:space="preserve"> </w:t>
      </w:r>
    </w:p>
    <w:p w14:paraId="6A01F660" w14:textId="08684570" w:rsidR="658DC533" w:rsidRPr="00F24952" w:rsidRDefault="00EC5DA5" w:rsidP="0057201C">
      <w:pPr>
        <w:pStyle w:val="SCVbullet1"/>
        <w:rPr>
          <w:b/>
        </w:rPr>
      </w:pPr>
      <w:r>
        <w:t>c</w:t>
      </w:r>
      <w:r w:rsidR="658DC533" w:rsidRPr="004E551D">
        <w:t xml:space="preserve">ategory 4: </w:t>
      </w:r>
      <w:r w:rsidR="00354820">
        <w:t>u</w:t>
      </w:r>
      <w:r w:rsidR="658DC533">
        <w:t>nintended</w:t>
      </w:r>
      <w:r w:rsidR="658DC533" w:rsidRPr="004E551D">
        <w:t xml:space="preserve"> retention of a foreign object resulting in serious harm or death </w:t>
      </w:r>
      <w:r w:rsidR="00173F23">
        <w:t>(</w:t>
      </w:r>
      <w:r w:rsidR="00AA2E3A">
        <w:t>4.6</w:t>
      </w:r>
      <w:r w:rsidR="00173F23">
        <w:t>%)</w:t>
      </w:r>
    </w:p>
    <w:p w14:paraId="2ACAB3BF" w14:textId="70CFB4C4" w:rsidR="00340060" w:rsidRPr="00834EF2" w:rsidRDefault="00EC5DA5" w:rsidP="0057201C">
      <w:pPr>
        <w:pStyle w:val="SCVbullet1"/>
        <w:rPr>
          <w:b/>
        </w:rPr>
      </w:pPr>
      <w:r>
        <w:t>c</w:t>
      </w:r>
      <w:r w:rsidR="00340060">
        <w:t xml:space="preserve">ategory </w:t>
      </w:r>
      <w:r w:rsidR="00BB5A56">
        <w:t xml:space="preserve">7: </w:t>
      </w:r>
      <w:r w:rsidR="00354820">
        <w:t>m</w:t>
      </w:r>
      <w:r w:rsidR="00BB5A56">
        <w:t>edication</w:t>
      </w:r>
      <w:r w:rsidR="004A17F2">
        <w:t xml:space="preserve"> errors resulting in serious harm or </w:t>
      </w:r>
      <w:r w:rsidR="008375AB">
        <w:t>death</w:t>
      </w:r>
      <w:r w:rsidR="00173F23">
        <w:t xml:space="preserve"> (</w:t>
      </w:r>
      <w:r w:rsidR="00AA2E3A">
        <w:t>2.9</w:t>
      </w:r>
      <w:r w:rsidR="00173F23">
        <w:t>%)</w:t>
      </w:r>
      <w:r>
        <w:t>.</w:t>
      </w:r>
    </w:p>
    <w:p w14:paraId="035F5FE7" w14:textId="644BCB2F" w:rsidR="00354820" w:rsidRDefault="4526B1C8" w:rsidP="005E7DE4">
      <w:pPr>
        <w:pStyle w:val="SCVbodyafterheading"/>
      </w:pPr>
      <w:r>
        <w:t xml:space="preserve">Table </w:t>
      </w:r>
      <w:r w:rsidR="4110139B">
        <w:t>5</w:t>
      </w:r>
      <w:r>
        <w:t xml:space="preserve"> lists the top </w:t>
      </w:r>
      <w:r w:rsidR="14951E24">
        <w:t>five</w:t>
      </w:r>
      <w:r>
        <w:t xml:space="preserve"> lessons learnt from errors involving procedure-related events.</w:t>
      </w:r>
    </w:p>
    <w:p w14:paraId="1CE38419" w14:textId="38EDD242" w:rsidR="658DC533" w:rsidRDefault="08E03CDB" w:rsidP="005F2EBC">
      <w:pPr>
        <w:pStyle w:val="SCVtablecaption"/>
      </w:pPr>
      <w:r>
        <w:t xml:space="preserve">Table </w:t>
      </w:r>
      <w:r w:rsidR="3EC9DD40">
        <w:t>5</w:t>
      </w:r>
      <w:r>
        <w:t xml:space="preserve">: Top </w:t>
      </w:r>
      <w:r w:rsidR="7350E24F">
        <w:t>five</w:t>
      </w:r>
      <w:r>
        <w:t xml:space="preserve"> </w:t>
      </w:r>
      <w:r w:rsidR="65C82D9E">
        <w:t>l</w:t>
      </w:r>
      <w:r>
        <w:t>essons learn</w:t>
      </w:r>
      <w:r w:rsidR="1A84A388">
        <w:t>t</w:t>
      </w:r>
      <w:r>
        <w:t xml:space="preserve"> f</w:t>
      </w:r>
      <w:r w:rsidR="2F9203D0">
        <w:t>rom</w:t>
      </w:r>
      <w:r>
        <w:t xml:space="preserve"> surgical, anaesthetic or procedure</w:t>
      </w:r>
      <w:r w:rsidR="22C42546">
        <w:t>-</w:t>
      </w:r>
      <w:r>
        <w:t>related events</w:t>
      </w:r>
      <w:r w:rsidR="1A84A388">
        <w:t xml:space="preserve">, </w:t>
      </w:r>
      <w:r w:rsidR="3CC4E56A">
        <w:t>2024</w:t>
      </w:r>
      <w:r w:rsidR="22C42546">
        <w:t>–</w:t>
      </w:r>
      <w:r w:rsidR="3CC4E56A">
        <w:t>25</w:t>
      </w:r>
      <w:r>
        <w:t xml:space="preserve"> </w:t>
      </w:r>
    </w:p>
    <w:tbl>
      <w:tblPr>
        <w:tblStyle w:val="TableGrid"/>
        <w:tblW w:w="0" w:type="auto"/>
        <w:tblLook w:val="04A0" w:firstRow="1" w:lastRow="0" w:firstColumn="1" w:lastColumn="0" w:noHBand="0" w:noVBand="1"/>
      </w:tblPr>
      <w:tblGrid>
        <w:gridCol w:w="6860"/>
        <w:gridCol w:w="3288"/>
      </w:tblGrid>
      <w:tr w:rsidR="00C07955" w:rsidRPr="00C07955" w14:paraId="67FDA97C" w14:textId="77777777" w:rsidTr="00D85EB3">
        <w:trPr>
          <w:cnfStyle w:val="100000000000" w:firstRow="1" w:lastRow="0" w:firstColumn="0" w:lastColumn="0" w:oddVBand="0" w:evenVBand="0" w:oddHBand="0" w:evenHBand="0" w:firstRowFirstColumn="0" w:firstRowLastColumn="0" w:lastRowFirstColumn="0" w:lastRowLastColumn="0"/>
        </w:trPr>
        <w:tc>
          <w:tcPr>
            <w:tcW w:w="6860" w:type="dxa"/>
          </w:tcPr>
          <w:p w14:paraId="236CBEBC" w14:textId="169A6DDF" w:rsidR="00C07955" w:rsidRPr="00C07955" w:rsidRDefault="00C07955" w:rsidP="00082559">
            <w:pPr>
              <w:pStyle w:val="SCVbody"/>
              <w:rPr>
                <w:b/>
                <w:bCs/>
                <w:color w:val="007586" w:themeColor="text2"/>
                <w:lang w:eastAsia="en-AU"/>
              </w:rPr>
            </w:pPr>
            <w:r>
              <w:rPr>
                <w:b/>
                <w:bCs/>
                <w:color w:val="007586" w:themeColor="text2"/>
                <w:lang w:eastAsia="en-AU"/>
              </w:rPr>
              <w:t>Lesson learnt</w:t>
            </w:r>
          </w:p>
        </w:tc>
        <w:tc>
          <w:tcPr>
            <w:tcW w:w="3288" w:type="dxa"/>
            <w:vAlign w:val="center"/>
          </w:tcPr>
          <w:p w14:paraId="1DDDFB48" w14:textId="1FC273C1" w:rsidR="00C07955" w:rsidRPr="00C07955" w:rsidRDefault="00C07955" w:rsidP="007F4F90">
            <w:pPr>
              <w:pStyle w:val="SCVbody"/>
              <w:jc w:val="right"/>
              <w:rPr>
                <w:b/>
                <w:bCs/>
                <w:color w:val="007586" w:themeColor="text2"/>
                <w:lang w:eastAsia="en-AU"/>
              </w:rPr>
            </w:pPr>
            <w:r>
              <w:rPr>
                <w:b/>
                <w:bCs/>
                <w:color w:val="007586" w:themeColor="text2"/>
                <w:lang w:eastAsia="en-AU"/>
              </w:rPr>
              <w:t>Percentage (%)</w:t>
            </w:r>
          </w:p>
        </w:tc>
      </w:tr>
      <w:tr w:rsidR="00C07955" w14:paraId="6401023F" w14:textId="77777777" w:rsidTr="00D85EB3">
        <w:tc>
          <w:tcPr>
            <w:tcW w:w="6860" w:type="dxa"/>
          </w:tcPr>
          <w:p w14:paraId="095BD9F5" w14:textId="1A61AE19" w:rsidR="00C07955" w:rsidRPr="007F4F90" w:rsidRDefault="00C07955" w:rsidP="00082559">
            <w:pPr>
              <w:pStyle w:val="SCVbody"/>
              <w:rPr>
                <w:b/>
                <w:bCs/>
                <w:color w:val="007586" w:themeColor="text2"/>
                <w:lang w:eastAsia="en-AU"/>
              </w:rPr>
            </w:pPr>
            <w:r w:rsidRPr="007F4F90">
              <w:rPr>
                <w:b/>
                <w:bCs/>
                <w:color w:val="007586" w:themeColor="text2"/>
                <w:lang w:eastAsia="en-AU"/>
              </w:rPr>
              <w:t>Teamwork factors</w:t>
            </w:r>
          </w:p>
        </w:tc>
        <w:tc>
          <w:tcPr>
            <w:tcW w:w="3288" w:type="dxa"/>
            <w:vAlign w:val="center"/>
          </w:tcPr>
          <w:p w14:paraId="23C552AA" w14:textId="0DEADA6A" w:rsidR="00C07955" w:rsidRDefault="0084166E" w:rsidP="007F4F90">
            <w:pPr>
              <w:pStyle w:val="SCVbody"/>
              <w:jc w:val="right"/>
              <w:rPr>
                <w:lang w:eastAsia="en-AU"/>
              </w:rPr>
            </w:pPr>
            <w:r>
              <w:rPr>
                <w:lang w:eastAsia="en-AU"/>
              </w:rPr>
              <w:t>24</w:t>
            </w:r>
          </w:p>
        </w:tc>
      </w:tr>
      <w:tr w:rsidR="00C07955" w14:paraId="069EFD95" w14:textId="77777777" w:rsidTr="00D85EB3">
        <w:tc>
          <w:tcPr>
            <w:tcW w:w="6860" w:type="dxa"/>
          </w:tcPr>
          <w:p w14:paraId="15C01776" w14:textId="5CB42FD8" w:rsidR="00C07955" w:rsidRPr="007F4F90" w:rsidRDefault="00C07955" w:rsidP="00082559">
            <w:pPr>
              <w:pStyle w:val="SCVbody"/>
              <w:rPr>
                <w:b/>
                <w:bCs/>
                <w:color w:val="007586" w:themeColor="text2"/>
                <w:lang w:eastAsia="en-AU"/>
              </w:rPr>
            </w:pPr>
            <w:r w:rsidRPr="007F4F90">
              <w:rPr>
                <w:b/>
                <w:bCs/>
                <w:color w:val="007586" w:themeColor="text2"/>
                <w:lang w:eastAsia="en-AU"/>
              </w:rPr>
              <w:t>Staff factors</w:t>
            </w:r>
          </w:p>
        </w:tc>
        <w:tc>
          <w:tcPr>
            <w:tcW w:w="3288" w:type="dxa"/>
            <w:vAlign w:val="center"/>
          </w:tcPr>
          <w:p w14:paraId="0550C4EA" w14:textId="289CA523" w:rsidR="00C07955" w:rsidRDefault="0084166E" w:rsidP="007F4F90">
            <w:pPr>
              <w:pStyle w:val="SCVbody"/>
              <w:jc w:val="right"/>
              <w:rPr>
                <w:lang w:eastAsia="en-AU"/>
              </w:rPr>
            </w:pPr>
            <w:r>
              <w:rPr>
                <w:lang w:eastAsia="en-AU"/>
              </w:rPr>
              <w:t>23</w:t>
            </w:r>
          </w:p>
        </w:tc>
      </w:tr>
      <w:tr w:rsidR="00C07955" w14:paraId="27E243D0" w14:textId="77777777" w:rsidTr="00D85EB3">
        <w:tc>
          <w:tcPr>
            <w:tcW w:w="6860" w:type="dxa"/>
          </w:tcPr>
          <w:p w14:paraId="1C72F5ED" w14:textId="698714BE" w:rsidR="00C07955" w:rsidRPr="007F4F90" w:rsidRDefault="00C07955" w:rsidP="00082559">
            <w:pPr>
              <w:pStyle w:val="SCVbody"/>
              <w:rPr>
                <w:b/>
                <w:bCs/>
                <w:color w:val="007586" w:themeColor="text2"/>
                <w:lang w:eastAsia="en-AU"/>
              </w:rPr>
            </w:pPr>
            <w:r w:rsidRPr="007F4F90">
              <w:rPr>
                <w:b/>
                <w:bCs/>
                <w:color w:val="007586" w:themeColor="text2"/>
                <w:lang w:eastAsia="en-AU"/>
              </w:rPr>
              <w:t>Procedures and guidelines</w:t>
            </w:r>
          </w:p>
        </w:tc>
        <w:tc>
          <w:tcPr>
            <w:tcW w:w="3288" w:type="dxa"/>
            <w:vAlign w:val="center"/>
          </w:tcPr>
          <w:p w14:paraId="015152CD" w14:textId="3EBB1BD1" w:rsidR="00C07955" w:rsidRDefault="0084166E" w:rsidP="007F4F90">
            <w:pPr>
              <w:pStyle w:val="SCVbody"/>
              <w:jc w:val="right"/>
              <w:rPr>
                <w:lang w:eastAsia="en-AU"/>
              </w:rPr>
            </w:pPr>
            <w:r>
              <w:rPr>
                <w:lang w:eastAsia="en-AU"/>
              </w:rPr>
              <w:t>18</w:t>
            </w:r>
          </w:p>
        </w:tc>
      </w:tr>
      <w:tr w:rsidR="00C07955" w14:paraId="16E65302" w14:textId="77777777" w:rsidTr="00D85EB3">
        <w:tc>
          <w:tcPr>
            <w:tcW w:w="6860" w:type="dxa"/>
          </w:tcPr>
          <w:p w14:paraId="2E504507" w14:textId="29538235" w:rsidR="00C07955" w:rsidRPr="007F4F90" w:rsidRDefault="00C07955" w:rsidP="00082559">
            <w:pPr>
              <w:pStyle w:val="SCVbody"/>
              <w:rPr>
                <w:b/>
                <w:bCs/>
                <w:color w:val="007586" w:themeColor="text2"/>
                <w:lang w:eastAsia="en-AU"/>
              </w:rPr>
            </w:pPr>
            <w:r w:rsidRPr="007F4F90">
              <w:rPr>
                <w:b/>
                <w:bCs/>
                <w:color w:val="007586" w:themeColor="text2"/>
                <w:lang w:eastAsia="en-AU"/>
              </w:rPr>
              <w:t>Documentation, assessment and decision support</w:t>
            </w:r>
          </w:p>
        </w:tc>
        <w:tc>
          <w:tcPr>
            <w:tcW w:w="3288" w:type="dxa"/>
            <w:vAlign w:val="center"/>
          </w:tcPr>
          <w:p w14:paraId="5874E0F1" w14:textId="12213ADC" w:rsidR="00C07955" w:rsidRDefault="0084166E" w:rsidP="007F4F90">
            <w:pPr>
              <w:pStyle w:val="SCVbody"/>
              <w:jc w:val="right"/>
              <w:rPr>
                <w:lang w:eastAsia="en-AU"/>
              </w:rPr>
            </w:pPr>
            <w:r>
              <w:rPr>
                <w:lang w:eastAsia="en-AU"/>
              </w:rPr>
              <w:t>10</w:t>
            </w:r>
          </w:p>
        </w:tc>
      </w:tr>
      <w:tr w:rsidR="00C07955" w14:paraId="2A91F1A3" w14:textId="77777777" w:rsidTr="00D85EB3">
        <w:tc>
          <w:tcPr>
            <w:tcW w:w="6860" w:type="dxa"/>
          </w:tcPr>
          <w:p w14:paraId="1D0B409B" w14:textId="2FBEB096" w:rsidR="00C07955" w:rsidRPr="007F4F90" w:rsidRDefault="00BF1343" w:rsidP="00082559">
            <w:pPr>
              <w:pStyle w:val="SCVbody"/>
              <w:rPr>
                <w:b/>
                <w:bCs/>
                <w:color w:val="007586" w:themeColor="text2"/>
                <w:lang w:eastAsia="en-AU"/>
              </w:rPr>
            </w:pPr>
            <w:r w:rsidRPr="007F4F90">
              <w:rPr>
                <w:b/>
                <w:bCs/>
                <w:color w:val="007586" w:themeColor="text2"/>
                <w:lang w:eastAsia="en-AU"/>
              </w:rPr>
              <w:t>Systems and processes</w:t>
            </w:r>
          </w:p>
        </w:tc>
        <w:tc>
          <w:tcPr>
            <w:tcW w:w="3288" w:type="dxa"/>
            <w:vAlign w:val="center"/>
          </w:tcPr>
          <w:p w14:paraId="53BA3BB8" w14:textId="1FDBC9FD" w:rsidR="00C07955" w:rsidRDefault="0084166E" w:rsidP="007F4F90">
            <w:pPr>
              <w:pStyle w:val="SCVbody"/>
              <w:jc w:val="right"/>
              <w:rPr>
                <w:lang w:eastAsia="en-AU"/>
              </w:rPr>
            </w:pPr>
            <w:r>
              <w:rPr>
                <w:lang w:eastAsia="en-AU"/>
              </w:rPr>
              <w:t>4</w:t>
            </w:r>
          </w:p>
        </w:tc>
      </w:tr>
    </w:tbl>
    <w:p w14:paraId="4FFFBBF0" w14:textId="77777777" w:rsidR="0098332E" w:rsidRDefault="0098332E" w:rsidP="0098332E">
      <w:pPr>
        <w:pStyle w:val="Heading3"/>
      </w:pPr>
      <w:r w:rsidRPr="00834EF2">
        <w:t>Guidance for health services</w:t>
      </w:r>
      <w:r>
        <w:rPr>
          <w:rFonts w:eastAsia="Arial"/>
          <w:color w:val="000000" w:themeColor="text1"/>
        </w:rPr>
        <w:t xml:space="preserve"> </w:t>
      </w:r>
      <w:r w:rsidRPr="003112D3">
        <w:t>to inform continuous improvement</w:t>
      </w:r>
      <w:r>
        <w:t xml:space="preserve"> in surgical and procedural care</w:t>
      </w:r>
    </w:p>
    <w:p w14:paraId="20D9B670" w14:textId="77777777" w:rsidR="0098332E" w:rsidRDefault="0098332E" w:rsidP="0098332E">
      <w:pPr>
        <w:pStyle w:val="SCVbody"/>
      </w:pPr>
      <w:r>
        <w:t>SCV’s analysis</w:t>
      </w:r>
      <w:r w:rsidRPr="002D200F">
        <w:t xml:space="preserve"> of surgical and procedural sentinel events in 2024–25 identified several recurring system issues and opportunities to strengthen safety across the surgical care journey. </w:t>
      </w:r>
    </w:p>
    <w:p w14:paraId="5B38AEC4" w14:textId="77777777" w:rsidR="0098332E" w:rsidRPr="00C56A98" w:rsidRDefault="0098332E" w:rsidP="0098332E">
      <w:pPr>
        <w:pStyle w:val="SCVbody"/>
      </w:pPr>
      <w:r w:rsidRPr="002D200F">
        <w:lastRenderedPageBreak/>
        <w:t>While the clinical circumstances varied, common themes highlighted the need for reliable systems to support early recognition and response to deterioration, effective multidisciplinary decision-making and clear communication across all stages of care</w:t>
      </w:r>
      <w:r>
        <w:t xml:space="preserve">. </w:t>
      </w:r>
    </w:p>
    <w:p w14:paraId="28958B5E" w14:textId="77777777" w:rsidR="0098332E" w:rsidRPr="008671DB" w:rsidRDefault="0098332E" w:rsidP="0098332E">
      <w:pPr>
        <w:spacing w:before="240" w:after="240"/>
        <w:rPr>
          <w:rFonts w:asciiTheme="majorHAnsi" w:eastAsia="Aptos" w:hAnsiTheme="majorHAnsi" w:cstheme="majorBidi"/>
          <w:sz w:val="24"/>
          <w:szCs w:val="24"/>
        </w:rPr>
      </w:pPr>
      <w:r w:rsidRPr="00834EF2">
        <w:rPr>
          <w:rFonts w:asciiTheme="majorHAnsi" w:eastAsia="Aptos" w:hAnsiTheme="majorHAnsi" w:cstheme="majorBidi"/>
          <w:bCs/>
          <w:sz w:val="24"/>
          <w:szCs w:val="24"/>
        </w:rPr>
        <w:t>The</w:t>
      </w:r>
      <w:r w:rsidRPr="3E45D29F">
        <w:rPr>
          <w:rFonts w:asciiTheme="majorHAnsi" w:eastAsia="Aptos" w:hAnsiTheme="majorHAnsi" w:cstheme="majorBidi"/>
          <w:b/>
          <w:sz w:val="24"/>
          <w:szCs w:val="24"/>
        </w:rPr>
        <w:t xml:space="preserve"> </w:t>
      </w:r>
      <w:r w:rsidRPr="003432A8">
        <w:rPr>
          <w:rFonts w:asciiTheme="majorHAnsi" w:eastAsia="Aptos" w:hAnsiTheme="majorHAnsi" w:cstheme="majorBidi"/>
          <w:b/>
          <w:color w:val="007586" w:themeColor="text2"/>
          <w:sz w:val="24"/>
          <w:szCs w:val="24"/>
        </w:rPr>
        <w:t xml:space="preserve">top 3 themes </w:t>
      </w:r>
      <w:r>
        <w:rPr>
          <w:rFonts w:asciiTheme="majorHAnsi" w:eastAsia="Aptos" w:hAnsiTheme="majorHAnsi" w:cstheme="majorBidi"/>
          <w:bCs/>
          <w:sz w:val="24"/>
          <w:szCs w:val="24"/>
        </w:rPr>
        <w:t>are</w:t>
      </w:r>
      <w:r w:rsidRPr="00D473DF">
        <w:rPr>
          <w:rFonts w:asciiTheme="majorHAnsi" w:eastAsia="Aptos" w:hAnsiTheme="majorHAnsi" w:cstheme="majorBidi"/>
          <w:bCs/>
          <w:sz w:val="24"/>
          <w:szCs w:val="24"/>
        </w:rPr>
        <w:t>:</w:t>
      </w:r>
    </w:p>
    <w:p w14:paraId="0C1059C9" w14:textId="77777777" w:rsidR="0098332E" w:rsidRPr="00C56A98" w:rsidRDefault="0098332E" w:rsidP="0098332E">
      <w:pPr>
        <w:pStyle w:val="SCVbullet1"/>
      </w:pPr>
      <w:r w:rsidRPr="003432A8">
        <w:rPr>
          <w:b/>
          <w:bCs/>
          <w:color w:val="007586" w:themeColor="text2"/>
        </w:rPr>
        <w:t>Missed early recognition and management of complications:</w:t>
      </w:r>
      <w:r>
        <w:t xml:space="preserve"> This</w:t>
      </w:r>
      <w:r w:rsidDel="2509DD98">
        <w:t xml:space="preserve"> </w:t>
      </w:r>
      <w:r>
        <w:t xml:space="preserve">includes missed recognition or response to patient deterioration or a delayed escalation to senior staff. </w:t>
      </w:r>
    </w:p>
    <w:p w14:paraId="6A51362E" w14:textId="77777777" w:rsidR="0098332E" w:rsidRPr="002E001E" w:rsidRDefault="0098332E" w:rsidP="0098332E">
      <w:pPr>
        <w:pStyle w:val="SCVbullet1"/>
      </w:pPr>
      <w:r w:rsidRPr="003432A8">
        <w:rPr>
          <w:b/>
          <w:bCs/>
          <w:color w:val="007586" w:themeColor="text2"/>
        </w:rPr>
        <w:t xml:space="preserve">Non-adherence to protocols, policies, procedures or pathways: </w:t>
      </w:r>
      <w:r>
        <w:t>Safety processes were in place but were not reliably followed. This includes missed referrals, outpatient follow-up and reviews of pathology results.</w:t>
      </w:r>
    </w:p>
    <w:p w14:paraId="48986B76" w14:textId="77777777" w:rsidR="0098332E" w:rsidRPr="004A2713" w:rsidRDefault="0098332E" w:rsidP="0098332E">
      <w:pPr>
        <w:pStyle w:val="SCVbullet1"/>
      </w:pPr>
      <w:r w:rsidRPr="003432A8">
        <w:rPr>
          <w:b/>
          <w:bCs/>
          <w:color w:val="007586" w:themeColor="text2"/>
        </w:rPr>
        <w:t>Communication and handover:</w:t>
      </w:r>
      <w:r w:rsidRPr="003432A8">
        <w:rPr>
          <w:rFonts w:eastAsiaTheme="minorEastAsia"/>
          <w:color w:val="007586" w:themeColor="text2"/>
        </w:rPr>
        <w:t xml:space="preserve"> </w:t>
      </w:r>
      <w:r w:rsidRPr="58585605">
        <w:rPr>
          <w:rFonts w:eastAsiaTheme="minorEastAsia"/>
        </w:rPr>
        <w:t>Critical information was not consistently transferred, synthesised or acted on across teams and care settings.</w:t>
      </w:r>
    </w:p>
    <w:p w14:paraId="6437CB53" w14:textId="77777777" w:rsidR="004A2713" w:rsidRPr="007C7D95" w:rsidRDefault="004A2713" w:rsidP="004A2713">
      <w:pPr>
        <w:pStyle w:val="Heading4"/>
        <w:spacing w:before="319" w:after="160"/>
        <w:rPr>
          <w:rFonts w:eastAsia="Aptos"/>
          <w:color w:val="004C97" w:themeColor="accent4"/>
        </w:rPr>
      </w:pPr>
      <w:r w:rsidRPr="007C7D95">
        <w:rPr>
          <w:rFonts w:eastAsia="Aptos"/>
          <w:color w:val="004C97" w:themeColor="accent4"/>
        </w:rPr>
        <w:t>Delays in recognising or escalating clinical deterioration</w:t>
      </w:r>
    </w:p>
    <w:p w14:paraId="4B801FFE" w14:textId="77777777" w:rsidR="004A2713" w:rsidRPr="0057201C" w:rsidRDefault="004A2713" w:rsidP="004A2713">
      <w:pPr>
        <w:pStyle w:val="SCVbody"/>
        <w:numPr>
          <w:ilvl w:val="0"/>
          <w:numId w:val="217"/>
        </w:numPr>
      </w:pPr>
      <w:r>
        <w:t xml:space="preserve">Several sentinel events involved delayed recognition or escalation of clinical deterioration in the perioperative or post-procedural period. In these cases, early physiological warning signs or evolving symptoms were present but were not recognised as indicators of serious illness or were not escalated in a timely manner. </w:t>
      </w:r>
    </w:p>
    <w:p w14:paraId="0D58423F" w14:textId="77777777" w:rsidR="004A2713" w:rsidRDefault="004A2713" w:rsidP="004A2713">
      <w:pPr>
        <w:pStyle w:val="SCVbody"/>
        <w:spacing w:line="300" w:lineRule="auto"/>
      </w:pPr>
      <w:r>
        <w:t xml:space="preserve">Health services should continue to reinforce the consistent use of deterioration recognition systems and escalation pathways for surgical patients – for example: </w:t>
      </w:r>
    </w:p>
    <w:p w14:paraId="0DF21EBE" w14:textId="77777777" w:rsidR="004A2713" w:rsidRPr="00EE55D1" w:rsidRDefault="004A2713" w:rsidP="004A2713">
      <w:pPr>
        <w:pStyle w:val="SCVbullet1"/>
      </w:pPr>
      <w:r>
        <w:t>reviewing track and trigger charts that help support clinical decision-making</w:t>
      </w:r>
    </w:p>
    <w:p w14:paraId="1C9206D0" w14:textId="77777777" w:rsidR="004A2713" w:rsidRPr="00EE55D1" w:rsidRDefault="004A2713" w:rsidP="004A2713">
      <w:pPr>
        <w:pStyle w:val="SCVbullet1"/>
      </w:pPr>
      <w:r>
        <w:t>ensuring clear policies for transferring</w:t>
      </w:r>
      <w:r w:rsidDel="00EE55D1">
        <w:t xml:space="preserve"> </w:t>
      </w:r>
      <w:r>
        <w:t xml:space="preserve">care </w:t>
      </w:r>
    </w:p>
    <w:p w14:paraId="291C1E59" w14:textId="77777777" w:rsidR="004A2713" w:rsidRDefault="004A2713" w:rsidP="004A2713">
      <w:pPr>
        <w:pStyle w:val="SCVbullet1"/>
        <w:rPr>
          <w:rFonts w:eastAsiaTheme="minorEastAsia"/>
        </w:rPr>
      </w:pPr>
      <w:r>
        <w:t>initiating appropriate responses to patient and carer escalation.</w:t>
      </w:r>
      <w:r w:rsidRPr="4C571435">
        <w:rPr>
          <w:rFonts w:eastAsiaTheme="minorEastAsia"/>
        </w:rPr>
        <w:t xml:space="preserve"> </w:t>
      </w:r>
    </w:p>
    <w:p w14:paraId="36C50C6E" w14:textId="77777777" w:rsidR="004A2713" w:rsidRPr="007C7D95" w:rsidRDefault="004A2713" w:rsidP="004A2713">
      <w:pPr>
        <w:pStyle w:val="Heading4"/>
        <w:spacing w:before="319" w:after="160"/>
        <w:rPr>
          <w:rFonts w:eastAsia="Aptos"/>
          <w:color w:val="004C97" w:themeColor="accent4"/>
        </w:rPr>
      </w:pPr>
      <w:r w:rsidRPr="007C7D95">
        <w:rPr>
          <w:rFonts w:eastAsia="Aptos"/>
          <w:color w:val="004C97" w:themeColor="accent4"/>
        </w:rPr>
        <w:t>Ensuring reliable perioperative safety processes are embedded in practice</w:t>
      </w:r>
    </w:p>
    <w:p w14:paraId="407AB878" w14:textId="77777777" w:rsidR="004A2713" w:rsidRPr="005C6258" w:rsidRDefault="004A2713" w:rsidP="004A2713">
      <w:pPr>
        <w:pStyle w:val="SCVbody"/>
      </w:pPr>
      <w:r>
        <w:t>Inconsistently adopting established perioperative safety processes was consistently identified across reviews, including:</w:t>
      </w:r>
    </w:p>
    <w:p w14:paraId="3F03ABA3" w14:textId="77777777" w:rsidR="004A2713" w:rsidRPr="005C6258" w:rsidRDefault="004A2713" w:rsidP="004A2713">
      <w:pPr>
        <w:pStyle w:val="SCVbody"/>
        <w:numPr>
          <w:ilvl w:val="0"/>
          <w:numId w:val="187"/>
        </w:numPr>
      </w:pPr>
      <w:r>
        <w:t>verifying</w:t>
      </w:r>
      <w:r w:rsidRPr="005C6258">
        <w:t xml:space="preserve"> and </w:t>
      </w:r>
      <w:r>
        <w:t>documenting</w:t>
      </w:r>
      <w:r w:rsidRPr="005C6258">
        <w:t xml:space="preserve"> patient or next</w:t>
      </w:r>
      <w:r>
        <w:t>-</w:t>
      </w:r>
      <w:r w:rsidRPr="005C6258">
        <w:t>of</w:t>
      </w:r>
      <w:r>
        <w:t>-</w:t>
      </w:r>
      <w:r w:rsidRPr="005C6258">
        <w:t xml:space="preserve">kin consent </w:t>
      </w:r>
    </w:p>
    <w:p w14:paraId="0ADC501A" w14:textId="77777777" w:rsidR="004A2713" w:rsidRPr="005C6258" w:rsidRDefault="004A2713" w:rsidP="004A2713">
      <w:pPr>
        <w:pStyle w:val="SCVbody"/>
        <w:numPr>
          <w:ilvl w:val="0"/>
          <w:numId w:val="187"/>
        </w:numPr>
      </w:pPr>
      <w:r>
        <w:t>implementing airway</w:t>
      </w:r>
      <w:r w:rsidRPr="005C6258">
        <w:t xml:space="preserve"> management practices </w:t>
      </w:r>
    </w:p>
    <w:p w14:paraId="40F9BEA7" w14:textId="77777777" w:rsidR="004A2713" w:rsidRPr="005C6258" w:rsidRDefault="004A2713" w:rsidP="004A2713">
      <w:pPr>
        <w:pStyle w:val="SCVbody"/>
        <w:numPr>
          <w:ilvl w:val="0"/>
          <w:numId w:val="187"/>
        </w:numPr>
      </w:pPr>
      <w:r>
        <w:t>ensuring medication</w:t>
      </w:r>
      <w:r w:rsidRPr="005C6258">
        <w:t xml:space="preserve"> administration safeguards </w:t>
      </w:r>
    </w:p>
    <w:p w14:paraId="4813D1E7" w14:textId="77777777" w:rsidR="004A2713" w:rsidRPr="005C6258" w:rsidRDefault="004A2713" w:rsidP="004A2713">
      <w:pPr>
        <w:pStyle w:val="SCVbody"/>
        <w:numPr>
          <w:ilvl w:val="0"/>
          <w:numId w:val="187"/>
        </w:numPr>
      </w:pPr>
      <w:r>
        <w:t>adding in surgical</w:t>
      </w:r>
      <w:r w:rsidRPr="005C6258">
        <w:t xml:space="preserve"> time-out procedures </w:t>
      </w:r>
    </w:p>
    <w:p w14:paraId="3B685E77" w14:textId="77777777" w:rsidR="004A2713" w:rsidRPr="005C6258" w:rsidRDefault="004A2713" w:rsidP="004A2713">
      <w:pPr>
        <w:pStyle w:val="SCVbody"/>
        <w:numPr>
          <w:ilvl w:val="0"/>
          <w:numId w:val="187"/>
        </w:numPr>
      </w:pPr>
      <w:r>
        <w:t>following postoperative</w:t>
      </w:r>
      <w:r w:rsidRPr="005C6258">
        <w:t xml:space="preserve"> monitoring requirements</w:t>
      </w:r>
      <w:r>
        <w:t>.</w:t>
      </w:r>
    </w:p>
    <w:p w14:paraId="78A97C2B" w14:textId="77777777" w:rsidR="00BA15DE" w:rsidRPr="00C56A98" w:rsidRDefault="00BA15DE" w:rsidP="00BA15DE">
      <w:pPr>
        <w:pStyle w:val="SCVbodyafterheading"/>
      </w:pPr>
      <w:r w:rsidRPr="00714E1E">
        <w:lastRenderedPageBreak/>
        <w:t xml:space="preserve">Simulation training helps </w:t>
      </w:r>
      <w:r>
        <w:t>embed these safety-critical processes into routine. Preparing as a multidisciplinary team i</w:t>
      </w:r>
      <w:r w:rsidRPr="2A7E49BC">
        <w:rPr>
          <w:rFonts w:eastAsiaTheme="minorEastAsia"/>
        </w:rPr>
        <w:t>s essential to improving reliability and reducing risk.</w:t>
      </w:r>
      <w:r>
        <w:t xml:space="preserve"> </w:t>
      </w:r>
    </w:p>
    <w:p w14:paraId="190D7236" w14:textId="77777777" w:rsidR="00BA15DE" w:rsidRPr="007C7D95" w:rsidRDefault="00BA15DE" w:rsidP="00BA15DE">
      <w:pPr>
        <w:pStyle w:val="Heading4"/>
        <w:spacing w:before="319" w:after="160"/>
        <w:rPr>
          <w:rFonts w:eastAsia="Aptos"/>
          <w:color w:val="004C97" w:themeColor="accent4"/>
        </w:rPr>
      </w:pPr>
      <w:r w:rsidRPr="007C7D95">
        <w:rPr>
          <w:rFonts w:eastAsia="Aptos"/>
          <w:color w:val="004C97" w:themeColor="accent4"/>
        </w:rPr>
        <w:t xml:space="preserve">Strengthening preoperative assessment and multidisciplinary planning </w:t>
      </w:r>
    </w:p>
    <w:p w14:paraId="33E34D5F" w14:textId="77777777" w:rsidR="00BA15DE" w:rsidRDefault="00BA15DE" w:rsidP="00BA15DE">
      <w:pPr>
        <w:pStyle w:val="SCVbody"/>
      </w:pPr>
      <w:r>
        <w:t>This year’s sentinel events highlighted opportunities</w:t>
      </w:r>
      <w:r w:rsidRPr="00C56A98" w:rsidDel="00714E1E">
        <w:t xml:space="preserve"> </w:t>
      </w:r>
      <w:r w:rsidRPr="00C56A98">
        <w:t>to strengthen preoperative assessment and planning for complex patients</w:t>
      </w:r>
      <w:r w:rsidRPr="00A758B9">
        <w:t>, including:</w:t>
      </w:r>
    </w:p>
    <w:p w14:paraId="1CB995B9" w14:textId="77777777" w:rsidR="007F7339" w:rsidRPr="00A758B9" w:rsidRDefault="007F7339" w:rsidP="007F7339">
      <w:pPr>
        <w:pStyle w:val="SCVbody"/>
        <w:numPr>
          <w:ilvl w:val="0"/>
          <w:numId w:val="188"/>
        </w:numPr>
      </w:pPr>
      <w:r>
        <w:t>early</w:t>
      </w:r>
      <w:r w:rsidRPr="00A758B9">
        <w:t xml:space="preserve"> multidisciplinary </w:t>
      </w:r>
      <w:r>
        <w:t>meetings</w:t>
      </w:r>
      <w:r w:rsidRPr="00A758B9">
        <w:t xml:space="preserve"> to support coordinated care planning </w:t>
      </w:r>
    </w:p>
    <w:p w14:paraId="16B19182" w14:textId="77777777" w:rsidR="007F7339" w:rsidRPr="00A758B9" w:rsidRDefault="007F7339" w:rsidP="007F7339">
      <w:pPr>
        <w:pStyle w:val="SCVbody"/>
        <w:numPr>
          <w:ilvl w:val="0"/>
          <w:numId w:val="188"/>
        </w:numPr>
      </w:pPr>
      <w:r>
        <w:t>reviewing a</w:t>
      </w:r>
      <w:r w:rsidDel="00714E1E">
        <w:t xml:space="preserve"> </w:t>
      </w:r>
      <w:r>
        <w:t>patient’s clinical history</w:t>
      </w:r>
    </w:p>
    <w:p w14:paraId="3527DDA7" w14:textId="77777777" w:rsidR="007F7339" w:rsidRPr="00A758B9" w:rsidRDefault="007F7339" w:rsidP="007F7339">
      <w:pPr>
        <w:pStyle w:val="SCVbody"/>
        <w:numPr>
          <w:ilvl w:val="0"/>
          <w:numId w:val="188"/>
        </w:numPr>
      </w:pPr>
      <w:r>
        <w:t>strengthening</w:t>
      </w:r>
      <w:r w:rsidRPr="00A758B9">
        <w:t xml:space="preserve"> informed consent processes to support shared decision-making </w:t>
      </w:r>
    </w:p>
    <w:p w14:paraId="556F16B3" w14:textId="77777777" w:rsidR="007F7339" w:rsidRPr="00A758B9" w:rsidRDefault="007F7339" w:rsidP="007F7339">
      <w:pPr>
        <w:pStyle w:val="SCVbody"/>
        <w:numPr>
          <w:ilvl w:val="0"/>
          <w:numId w:val="188"/>
        </w:numPr>
      </w:pPr>
      <w:r>
        <w:t>clearly discussing</w:t>
      </w:r>
      <w:r w:rsidRPr="00A758B9">
        <w:t xml:space="preserve"> risks, benefits and treatment options, including non-surgical alternatives </w:t>
      </w:r>
    </w:p>
    <w:p w14:paraId="21C6B25D" w14:textId="77777777" w:rsidR="007F7339" w:rsidRPr="00A758B9" w:rsidRDefault="007F7339" w:rsidP="007F7339">
      <w:pPr>
        <w:pStyle w:val="SCVbody"/>
        <w:numPr>
          <w:ilvl w:val="0"/>
          <w:numId w:val="188"/>
        </w:numPr>
      </w:pPr>
      <w:r>
        <w:t>supporting</w:t>
      </w:r>
      <w:r w:rsidRPr="00A758B9">
        <w:t xml:space="preserve"> appropriate patient and family expectations </w:t>
      </w:r>
      <w:r>
        <w:t>before</w:t>
      </w:r>
      <w:r w:rsidRPr="00A758B9">
        <w:t xml:space="preserve"> surgery </w:t>
      </w:r>
    </w:p>
    <w:p w14:paraId="5EB54B63" w14:textId="77777777" w:rsidR="007F7339" w:rsidRPr="00A758B9" w:rsidRDefault="007F7339" w:rsidP="007F7339">
      <w:pPr>
        <w:pStyle w:val="SCVbody"/>
        <w:numPr>
          <w:ilvl w:val="0"/>
          <w:numId w:val="188"/>
        </w:numPr>
      </w:pPr>
      <w:r>
        <w:t>better coordinating</w:t>
      </w:r>
      <w:r w:rsidRPr="00A758B9">
        <w:t xml:space="preserve"> perioperative care for high-risk patients </w:t>
      </w:r>
    </w:p>
    <w:p w14:paraId="6C19F83E" w14:textId="77777777" w:rsidR="007F7339" w:rsidRPr="00A758B9" w:rsidRDefault="007F7339" w:rsidP="007F7339">
      <w:pPr>
        <w:pStyle w:val="SCVbody"/>
        <w:numPr>
          <w:ilvl w:val="0"/>
          <w:numId w:val="188"/>
        </w:numPr>
      </w:pPr>
      <w:r>
        <w:t xml:space="preserve">having a physician with expertise in perioperative medicine assess and discuss all treatment options for: </w:t>
      </w:r>
    </w:p>
    <w:p w14:paraId="3B555637" w14:textId="77777777" w:rsidR="007F7339" w:rsidRPr="00A758B9" w:rsidRDefault="007F7339" w:rsidP="007F7339">
      <w:pPr>
        <w:pStyle w:val="SCVbody"/>
        <w:numPr>
          <w:ilvl w:val="1"/>
          <w:numId w:val="188"/>
        </w:numPr>
      </w:pPr>
      <w:r>
        <w:t>elderly patients</w:t>
      </w:r>
    </w:p>
    <w:p w14:paraId="53D940D7" w14:textId="77777777" w:rsidR="007F7339" w:rsidRPr="00A758B9" w:rsidRDefault="007F7339" w:rsidP="007F7339">
      <w:pPr>
        <w:pStyle w:val="SCVbody"/>
        <w:numPr>
          <w:ilvl w:val="1"/>
          <w:numId w:val="188"/>
        </w:numPr>
      </w:pPr>
      <w:r>
        <w:t>patients</w:t>
      </w:r>
      <w:r w:rsidRPr="00A758B9">
        <w:t xml:space="preserve"> with significant comorbidities</w:t>
      </w:r>
      <w:r>
        <w:t>.</w:t>
      </w:r>
    </w:p>
    <w:p w14:paraId="50994F2C" w14:textId="77777777" w:rsidR="007F7339" w:rsidRPr="007C7D95" w:rsidRDefault="007F7339" w:rsidP="007F7339">
      <w:pPr>
        <w:pStyle w:val="Heading4"/>
        <w:spacing w:before="319" w:after="160"/>
        <w:rPr>
          <w:rFonts w:eastAsia="Aptos"/>
          <w:color w:val="004C97" w:themeColor="accent4"/>
        </w:rPr>
      </w:pPr>
      <w:r w:rsidRPr="007C7D95">
        <w:rPr>
          <w:rFonts w:eastAsia="Aptos"/>
          <w:color w:val="004C97" w:themeColor="accent4"/>
        </w:rPr>
        <w:t>Ensuring reliable communication and clinical handover</w:t>
      </w:r>
    </w:p>
    <w:p w14:paraId="247F275F" w14:textId="77777777" w:rsidR="007F7339" w:rsidRPr="008E5649" w:rsidRDefault="007F7339" w:rsidP="007F7339">
      <w:pPr>
        <w:pStyle w:val="SCVbody"/>
      </w:pPr>
      <w:r w:rsidRPr="008E5649">
        <w:t>Communication and handover failures between teams and services were a recurring theme, including:</w:t>
      </w:r>
    </w:p>
    <w:p w14:paraId="3D163FED" w14:textId="77777777" w:rsidR="007F7339" w:rsidRPr="008E5649" w:rsidRDefault="007F7339" w:rsidP="007F7339">
      <w:pPr>
        <w:pStyle w:val="SCVbody"/>
        <w:numPr>
          <w:ilvl w:val="0"/>
          <w:numId w:val="189"/>
        </w:numPr>
      </w:pPr>
      <w:r>
        <w:t>critical</w:t>
      </w:r>
      <w:r w:rsidRPr="008E5649">
        <w:t xml:space="preserve"> information relating to medication plans, comorbidities, diagnostic uncertainty and follow-up responsibilities not being reliably transferred between clinicians or care settings </w:t>
      </w:r>
    </w:p>
    <w:p w14:paraId="199F4DD4" w14:textId="77777777" w:rsidR="007F7339" w:rsidRPr="008E5649" w:rsidRDefault="007F7339" w:rsidP="007F7339">
      <w:pPr>
        <w:pStyle w:val="SCVbody"/>
        <w:numPr>
          <w:ilvl w:val="0"/>
          <w:numId w:val="189"/>
        </w:numPr>
      </w:pPr>
      <w:r>
        <w:t>delays</w:t>
      </w:r>
      <w:r w:rsidRPr="008E5649">
        <w:t xml:space="preserve"> in referrals, including oncology referrals </w:t>
      </w:r>
    </w:p>
    <w:p w14:paraId="0F79729E" w14:textId="77777777" w:rsidR="007F7339" w:rsidRPr="008E5649" w:rsidRDefault="007F7339" w:rsidP="007F7339">
      <w:pPr>
        <w:pStyle w:val="SCVbody"/>
        <w:numPr>
          <w:ilvl w:val="0"/>
          <w:numId w:val="189"/>
        </w:numPr>
      </w:pPr>
      <w:r>
        <w:t>missed</w:t>
      </w:r>
      <w:r w:rsidRPr="008E5649">
        <w:t xml:space="preserve"> or delayed outpatient follow-up </w:t>
      </w:r>
    </w:p>
    <w:p w14:paraId="412EDE81" w14:textId="77777777" w:rsidR="007F7339" w:rsidRPr="008E5649" w:rsidRDefault="007F7339" w:rsidP="007F7339">
      <w:pPr>
        <w:pStyle w:val="SCVbody"/>
        <w:numPr>
          <w:ilvl w:val="0"/>
          <w:numId w:val="189"/>
        </w:numPr>
      </w:pPr>
      <w:r>
        <w:t>delayed</w:t>
      </w:r>
      <w:r w:rsidRPr="008E5649">
        <w:t xml:space="preserve"> diagnostic interventions (for example, colonoscopy) </w:t>
      </w:r>
    </w:p>
    <w:p w14:paraId="3E1AE32A" w14:textId="77777777" w:rsidR="007F7339" w:rsidRPr="008E5649" w:rsidRDefault="007F7339" w:rsidP="007F7339">
      <w:pPr>
        <w:pStyle w:val="SCVbody"/>
        <w:numPr>
          <w:ilvl w:val="0"/>
          <w:numId w:val="189"/>
        </w:numPr>
      </w:pPr>
      <w:r>
        <w:t>failure</w:t>
      </w:r>
      <w:r w:rsidRPr="008E5649">
        <w:t xml:space="preserve"> to appropriately follow up one of multiple presenting conditions </w:t>
      </w:r>
    </w:p>
    <w:p w14:paraId="7133255D" w14:textId="77777777" w:rsidR="0030593F" w:rsidRPr="008E5649" w:rsidRDefault="0030593F" w:rsidP="0030593F">
      <w:pPr>
        <w:pStyle w:val="SCVbody"/>
        <w:numPr>
          <w:ilvl w:val="0"/>
          <w:numId w:val="189"/>
        </w:numPr>
      </w:pPr>
      <w:r>
        <w:t>missed opportunities</w:t>
      </w:r>
      <w:r w:rsidRPr="008E5649">
        <w:t xml:space="preserve"> to strengthen systems for clear and timely communication at critical transition points, including surgical time-out and transfer</w:t>
      </w:r>
      <w:r>
        <w:t>-</w:t>
      </w:r>
      <w:r w:rsidRPr="008E5649">
        <w:t>of</w:t>
      </w:r>
      <w:r>
        <w:t>-</w:t>
      </w:r>
      <w:r w:rsidRPr="008E5649">
        <w:t>care procedures</w:t>
      </w:r>
      <w:r>
        <w:t>.</w:t>
      </w:r>
    </w:p>
    <w:p w14:paraId="522D62EF" w14:textId="77777777" w:rsidR="0030593F" w:rsidRPr="00377A1F" w:rsidRDefault="0030593F" w:rsidP="0030593F">
      <w:pPr>
        <w:pStyle w:val="SCVbody"/>
      </w:pPr>
      <w:r>
        <w:lastRenderedPageBreak/>
        <w:t xml:space="preserve">The ACSQHC has published its </w:t>
      </w:r>
      <w:r w:rsidRPr="38E0ADBC">
        <w:rPr>
          <w:i/>
        </w:rPr>
        <w:t xml:space="preserve">Communicating for </w:t>
      </w:r>
      <w:r w:rsidRPr="38E0ADBC">
        <w:rPr>
          <w:i/>
          <w:iCs/>
        </w:rPr>
        <w:t>safety standard</w:t>
      </w:r>
      <w:r>
        <w:t>.</w:t>
      </w:r>
      <w:r w:rsidDel="00672DBC">
        <w:t xml:space="preserve"> </w:t>
      </w:r>
      <w:r>
        <w:t>This standard aims to ensure timely, purpose-driven and effective communication and documentation that supports continuous and coordinated care for consumers.</w:t>
      </w:r>
    </w:p>
    <w:p w14:paraId="3239584C" w14:textId="77777777" w:rsidR="0030593F" w:rsidRPr="007C7D95" w:rsidRDefault="0030593F" w:rsidP="0030593F">
      <w:pPr>
        <w:pStyle w:val="Heading4"/>
        <w:spacing w:before="319" w:after="160"/>
        <w:rPr>
          <w:rFonts w:eastAsia="Aptos"/>
          <w:color w:val="004C97" w:themeColor="accent4"/>
        </w:rPr>
      </w:pPr>
      <w:r w:rsidRPr="007C7D95">
        <w:rPr>
          <w:rFonts w:eastAsia="Aptos"/>
          <w:color w:val="004C97" w:themeColor="accent4"/>
        </w:rPr>
        <w:t>Strengthening system reliability in surgical care</w:t>
      </w:r>
    </w:p>
    <w:p w14:paraId="5CFD1D8B" w14:textId="77777777" w:rsidR="0030593F" w:rsidRDefault="0030593F" w:rsidP="0030593F">
      <w:pPr>
        <w:pStyle w:val="SCVbody"/>
      </w:pPr>
      <w:r>
        <w:t xml:space="preserve">SCV’s analysis reinforced the importance of system reliability in high-risk clinical environments by focusing on multidisciplinary collaboration, supported through: </w:t>
      </w:r>
    </w:p>
    <w:p w14:paraId="118CFFAD" w14:textId="77777777" w:rsidR="00F265EF" w:rsidRDefault="00F265EF" w:rsidP="00F265EF">
      <w:pPr>
        <w:pStyle w:val="SCVbullet1"/>
      </w:pPr>
      <w:r>
        <w:t>interdisciplinary training</w:t>
      </w:r>
    </w:p>
    <w:p w14:paraId="69394379" w14:textId="77777777" w:rsidR="00F265EF" w:rsidRDefault="00F265EF" w:rsidP="00F265EF">
      <w:pPr>
        <w:pStyle w:val="SCVbullet1"/>
      </w:pPr>
      <w:r>
        <w:t>reliable safety processes</w:t>
      </w:r>
    </w:p>
    <w:p w14:paraId="54DE5891" w14:textId="77777777" w:rsidR="00F265EF" w:rsidRDefault="00F265EF" w:rsidP="00F265EF">
      <w:pPr>
        <w:pStyle w:val="SCVbullet1"/>
      </w:pPr>
      <w:r>
        <w:t xml:space="preserve">embedding principals of safety culture </w:t>
      </w:r>
    </w:p>
    <w:p w14:paraId="70F883D2" w14:textId="77777777" w:rsidR="00F265EF" w:rsidRDefault="00F265EF" w:rsidP="00F265EF">
      <w:pPr>
        <w:pStyle w:val="SCVbullet1"/>
      </w:pPr>
      <w:r>
        <w:t xml:space="preserve">early escalation. </w:t>
      </w:r>
    </w:p>
    <w:p w14:paraId="08E604A1" w14:textId="77777777" w:rsidR="00F265EF" w:rsidRPr="00377A1F" w:rsidRDefault="00F265EF" w:rsidP="00F265EF">
      <w:pPr>
        <w:pStyle w:val="SCVbodyafterheading"/>
      </w:pPr>
      <w:r>
        <w:t>More focus on system reliability</w:t>
      </w:r>
      <w:r w:rsidDel="002E001E">
        <w:t xml:space="preserve"> </w:t>
      </w:r>
      <w:r>
        <w:t xml:space="preserve">will support health services to strengthen surgical safety and improve patient outcomes. </w:t>
      </w:r>
    </w:p>
    <w:p w14:paraId="7B4C5958" w14:textId="77777777" w:rsidR="00F265EF" w:rsidRPr="007C7D95" w:rsidRDefault="00F265EF" w:rsidP="00F265EF">
      <w:pPr>
        <w:pStyle w:val="Heading4"/>
        <w:spacing w:before="319" w:after="160"/>
        <w:rPr>
          <w:rFonts w:eastAsia="Aptos"/>
          <w:color w:val="004C97" w:themeColor="accent4"/>
        </w:rPr>
      </w:pPr>
      <w:r w:rsidRPr="007C7D95">
        <w:rPr>
          <w:rFonts w:eastAsia="Aptos"/>
          <w:color w:val="004C97" w:themeColor="accent4"/>
        </w:rPr>
        <w:t>Reporting</w:t>
      </w:r>
      <w:r w:rsidRPr="007C7D95" w:rsidDel="00714E1E">
        <w:rPr>
          <w:rFonts w:eastAsia="Aptos"/>
          <w:color w:val="004C97" w:themeColor="accent4"/>
        </w:rPr>
        <w:t xml:space="preserve"> </w:t>
      </w:r>
      <w:r w:rsidRPr="007C7D95">
        <w:rPr>
          <w:rFonts w:eastAsia="Aptos"/>
          <w:color w:val="004C97" w:themeColor="accent4"/>
        </w:rPr>
        <w:t xml:space="preserve">surgical, anaesthetic and procedure events </w:t>
      </w:r>
    </w:p>
    <w:p w14:paraId="3ADEDD07" w14:textId="3B0C8266" w:rsidR="00E23662" w:rsidRPr="00082559" w:rsidRDefault="00F265EF" w:rsidP="00F265EF">
      <w:pPr>
        <w:pStyle w:val="SCVbody"/>
        <w:rPr>
          <w:lang w:eastAsia="en-AU"/>
        </w:rPr>
      </w:pPr>
      <w:r>
        <w:t>The surgical, anaesthetic or procedure event type should be used when the critical event occurred as a direct result of the surgical pre-planning, procedure or post-procedural care pathways. This classification is not required in cases where critical events resulted in restorative surgical care – for example, surgical repair of an injury following self-harm.</w:t>
      </w:r>
    </w:p>
    <w:p w14:paraId="35D8C13F" w14:textId="725E92A1" w:rsidR="00CB5F07" w:rsidRPr="004972D9" w:rsidRDefault="001D5F6A" w:rsidP="0073727F">
      <w:pPr>
        <w:pStyle w:val="Heading3"/>
      </w:pPr>
      <w:r>
        <w:t xml:space="preserve">Improvement initiatives </w:t>
      </w:r>
      <w:r w:rsidR="007E5DCD">
        <w:t>and resources</w:t>
      </w:r>
    </w:p>
    <w:p w14:paraId="6E05618B" w14:textId="6836B721" w:rsidR="008B3CE0" w:rsidRPr="008B3CE0" w:rsidRDefault="00326D26" w:rsidP="008B3CE0">
      <w:pPr>
        <w:pStyle w:val="SCVbody"/>
      </w:pPr>
      <w:r>
        <w:t>SCV</w:t>
      </w:r>
      <w:r w:rsidR="008B3CE0" w:rsidRPr="008B3CE0">
        <w:t xml:space="preserve"> delivers targeted quality and safety</w:t>
      </w:r>
      <w:r w:rsidR="004A1F6B">
        <w:t xml:space="preserve"> improvement</w:t>
      </w:r>
      <w:r w:rsidR="008B3CE0" w:rsidRPr="008B3CE0">
        <w:t xml:space="preserve"> initiatives informed by sentinel event findings. </w:t>
      </w:r>
    </w:p>
    <w:p w14:paraId="5F7C12F8" w14:textId="2F22B83D" w:rsidR="008B3CE0" w:rsidRPr="008B3CE0" w:rsidRDefault="008B3CE0" w:rsidP="008B3CE0">
      <w:pPr>
        <w:pStyle w:val="SCVbody"/>
      </w:pPr>
      <w:r w:rsidRPr="008B3CE0">
        <w:t xml:space="preserve">Key initiatives focus on: </w:t>
      </w:r>
    </w:p>
    <w:p w14:paraId="35F0AF80" w14:textId="7AF22E6F" w:rsidR="008B3CE0" w:rsidRPr="008B3CE0" w:rsidRDefault="004972D0" w:rsidP="1699FB3F">
      <w:pPr>
        <w:pStyle w:val="SCVbullet1"/>
      </w:pPr>
      <w:r>
        <w:t>p</w:t>
      </w:r>
      <w:r w:rsidR="008B3CE0">
        <w:t>reventing</w:t>
      </w:r>
      <w:r w:rsidR="008B3CE0" w:rsidRPr="008B3CE0">
        <w:t xml:space="preserve"> venous thromboembolism and improving anticoagulant safety through strengthened risk assessment and evidence-based prophylaxis </w:t>
      </w:r>
      <w:r w:rsidR="00815591">
        <w:t>(</w:t>
      </w:r>
      <w:r w:rsidR="7D7874EF">
        <w:t>end date</w:t>
      </w:r>
      <w:r w:rsidR="00815591">
        <w:t xml:space="preserve"> 30 June 2026)</w:t>
      </w:r>
    </w:p>
    <w:p w14:paraId="6D89A18E" w14:textId="123AF405" w:rsidR="008B3CE0" w:rsidRPr="008B3CE0" w:rsidRDefault="004972D0" w:rsidP="616FC494">
      <w:pPr>
        <w:pStyle w:val="SCVbullet1"/>
      </w:pPr>
      <w:r>
        <w:t>i</w:t>
      </w:r>
      <w:r w:rsidR="008B3CE0">
        <w:t>mproving</w:t>
      </w:r>
      <w:r w:rsidR="008B3CE0" w:rsidRPr="008B3CE0">
        <w:t xml:space="preserve"> perioperative discharge, recovery planning and patient preparation through discharge optimisation and enhanced recovery programs </w:t>
      </w:r>
    </w:p>
    <w:p w14:paraId="5407BF8B" w14:textId="0C204C81" w:rsidR="008B3CE0" w:rsidRPr="008B3CE0" w:rsidRDefault="004972D0" w:rsidP="616FC494">
      <w:pPr>
        <w:pStyle w:val="SCVbullet1"/>
      </w:pPr>
      <w:r>
        <w:t>s</w:t>
      </w:r>
      <w:r w:rsidR="008B3CE0">
        <w:t>trengthening</w:t>
      </w:r>
      <w:r w:rsidR="008B3CE0" w:rsidRPr="008B3CE0">
        <w:t xml:space="preserve"> early sepsis recognition and timely antibiotic administration to improve outcomes in primary and postoperative sepsis</w:t>
      </w:r>
      <w:r w:rsidR="00326D26">
        <w:t>.</w:t>
      </w:r>
      <w:r w:rsidR="008B3CE0" w:rsidRPr="008B3CE0">
        <w:t xml:space="preserve"> </w:t>
      </w:r>
    </w:p>
    <w:p w14:paraId="5C4E35DF" w14:textId="2B4EBFA9" w:rsidR="00BB08FF" w:rsidRPr="00B553BA" w:rsidRDefault="00BB08FF" w:rsidP="1998BA9A">
      <w:pPr>
        <w:pStyle w:val="SCVbodyafterheading"/>
      </w:pPr>
      <w:r w:rsidRPr="716FCA60">
        <w:t>The</w:t>
      </w:r>
      <w:r w:rsidR="004972D0">
        <w:t xml:space="preserve"> Department of Health’s 2025</w:t>
      </w:r>
      <w:r w:rsidRPr="716FCA60">
        <w:t xml:space="preserve"> </w:t>
      </w:r>
      <w:hyperlink r:id="rId40">
        <w:r w:rsidR="00E44AA7" w:rsidRPr="002A0E18">
          <w:rPr>
            <w:rStyle w:val="Hyperlink"/>
            <w:rFonts w:ascii="Arial" w:eastAsia="Arial" w:hAnsi="Arial" w:cs="Arial"/>
          </w:rPr>
          <w:t xml:space="preserve">Planned </w:t>
        </w:r>
        <w:r w:rsidR="004972D0" w:rsidRPr="002A0E18">
          <w:rPr>
            <w:rStyle w:val="Hyperlink"/>
            <w:rFonts w:ascii="Arial" w:eastAsia="Arial" w:hAnsi="Arial" w:cs="Arial"/>
          </w:rPr>
          <w:t>s</w:t>
        </w:r>
        <w:r w:rsidR="00E44AA7" w:rsidRPr="002A0E18" w:rsidDel="004972D0">
          <w:rPr>
            <w:rStyle w:val="Hyperlink"/>
            <w:rFonts w:ascii="Arial" w:eastAsia="Arial" w:hAnsi="Arial" w:cs="Arial"/>
          </w:rPr>
          <w:t xml:space="preserve">urgery </w:t>
        </w:r>
        <w:r w:rsidR="004972D0" w:rsidRPr="002A0E18">
          <w:rPr>
            <w:rStyle w:val="Hyperlink"/>
            <w:rFonts w:ascii="Arial" w:eastAsia="Arial" w:hAnsi="Arial" w:cs="Arial"/>
          </w:rPr>
          <w:t>r</w:t>
        </w:r>
        <w:r w:rsidR="00E44AA7" w:rsidRPr="002A0E18">
          <w:rPr>
            <w:rStyle w:val="Hyperlink"/>
            <w:rFonts w:ascii="Arial" w:eastAsia="Arial" w:hAnsi="Arial" w:cs="Arial"/>
          </w:rPr>
          <w:t xml:space="preserve">eform </w:t>
        </w:r>
        <w:r w:rsidR="004972D0" w:rsidRPr="002A0E18">
          <w:rPr>
            <w:rStyle w:val="Hyperlink"/>
            <w:rFonts w:ascii="Arial" w:eastAsia="Arial" w:hAnsi="Arial" w:cs="Arial"/>
          </w:rPr>
          <w:t>b</w:t>
        </w:r>
        <w:r w:rsidR="00E44AA7" w:rsidRPr="002A0E18">
          <w:rPr>
            <w:rStyle w:val="Hyperlink"/>
            <w:rFonts w:ascii="Arial" w:eastAsia="Arial" w:hAnsi="Arial" w:cs="Arial"/>
          </w:rPr>
          <w:t>lueprint</w:t>
        </w:r>
      </w:hyperlink>
      <w:r w:rsidRPr="716FCA60">
        <w:t xml:space="preserve"> &lt;https://www.health.vic.gov.au/planned-surgery-reform-blueprint&gt; program outlines how to improve access to surgery. </w:t>
      </w:r>
    </w:p>
    <w:p w14:paraId="5020CA0B" w14:textId="6DFA098D" w:rsidR="001F7DE5" w:rsidRPr="00B553BA" w:rsidRDefault="00813878" w:rsidP="003D76A5">
      <w:pPr>
        <w:pStyle w:val="SCVbody"/>
      </w:pPr>
      <w:r w:rsidRPr="716FCA60">
        <w:lastRenderedPageBreak/>
        <w:t xml:space="preserve">‘Think Aorta’ awareness initiatives are being implemented across emergency departments, supported by targeted clinical prompts and educational materials. </w:t>
      </w:r>
    </w:p>
    <w:p w14:paraId="7AE09E4B" w14:textId="1B6D6D89" w:rsidR="004F2CE1" w:rsidRDefault="001F7DE5" w:rsidP="003D76A5">
      <w:pPr>
        <w:pStyle w:val="SCVbody"/>
      </w:pPr>
      <w:r>
        <w:t xml:space="preserve">Other clinical guidance </w:t>
      </w:r>
      <w:r w:rsidR="00C929C0">
        <w:t xml:space="preserve">resources </w:t>
      </w:r>
      <w:r w:rsidR="00326D26">
        <w:t>that</w:t>
      </w:r>
      <w:r>
        <w:t xml:space="preserve"> support </w:t>
      </w:r>
      <w:r w:rsidR="005232D2" w:rsidRPr="005232D2">
        <w:t>continuous improvement in surgical and procedural care</w:t>
      </w:r>
      <w:r w:rsidR="005232D2">
        <w:t xml:space="preserve"> </w:t>
      </w:r>
      <w:r w:rsidR="00C929C0">
        <w:t>include:</w:t>
      </w:r>
    </w:p>
    <w:p w14:paraId="4FE55856" w14:textId="66390905" w:rsidR="007D22F1" w:rsidRDefault="559F09BC" w:rsidP="005E7DE4">
      <w:pPr>
        <w:pStyle w:val="SCVbullet1"/>
      </w:pPr>
      <w:hyperlink r:id="rId41">
        <w:r w:rsidRPr="57EA0190">
          <w:rPr>
            <w:rStyle w:val="Hyperlink"/>
          </w:rPr>
          <w:t>Testicular torsion</w:t>
        </w:r>
      </w:hyperlink>
      <w:r>
        <w:t xml:space="preserve"> </w:t>
      </w:r>
      <w:r w:rsidR="004972D0">
        <w:t>&lt;</w:t>
      </w:r>
      <w:r w:rsidR="004972D0" w:rsidRPr="005E7DE4">
        <w:t>https://www.safercare.vic.gov.au/publications/testicular-torsion-clinical-practice-points</w:t>
      </w:r>
      <w:r w:rsidR="004972D0">
        <w:t>&gt;</w:t>
      </w:r>
    </w:p>
    <w:p w14:paraId="2C7AA99E" w14:textId="77777777" w:rsidR="007D22F1" w:rsidRDefault="007D22F1" w:rsidP="005E7DE4">
      <w:pPr>
        <w:pStyle w:val="SCVbullet1"/>
      </w:pPr>
      <w:hyperlink r:id="rId42" w:history="1">
        <w:r>
          <w:rPr>
            <w:rStyle w:val="Hyperlink"/>
          </w:rPr>
          <w:t>Pulmonary embolism</w:t>
        </w:r>
      </w:hyperlink>
      <w:r>
        <w:t xml:space="preserve"> &lt;</w:t>
      </w:r>
      <w:r w:rsidRPr="00240CF4">
        <w:t>https://www.safercare.vic.gov.au/publications/pulmonary-embolism-pe-practice-points</w:t>
      </w:r>
      <w:r>
        <w:t>&gt;</w:t>
      </w:r>
    </w:p>
    <w:p w14:paraId="7B3D5EAB" w14:textId="5794D012" w:rsidR="658DC533" w:rsidRPr="00F27763" w:rsidRDefault="658DC533" w:rsidP="005E7DE4">
      <w:pPr>
        <w:pStyle w:val="SCVbullet1"/>
        <w:rPr>
          <w:rStyle w:val="Hyperlink"/>
          <w:rFonts w:ascii="Arial" w:eastAsia="Arial" w:hAnsi="Arial" w:cs="Arial"/>
          <w:color w:val="467886"/>
          <w:szCs w:val="24"/>
        </w:rPr>
      </w:pPr>
      <w:hyperlink r:id="rId43">
        <w:r w:rsidRPr="000170F5">
          <w:rPr>
            <w:rStyle w:val="Hyperlink"/>
            <w:rFonts w:ascii="Arial" w:eastAsia="Arial" w:hAnsi="Arial" w:cs="Arial"/>
            <w:color w:val="004C97" w:themeColor="accent4"/>
            <w:szCs w:val="24"/>
          </w:rPr>
          <w:t>Concealed blood loss as a cause of postoperative deterioration – Clinical practice point</w:t>
        </w:r>
      </w:hyperlink>
      <w:r w:rsidR="004D1CD2">
        <w:t xml:space="preserve"> </w:t>
      </w:r>
      <w:r w:rsidR="004D1CD2" w:rsidRPr="00834EF2">
        <w:rPr>
          <w:szCs w:val="24"/>
        </w:rPr>
        <w:t>&lt;</w:t>
      </w:r>
      <w:r w:rsidR="00F27763" w:rsidRPr="00834EF2">
        <w:rPr>
          <w:szCs w:val="24"/>
        </w:rPr>
        <w:t>https://www.safercare.vic.gov.au/publications/concealed-blood-loss-as-a-cause-of-postoperative-deterioration-clinical-practice-point</w:t>
      </w:r>
      <w:r w:rsidR="00F27763">
        <w:rPr>
          <w:szCs w:val="24"/>
        </w:rPr>
        <w:t>&gt;</w:t>
      </w:r>
    </w:p>
    <w:p w14:paraId="372B907A" w14:textId="02FF168A" w:rsidR="658DC533" w:rsidRPr="00F27763" w:rsidRDefault="658DC533" w:rsidP="005E7DE4">
      <w:pPr>
        <w:pStyle w:val="SCVbullet1"/>
        <w:rPr>
          <w:rStyle w:val="Hyperlink"/>
          <w:rFonts w:ascii="Arial" w:eastAsia="Arial" w:hAnsi="Arial" w:cs="Arial"/>
          <w:color w:val="467886"/>
          <w:szCs w:val="24"/>
        </w:rPr>
      </w:pPr>
      <w:hyperlink r:id="rId44">
        <w:r w:rsidRPr="000170F5">
          <w:rPr>
            <w:rStyle w:val="Hyperlink"/>
            <w:rFonts w:ascii="Arial" w:eastAsia="Arial" w:hAnsi="Arial" w:cs="Arial"/>
            <w:color w:val="004C97" w:themeColor="accent4"/>
            <w:szCs w:val="24"/>
          </w:rPr>
          <w:t>Reducing peripheral intravenous cannula (PIVC) infections</w:t>
        </w:r>
      </w:hyperlink>
      <w:r w:rsidR="004D1CD2" w:rsidRPr="00834EF2">
        <w:rPr>
          <w:szCs w:val="24"/>
        </w:rPr>
        <w:t xml:space="preserve"> &lt;</w:t>
      </w:r>
      <w:r w:rsidR="00F27763" w:rsidRPr="00834EF2">
        <w:rPr>
          <w:szCs w:val="24"/>
        </w:rPr>
        <w:t>https://www.safercare.vic.gov.au/improvement/projects/reducing-picv-infections</w:t>
      </w:r>
      <w:r w:rsidR="00F27763">
        <w:rPr>
          <w:szCs w:val="24"/>
        </w:rPr>
        <w:t>&gt;</w:t>
      </w:r>
    </w:p>
    <w:p w14:paraId="4B2DEF34" w14:textId="44755189" w:rsidR="658DC533" w:rsidRPr="00F27763" w:rsidRDefault="658DC533" w:rsidP="005E7DE4">
      <w:pPr>
        <w:pStyle w:val="SCVbullet1"/>
        <w:rPr>
          <w:rStyle w:val="Hyperlink"/>
          <w:rFonts w:ascii="Arial" w:eastAsia="Arial" w:hAnsi="Arial" w:cs="Arial"/>
          <w:color w:val="467886"/>
          <w:szCs w:val="24"/>
        </w:rPr>
      </w:pPr>
      <w:hyperlink r:id="rId45">
        <w:r w:rsidRPr="003B3563">
          <w:rPr>
            <w:rStyle w:val="Hyperlink"/>
            <w:rFonts w:ascii="Arial" w:eastAsia="Arial" w:hAnsi="Arial" w:cs="Arial"/>
            <w:color w:val="004C97" w:themeColor="accent4"/>
            <w:szCs w:val="24"/>
          </w:rPr>
          <w:t xml:space="preserve">Preventing </w:t>
        </w:r>
        <w:r w:rsidR="004D1CD2" w:rsidRPr="003B3563">
          <w:rPr>
            <w:rStyle w:val="Hyperlink"/>
            <w:rFonts w:ascii="Arial" w:eastAsia="Arial" w:hAnsi="Arial" w:cs="Arial"/>
            <w:color w:val="004C97" w:themeColor="accent4"/>
            <w:szCs w:val="24"/>
          </w:rPr>
          <w:t>venous thromboembolism and supporting anticoagulation manag</w:t>
        </w:r>
        <w:r w:rsidRPr="003B3563">
          <w:rPr>
            <w:rStyle w:val="Hyperlink"/>
            <w:rFonts w:ascii="Arial" w:eastAsia="Arial" w:hAnsi="Arial" w:cs="Arial"/>
            <w:color w:val="004C97" w:themeColor="accent4"/>
            <w:szCs w:val="24"/>
          </w:rPr>
          <w:t>ement</w:t>
        </w:r>
      </w:hyperlink>
      <w:r w:rsidR="004D1CD2" w:rsidRPr="00834EF2">
        <w:rPr>
          <w:szCs w:val="24"/>
        </w:rPr>
        <w:t xml:space="preserve"> &lt;</w:t>
      </w:r>
      <w:r w:rsidR="00F27763" w:rsidRPr="00834EF2">
        <w:rPr>
          <w:szCs w:val="24"/>
        </w:rPr>
        <w:t>https://www.safercare.vic.gov.au/improvement/projects/preventing-venous-thromboembolism</w:t>
      </w:r>
      <w:r w:rsidR="00326D26">
        <w:rPr>
          <w:szCs w:val="24"/>
        </w:rPr>
        <w:t>&gt;</w:t>
      </w:r>
    </w:p>
    <w:p w14:paraId="74C01537" w14:textId="0A165A69" w:rsidR="658DC533" w:rsidRPr="00F27763" w:rsidRDefault="658DC533" w:rsidP="005E7DE4">
      <w:pPr>
        <w:pStyle w:val="SCVbullet1"/>
        <w:rPr>
          <w:rStyle w:val="Hyperlink"/>
          <w:rFonts w:ascii="Arial" w:eastAsia="Arial" w:hAnsi="Arial" w:cs="Arial"/>
          <w:color w:val="467886"/>
          <w:szCs w:val="24"/>
        </w:rPr>
      </w:pPr>
      <w:hyperlink r:id="rId46">
        <w:r w:rsidRPr="003B3563">
          <w:rPr>
            <w:rStyle w:val="Hyperlink"/>
            <w:rFonts w:ascii="Arial" w:eastAsia="Arial" w:hAnsi="Arial" w:cs="Arial"/>
            <w:color w:val="004C97" w:themeColor="accent4"/>
            <w:szCs w:val="24"/>
          </w:rPr>
          <w:t xml:space="preserve">Discharge </w:t>
        </w:r>
        <w:r w:rsidR="004D1CD2" w:rsidRPr="003B3563">
          <w:rPr>
            <w:rStyle w:val="Hyperlink"/>
            <w:rFonts w:ascii="Arial" w:eastAsia="Arial" w:hAnsi="Arial" w:cs="Arial"/>
            <w:color w:val="004C97" w:themeColor="accent4"/>
            <w:szCs w:val="24"/>
          </w:rPr>
          <w:t>optimisation for planned sur</w:t>
        </w:r>
        <w:r w:rsidRPr="003B3563">
          <w:rPr>
            <w:rStyle w:val="Hyperlink"/>
            <w:rFonts w:ascii="Arial" w:eastAsia="Arial" w:hAnsi="Arial" w:cs="Arial"/>
            <w:color w:val="004C97" w:themeColor="accent4"/>
            <w:szCs w:val="24"/>
          </w:rPr>
          <w:t>gery</w:t>
        </w:r>
      </w:hyperlink>
      <w:r w:rsidRPr="00F27763">
        <w:rPr>
          <w:rFonts w:ascii="Arial" w:eastAsia="Arial" w:hAnsi="Arial" w:cs="Arial"/>
          <w:szCs w:val="24"/>
        </w:rPr>
        <w:t xml:space="preserve"> </w:t>
      </w:r>
      <w:r w:rsidR="004D1CD2" w:rsidRPr="00F27763">
        <w:rPr>
          <w:rFonts w:ascii="Arial" w:eastAsia="Arial" w:hAnsi="Arial" w:cs="Arial"/>
          <w:szCs w:val="24"/>
        </w:rPr>
        <w:t>&lt;</w:t>
      </w:r>
      <w:r w:rsidR="00F27763" w:rsidRPr="00F27763">
        <w:rPr>
          <w:rFonts w:ascii="Arial" w:eastAsia="Arial" w:hAnsi="Arial" w:cs="Arial"/>
          <w:szCs w:val="24"/>
        </w:rPr>
        <w:t>https://www.safercare.vic.gov.au/improvement/projects/discharge-optimisation-for-planned-surgery</w:t>
      </w:r>
      <w:r w:rsidR="004D1CD2" w:rsidRPr="00F27763">
        <w:rPr>
          <w:rFonts w:ascii="Arial" w:eastAsia="Arial" w:hAnsi="Arial" w:cs="Arial"/>
          <w:szCs w:val="24"/>
        </w:rPr>
        <w:t xml:space="preserve">&gt; </w:t>
      </w:r>
      <w:r w:rsidRPr="00F27763">
        <w:rPr>
          <w:rFonts w:ascii="Arial" w:eastAsia="Arial" w:hAnsi="Arial" w:cs="Arial"/>
          <w:szCs w:val="24"/>
        </w:rPr>
        <w:t xml:space="preserve">and </w:t>
      </w:r>
      <w:hyperlink r:id="rId47">
        <w:r w:rsidRPr="003B3563">
          <w:rPr>
            <w:rStyle w:val="Hyperlink"/>
            <w:rFonts w:ascii="Arial" w:eastAsia="Arial" w:hAnsi="Arial" w:cs="Arial"/>
            <w:color w:val="004C97" w:themeColor="accent4"/>
            <w:szCs w:val="24"/>
          </w:rPr>
          <w:t xml:space="preserve">Celebrating improvement in planned surgery – </w:t>
        </w:r>
        <w:r w:rsidR="004D1CD2" w:rsidRPr="003B3563">
          <w:rPr>
            <w:rStyle w:val="Hyperlink"/>
            <w:rFonts w:ascii="Arial" w:eastAsia="Arial" w:hAnsi="Arial" w:cs="Arial"/>
            <w:color w:val="004C97" w:themeColor="accent4"/>
            <w:szCs w:val="24"/>
          </w:rPr>
          <w:t>r</w:t>
        </w:r>
        <w:r w:rsidRPr="003B3563">
          <w:rPr>
            <w:rStyle w:val="Hyperlink"/>
            <w:rFonts w:ascii="Arial" w:eastAsia="Arial" w:hAnsi="Arial" w:cs="Arial"/>
            <w:color w:val="004C97" w:themeColor="accent4"/>
            <w:szCs w:val="24"/>
          </w:rPr>
          <w:t>esults from 2024 to 2025</w:t>
        </w:r>
      </w:hyperlink>
      <w:r w:rsidR="004D1CD2" w:rsidRPr="00834EF2">
        <w:rPr>
          <w:szCs w:val="24"/>
        </w:rPr>
        <w:t xml:space="preserve"> &lt;</w:t>
      </w:r>
      <w:r w:rsidR="00F27763" w:rsidRPr="00834EF2">
        <w:rPr>
          <w:szCs w:val="24"/>
        </w:rPr>
        <w:t>https://www.safercare.vic.gov.au/news/celebrating-improvement-in-planned-surgery-results-from-2024-to-2025</w:t>
      </w:r>
      <w:r w:rsidR="00F27763">
        <w:rPr>
          <w:szCs w:val="24"/>
        </w:rPr>
        <w:t>&gt;</w:t>
      </w:r>
    </w:p>
    <w:p w14:paraId="3C178485" w14:textId="16971E54" w:rsidR="658DC533" w:rsidRPr="00F27763" w:rsidRDefault="658DC533" w:rsidP="005E7DE4">
      <w:pPr>
        <w:pStyle w:val="SCVbullet1"/>
        <w:rPr>
          <w:rStyle w:val="Hyperlink"/>
          <w:rFonts w:ascii="Arial" w:eastAsia="Arial" w:hAnsi="Arial" w:cs="Arial"/>
          <w:color w:val="467886"/>
          <w:szCs w:val="24"/>
        </w:rPr>
      </w:pPr>
      <w:hyperlink r:id="rId48">
        <w:r w:rsidRPr="003B3563">
          <w:rPr>
            <w:rStyle w:val="Hyperlink"/>
            <w:rFonts w:ascii="Arial" w:eastAsia="Arial" w:hAnsi="Arial" w:cs="Arial"/>
            <w:color w:val="004C97" w:themeColor="accent4"/>
            <w:szCs w:val="24"/>
          </w:rPr>
          <w:t>Sip Til Send fluid fasting guidance</w:t>
        </w:r>
      </w:hyperlink>
      <w:r w:rsidR="004D1CD2" w:rsidRPr="00834EF2">
        <w:rPr>
          <w:szCs w:val="24"/>
        </w:rPr>
        <w:t xml:space="preserve"> &lt;</w:t>
      </w:r>
      <w:r w:rsidR="00F27763" w:rsidRPr="00834EF2">
        <w:rPr>
          <w:szCs w:val="24"/>
        </w:rPr>
        <w:t>https://www.safercare.vic.gov.au/best-practice-improvement/clinical-guidance/non-urgent-elective-surgery/sip-til-send-fluid-fasting</w:t>
      </w:r>
      <w:r w:rsidR="00F27763">
        <w:rPr>
          <w:szCs w:val="24"/>
        </w:rPr>
        <w:t>&gt;</w:t>
      </w:r>
    </w:p>
    <w:p w14:paraId="53281D73" w14:textId="3E732820" w:rsidR="658DC533" w:rsidRPr="00F27763" w:rsidRDefault="658DC533" w:rsidP="005E7DE4">
      <w:pPr>
        <w:pStyle w:val="SCVbullet1"/>
        <w:rPr>
          <w:rStyle w:val="Hyperlink"/>
          <w:rFonts w:ascii="Arial" w:eastAsia="Arial" w:hAnsi="Arial" w:cs="Arial"/>
          <w:color w:val="467886"/>
          <w:szCs w:val="24"/>
        </w:rPr>
      </w:pPr>
      <w:hyperlink r:id="rId49">
        <w:r w:rsidRPr="003B3563">
          <w:rPr>
            <w:rStyle w:val="Hyperlink"/>
            <w:rFonts w:ascii="Arial" w:eastAsia="Arial" w:hAnsi="Arial" w:cs="Arial"/>
            <w:color w:val="004C97" w:themeColor="accent4"/>
            <w:szCs w:val="24"/>
          </w:rPr>
          <w:t>Morbidity and Mortality meetings –</w:t>
        </w:r>
        <w:r w:rsidR="004D1CD2" w:rsidRPr="003B3563">
          <w:rPr>
            <w:rStyle w:val="Hyperlink"/>
            <w:rFonts w:ascii="Arial" w:eastAsia="Arial" w:hAnsi="Arial" w:cs="Arial"/>
            <w:color w:val="004C97" w:themeColor="accent4"/>
            <w:szCs w:val="24"/>
          </w:rPr>
          <w:t xml:space="preserve"> f</w:t>
        </w:r>
        <w:r w:rsidRPr="003B3563">
          <w:rPr>
            <w:rStyle w:val="Hyperlink"/>
            <w:rFonts w:ascii="Arial" w:eastAsia="Arial" w:hAnsi="Arial" w:cs="Arial"/>
            <w:color w:val="004C97" w:themeColor="accent4"/>
            <w:szCs w:val="24"/>
          </w:rPr>
          <w:t>ramework and toolkit</w:t>
        </w:r>
      </w:hyperlink>
      <w:r w:rsidR="004D1CD2" w:rsidRPr="00834EF2">
        <w:rPr>
          <w:szCs w:val="24"/>
        </w:rPr>
        <w:t xml:space="preserve"> &lt;</w:t>
      </w:r>
      <w:r w:rsidR="00F27763" w:rsidRPr="00834EF2">
        <w:rPr>
          <w:szCs w:val="24"/>
        </w:rPr>
        <w:t>https://www.safercare.vic.gov.au/publications/morbidity-and-mortality-meetings-framework-and-toolkit</w:t>
      </w:r>
      <w:r w:rsidR="00F27763">
        <w:rPr>
          <w:szCs w:val="24"/>
        </w:rPr>
        <w:t>&gt;</w:t>
      </w:r>
    </w:p>
    <w:p w14:paraId="3788B234" w14:textId="31E0743A" w:rsidR="658DC533" w:rsidRPr="00834EF2" w:rsidRDefault="658DC533" w:rsidP="005E7DE4">
      <w:pPr>
        <w:pStyle w:val="SCVbullet1"/>
        <w:rPr>
          <w:szCs w:val="24"/>
        </w:rPr>
      </w:pPr>
      <w:hyperlink r:id="rId50">
        <w:r w:rsidRPr="00631EF9">
          <w:rPr>
            <w:rStyle w:val="Hyperlink"/>
            <w:rFonts w:ascii="Arial" w:eastAsia="Arial" w:hAnsi="Arial" w:cs="Arial"/>
            <w:color w:val="004C97" w:themeColor="accent4"/>
            <w:szCs w:val="24"/>
          </w:rPr>
          <w:t>Considerations for a two-surgeon model of care – Clinical practice point</w:t>
        </w:r>
      </w:hyperlink>
      <w:r w:rsidR="00F44022" w:rsidRPr="00834EF2">
        <w:rPr>
          <w:szCs w:val="24"/>
        </w:rPr>
        <w:t xml:space="preserve"> </w:t>
      </w:r>
      <w:r w:rsidR="004D1CD2" w:rsidRPr="00834EF2">
        <w:rPr>
          <w:szCs w:val="24"/>
        </w:rPr>
        <w:t>&lt;</w:t>
      </w:r>
      <w:r w:rsidR="00F27763" w:rsidRPr="00834EF2">
        <w:rPr>
          <w:szCs w:val="24"/>
        </w:rPr>
        <w:t>https://www.safercare.vic.gov.au/publications/considerations-for-a-two-surgeon-model-of-care-clinical-practice-point</w:t>
      </w:r>
      <w:r w:rsidR="00F27763">
        <w:rPr>
          <w:szCs w:val="24"/>
        </w:rPr>
        <w:t>&gt;</w:t>
      </w:r>
      <w:r w:rsidR="00326D26">
        <w:rPr>
          <w:szCs w:val="24"/>
        </w:rPr>
        <w:t>.</w:t>
      </w:r>
    </w:p>
    <w:p w14:paraId="17BCE222" w14:textId="77777777" w:rsidR="00E733DF" w:rsidRPr="00834EF2" w:rsidRDefault="00E733DF" w:rsidP="003D76A5">
      <w:pPr>
        <w:pStyle w:val="SCVbody"/>
      </w:pPr>
      <w:r w:rsidRPr="00834EF2">
        <w:br w:type="page"/>
      </w:r>
    </w:p>
    <w:p w14:paraId="55A404ED" w14:textId="48D8A3E0" w:rsidR="00E733DF" w:rsidRPr="00940761" w:rsidRDefault="1B64411C" w:rsidP="00326D26">
      <w:pPr>
        <w:pStyle w:val="Heading2"/>
        <w:rPr>
          <w:rStyle w:val="Heading1Char"/>
          <w:b/>
          <w:bCs/>
          <w:sz w:val="28"/>
          <w:szCs w:val="28"/>
        </w:rPr>
      </w:pPr>
      <w:bookmarkStart w:id="24" w:name="_Toc238026641"/>
      <w:r w:rsidRPr="00940761">
        <w:rPr>
          <w:rStyle w:val="Heading1Char"/>
          <w:b/>
          <w:bCs/>
          <w:sz w:val="28"/>
          <w:szCs w:val="28"/>
        </w:rPr>
        <w:lastRenderedPageBreak/>
        <w:t xml:space="preserve">2. </w:t>
      </w:r>
      <w:r w:rsidR="00E733DF" w:rsidRPr="00940761">
        <w:rPr>
          <w:rStyle w:val="Heading1Char"/>
          <w:b/>
          <w:bCs/>
          <w:sz w:val="28"/>
          <w:szCs w:val="28"/>
        </w:rPr>
        <w:t xml:space="preserve">Sentinel </w:t>
      </w:r>
      <w:r w:rsidR="44171122" w:rsidRPr="00940761">
        <w:rPr>
          <w:rStyle w:val="Heading1Char"/>
          <w:b/>
          <w:bCs/>
          <w:sz w:val="28"/>
          <w:szCs w:val="28"/>
        </w:rPr>
        <w:t>e</w:t>
      </w:r>
      <w:r w:rsidR="00E733DF" w:rsidRPr="00940761">
        <w:rPr>
          <w:rStyle w:val="Heading1Char"/>
          <w:b/>
          <w:bCs/>
          <w:sz w:val="28"/>
          <w:szCs w:val="28"/>
        </w:rPr>
        <w:t xml:space="preserve">vents relating to </w:t>
      </w:r>
      <w:r w:rsidR="44171122" w:rsidRPr="00940761">
        <w:rPr>
          <w:rStyle w:val="Heading1Char"/>
          <w:b/>
          <w:bCs/>
          <w:sz w:val="28"/>
          <w:szCs w:val="28"/>
        </w:rPr>
        <w:t>m</w:t>
      </w:r>
      <w:r w:rsidR="00E733DF" w:rsidRPr="00940761">
        <w:rPr>
          <w:rStyle w:val="Heading1Char"/>
          <w:b/>
          <w:bCs/>
          <w:sz w:val="28"/>
          <w:szCs w:val="28"/>
        </w:rPr>
        <w:t xml:space="preserve">aternity </w:t>
      </w:r>
      <w:r w:rsidR="649ECC46" w:rsidRPr="00940761">
        <w:rPr>
          <w:rStyle w:val="Heading1Char"/>
          <w:b/>
          <w:bCs/>
          <w:sz w:val="28"/>
          <w:szCs w:val="28"/>
        </w:rPr>
        <w:t xml:space="preserve">and </w:t>
      </w:r>
      <w:r w:rsidR="44171122" w:rsidRPr="00940761">
        <w:rPr>
          <w:rStyle w:val="Heading1Char"/>
          <w:b/>
          <w:bCs/>
          <w:sz w:val="28"/>
          <w:szCs w:val="28"/>
        </w:rPr>
        <w:t>p</w:t>
      </w:r>
      <w:r w:rsidR="211BB97E" w:rsidRPr="00940761">
        <w:rPr>
          <w:rStyle w:val="Heading1Char"/>
          <w:b/>
          <w:bCs/>
          <w:sz w:val="28"/>
          <w:szCs w:val="28"/>
        </w:rPr>
        <w:t>ae</w:t>
      </w:r>
      <w:r w:rsidR="31837BFA" w:rsidRPr="00940761">
        <w:rPr>
          <w:rStyle w:val="Heading1Char"/>
          <w:b/>
          <w:bCs/>
          <w:sz w:val="28"/>
          <w:szCs w:val="28"/>
        </w:rPr>
        <w:t>diatric</w:t>
      </w:r>
      <w:r w:rsidR="007330DA" w:rsidRPr="00940761">
        <w:rPr>
          <w:rStyle w:val="Heading1Char"/>
          <w:b/>
          <w:bCs/>
          <w:sz w:val="28"/>
          <w:szCs w:val="28"/>
        </w:rPr>
        <w:t xml:space="preserve"> care</w:t>
      </w:r>
      <w:bookmarkEnd w:id="24"/>
    </w:p>
    <w:p w14:paraId="64C0E358" w14:textId="77777777" w:rsidR="00E733DF" w:rsidRPr="00DE3334" w:rsidRDefault="00E733DF" w:rsidP="005E7DE4">
      <w:pPr>
        <w:pStyle w:val="Heading3"/>
        <w:rPr>
          <w:color w:val="5AAA64" w:themeColor="accent5"/>
        </w:rPr>
      </w:pPr>
      <w:r>
        <w:t xml:space="preserve">Maternity sentinel events </w:t>
      </w:r>
    </w:p>
    <w:p w14:paraId="739A8412" w14:textId="2A81701D" w:rsidR="00E733DF" w:rsidRPr="00C52690" w:rsidRDefault="6C33F7A8" w:rsidP="0057201C">
      <w:pPr>
        <w:pStyle w:val="SCVbody"/>
      </w:pPr>
      <w:r>
        <w:t xml:space="preserve">In 2024–25, </w:t>
      </w:r>
      <w:r w:rsidR="4DFEC0F4" w:rsidRPr="509B18F9">
        <w:rPr>
          <w:b/>
          <w:bCs/>
        </w:rPr>
        <w:t>27</w:t>
      </w:r>
      <w:r w:rsidR="4DFEC0F4">
        <w:t xml:space="preserve"> </w:t>
      </w:r>
      <w:r>
        <w:t>sentinel events impacted maternity and neonatal patients, compared with 25 events</w:t>
      </w:r>
      <w:r w:rsidR="4DFEC0F4">
        <w:t xml:space="preserve"> </w:t>
      </w:r>
      <w:r>
        <w:t xml:space="preserve">in 2023–24. </w:t>
      </w:r>
    </w:p>
    <w:p w14:paraId="7AACE6EE" w14:textId="4BFB5B2C" w:rsidR="00E733DF" w:rsidRPr="00C52690" w:rsidRDefault="00E733DF" w:rsidP="005E7DE4">
      <w:pPr>
        <w:pStyle w:val="Heading4"/>
      </w:pPr>
      <w:r>
        <w:t xml:space="preserve">Key themes </w:t>
      </w:r>
    </w:p>
    <w:p w14:paraId="39564822" w14:textId="53BFE51A" w:rsidR="00E733DF" w:rsidRPr="00C52690" w:rsidRDefault="6C33F7A8" w:rsidP="69193B64">
      <w:pPr>
        <w:spacing w:after="0" w:line="276" w:lineRule="auto"/>
        <w:rPr>
          <w:rFonts w:ascii="Arial" w:hAnsi="Arial" w:cs="Arial"/>
          <w:sz w:val="24"/>
          <w:szCs w:val="24"/>
        </w:rPr>
      </w:pPr>
      <w:r w:rsidRPr="509B18F9">
        <w:rPr>
          <w:rFonts w:ascii="Arial" w:hAnsi="Arial" w:cs="Arial"/>
          <w:sz w:val="24"/>
          <w:szCs w:val="24"/>
        </w:rPr>
        <w:t>In 2024</w:t>
      </w:r>
      <w:r w:rsidR="3FAAF8D8" w:rsidRPr="509B18F9">
        <w:rPr>
          <w:rFonts w:ascii="Arial" w:hAnsi="Arial" w:cs="Arial"/>
          <w:sz w:val="24"/>
          <w:szCs w:val="24"/>
        </w:rPr>
        <w:t>–</w:t>
      </w:r>
      <w:r w:rsidRPr="509B18F9">
        <w:rPr>
          <w:rFonts w:ascii="Arial" w:hAnsi="Arial" w:cs="Arial"/>
          <w:sz w:val="24"/>
          <w:szCs w:val="24"/>
        </w:rPr>
        <w:t>25</w:t>
      </w:r>
      <w:r w:rsidR="6FAB2034" w:rsidRPr="509B18F9">
        <w:rPr>
          <w:rFonts w:ascii="Arial" w:hAnsi="Arial" w:cs="Arial"/>
          <w:sz w:val="24"/>
          <w:szCs w:val="24"/>
        </w:rPr>
        <w:t>,</w:t>
      </w:r>
      <w:r w:rsidR="3FAAF8D8" w:rsidRPr="509B18F9">
        <w:rPr>
          <w:rFonts w:ascii="Arial" w:hAnsi="Arial" w:cs="Arial"/>
          <w:sz w:val="24"/>
          <w:szCs w:val="24"/>
        </w:rPr>
        <w:t xml:space="preserve"> </w:t>
      </w:r>
      <w:r w:rsidRPr="509B18F9">
        <w:rPr>
          <w:rFonts w:ascii="Arial" w:hAnsi="Arial" w:cs="Arial"/>
          <w:sz w:val="24"/>
          <w:szCs w:val="24"/>
        </w:rPr>
        <w:t>matern</w:t>
      </w:r>
      <w:r w:rsidR="53A152B4" w:rsidRPr="509B18F9">
        <w:rPr>
          <w:rFonts w:ascii="Arial" w:hAnsi="Arial" w:cs="Arial"/>
          <w:sz w:val="24"/>
          <w:szCs w:val="24"/>
        </w:rPr>
        <w:t>ity</w:t>
      </w:r>
      <w:r w:rsidRPr="509B18F9">
        <w:rPr>
          <w:rFonts w:ascii="Arial" w:hAnsi="Arial" w:cs="Arial"/>
          <w:sz w:val="24"/>
          <w:szCs w:val="24"/>
        </w:rPr>
        <w:t xml:space="preserve"> notifications related to </w:t>
      </w:r>
      <w:r w:rsidR="189C58B8" w:rsidRPr="509B18F9">
        <w:rPr>
          <w:rFonts w:ascii="Arial" w:hAnsi="Arial" w:cs="Arial"/>
          <w:sz w:val="24"/>
          <w:szCs w:val="24"/>
        </w:rPr>
        <w:t>two</w:t>
      </w:r>
      <w:r w:rsidR="3FAAF8D8" w:rsidRPr="509B18F9">
        <w:rPr>
          <w:rFonts w:ascii="Arial" w:hAnsi="Arial" w:cs="Arial"/>
          <w:sz w:val="24"/>
          <w:szCs w:val="24"/>
        </w:rPr>
        <w:t xml:space="preserve"> </w:t>
      </w:r>
      <w:r w:rsidRPr="509B18F9">
        <w:rPr>
          <w:rFonts w:ascii="Arial" w:hAnsi="Arial" w:cs="Arial"/>
          <w:sz w:val="24"/>
          <w:szCs w:val="24"/>
        </w:rPr>
        <w:t>themes:</w:t>
      </w:r>
    </w:p>
    <w:p w14:paraId="3E1A1E9D" w14:textId="1A2F3639" w:rsidR="00E733DF" w:rsidRPr="00C52690" w:rsidRDefault="00B406D8" w:rsidP="0057201C">
      <w:pPr>
        <w:pStyle w:val="SCVbullet1"/>
      </w:pPr>
      <w:r>
        <w:t xml:space="preserve">a </w:t>
      </w:r>
      <w:r w:rsidR="0060153E">
        <w:t>d</w:t>
      </w:r>
      <w:r w:rsidR="00E733DF">
        <w:t>eteriorating patient</w:t>
      </w:r>
      <w:r w:rsidR="0013702A">
        <w:t>:</w:t>
      </w:r>
      <w:r w:rsidR="00E733DF">
        <w:t xml:space="preserve"> 14</w:t>
      </w:r>
      <w:r w:rsidR="786E82D9">
        <w:t xml:space="preserve"> events</w:t>
      </w:r>
    </w:p>
    <w:p w14:paraId="0B1533D9" w14:textId="786C47BD" w:rsidR="00E733DF" w:rsidRPr="00C52690" w:rsidRDefault="00B406D8" w:rsidP="0057201C">
      <w:pPr>
        <w:pStyle w:val="SCVbullet1"/>
      </w:pPr>
      <w:r>
        <w:t xml:space="preserve">a </w:t>
      </w:r>
      <w:r w:rsidR="0060153E">
        <w:t>c</w:t>
      </w:r>
      <w:r w:rsidR="00E733DF">
        <w:t>linical process or procedure</w:t>
      </w:r>
      <w:r w:rsidR="0013702A">
        <w:t>:</w:t>
      </w:r>
      <w:r w:rsidR="00C60BE0">
        <w:t xml:space="preserve"> </w:t>
      </w:r>
      <w:r w:rsidR="00E733DF">
        <w:t>10</w:t>
      </w:r>
      <w:r w:rsidR="50BF1A17">
        <w:t xml:space="preserve"> events</w:t>
      </w:r>
      <w:r w:rsidR="00557AEB">
        <w:t>.</w:t>
      </w:r>
    </w:p>
    <w:p w14:paraId="4772B1E5" w14:textId="3D275F51" w:rsidR="00E733DF" w:rsidRPr="00C52690" w:rsidRDefault="6C33F7A8" w:rsidP="003D76A5">
      <w:pPr>
        <w:pStyle w:val="SCVbodyafterheading"/>
        <w:rPr>
          <w:b/>
          <w:bCs/>
        </w:rPr>
      </w:pPr>
      <w:r>
        <w:t>Recurring</w:t>
      </w:r>
      <w:r w:rsidR="6FAB2034">
        <w:t xml:space="preserve"> </w:t>
      </w:r>
      <w:r>
        <w:t>sub-themes relate</w:t>
      </w:r>
      <w:r w:rsidR="6FAB2034">
        <w:t xml:space="preserve">d </w:t>
      </w:r>
      <w:r>
        <w:t>to a delay in recogn</w:t>
      </w:r>
      <w:r w:rsidR="5F137125">
        <w:t xml:space="preserve">ising </w:t>
      </w:r>
      <w:r w:rsidR="459CD1D6">
        <w:t xml:space="preserve">patient </w:t>
      </w:r>
      <w:r w:rsidR="5F137125">
        <w:t xml:space="preserve">deterioration </w:t>
      </w:r>
      <w:r>
        <w:t>and escalation to a senior obstetrician</w:t>
      </w:r>
      <w:r w:rsidR="7D3E6B02">
        <w:t xml:space="preserve"> across </w:t>
      </w:r>
      <w:r w:rsidR="1945BBEA">
        <w:t>three</w:t>
      </w:r>
      <w:r w:rsidR="7D3E6B02">
        <w:t xml:space="preserve"> main areas</w:t>
      </w:r>
      <w:r>
        <w:t>:</w:t>
      </w:r>
    </w:p>
    <w:p w14:paraId="161F8286" w14:textId="666334E0" w:rsidR="00E733DF" w:rsidRPr="00C52690" w:rsidRDefault="0060153E" w:rsidP="0057201C">
      <w:pPr>
        <w:pStyle w:val="SCVbullet1"/>
      </w:pPr>
      <w:r>
        <w:t>e</w:t>
      </w:r>
      <w:r w:rsidR="00E733DF" w:rsidRPr="69193B64">
        <w:t xml:space="preserve">merging high-risk maternal and </w:t>
      </w:r>
      <w:proofErr w:type="spellStart"/>
      <w:r w:rsidR="006D7318" w:rsidRPr="69193B64">
        <w:t>fetal</w:t>
      </w:r>
      <w:proofErr w:type="spellEnd"/>
      <w:r w:rsidR="00E733DF" w:rsidRPr="69193B64">
        <w:t xml:space="preserve"> conditions</w:t>
      </w:r>
      <w:r w:rsidR="001339BB" w:rsidRPr="69193B64">
        <w:t xml:space="preserve"> during pregnancy</w:t>
      </w:r>
      <w:r w:rsidR="00E733DF" w:rsidRPr="69193B64">
        <w:t xml:space="preserve"> </w:t>
      </w:r>
      <w:r w:rsidR="00BB5D10" w:rsidRPr="69193B64">
        <w:t xml:space="preserve">without </w:t>
      </w:r>
      <w:r w:rsidR="00E733DF" w:rsidRPr="69193B64">
        <w:t xml:space="preserve">adjusted prebirth planning </w:t>
      </w:r>
    </w:p>
    <w:p w14:paraId="51DF0A79" w14:textId="5CA92683" w:rsidR="00E733DF" w:rsidRPr="00C52690" w:rsidRDefault="0060153E" w:rsidP="0057201C">
      <w:pPr>
        <w:pStyle w:val="SCVbullet1"/>
      </w:pPr>
      <w:r>
        <w:t>d</w:t>
      </w:r>
      <w:r w:rsidR="00E733DF" w:rsidRPr="69193B64">
        <w:t>eteriorating cardiotocograph</w:t>
      </w:r>
      <w:r w:rsidR="004D2D43" w:rsidRPr="69193B64">
        <w:t xml:space="preserve"> </w:t>
      </w:r>
      <w:r w:rsidR="00E733DF" w:rsidRPr="69193B64">
        <w:t>(CTG) monitoring</w:t>
      </w:r>
      <w:r w:rsidR="001339BB" w:rsidRPr="69193B64">
        <w:t xml:space="preserve"> during pregnancy or labour</w:t>
      </w:r>
    </w:p>
    <w:p w14:paraId="74A19BD8" w14:textId="14D7C331" w:rsidR="00E733DF" w:rsidRPr="00C52690" w:rsidRDefault="0060153E" w:rsidP="0057201C">
      <w:pPr>
        <w:pStyle w:val="SCVbullet1"/>
      </w:pPr>
      <w:r>
        <w:t>r</w:t>
      </w:r>
      <w:r w:rsidR="00E733DF" w:rsidRPr="69193B64">
        <w:t xml:space="preserve">eported reduced </w:t>
      </w:r>
      <w:proofErr w:type="spellStart"/>
      <w:r w:rsidR="006D7318" w:rsidRPr="69193B64">
        <w:t>fetal</w:t>
      </w:r>
      <w:proofErr w:type="spellEnd"/>
      <w:r w:rsidR="00E733DF" w:rsidRPr="69193B64">
        <w:t xml:space="preserve"> movements</w:t>
      </w:r>
      <w:r w:rsidR="001339BB" w:rsidRPr="69193B64">
        <w:t xml:space="preserve"> during pregnancy or labour</w:t>
      </w:r>
      <w:r>
        <w:t>.</w:t>
      </w:r>
    </w:p>
    <w:p w14:paraId="3E464CE4" w14:textId="53A96BF2" w:rsidR="00E733DF" w:rsidRPr="00C52690" w:rsidRDefault="00BB5D10" w:rsidP="003D76A5">
      <w:pPr>
        <w:pStyle w:val="SCVbodyafterheading"/>
      </w:pPr>
      <w:r w:rsidRPr="69193B64">
        <w:t xml:space="preserve">Key contributing factors </w:t>
      </w:r>
      <w:r w:rsidR="00E733DF" w:rsidRPr="69193B64">
        <w:t xml:space="preserve">included: </w:t>
      </w:r>
    </w:p>
    <w:p w14:paraId="2A008B64" w14:textId="61E096FD" w:rsidR="00E733DF" w:rsidRPr="00C52690" w:rsidRDefault="0060153E" w:rsidP="0057201C">
      <w:pPr>
        <w:pStyle w:val="SCVbullet1"/>
      </w:pPr>
      <w:r>
        <w:t>d</w:t>
      </w:r>
      <w:r w:rsidR="00E733DF" w:rsidRPr="69193B64">
        <w:t xml:space="preserve">ecision support </w:t>
      </w:r>
      <w:r w:rsidR="00BB5D10" w:rsidRPr="69193B64">
        <w:t xml:space="preserve">being </w:t>
      </w:r>
      <w:r w:rsidR="00E733DF" w:rsidRPr="69193B64">
        <w:t xml:space="preserve">used but </w:t>
      </w:r>
      <w:r w:rsidR="00BB5D10" w:rsidRPr="69193B64">
        <w:t xml:space="preserve">found </w:t>
      </w:r>
      <w:r w:rsidR="00E733DF" w:rsidRPr="69193B64">
        <w:t>not useful or difficulty locating polic</w:t>
      </w:r>
      <w:r w:rsidR="00BB5D10" w:rsidRPr="69193B64">
        <w:t>ies</w:t>
      </w:r>
      <w:r w:rsidR="00D22BD0" w:rsidRPr="69193B64">
        <w:t>:</w:t>
      </w:r>
      <w:r w:rsidR="00E733DF" w:rsidRPr="69193B64">
        <w:t xml:space="preserve"> 25 </w:t>
      </w:r>
      <w:r w:rsidR="35AA4002" w:rsidRPr="69193B64">
        <w:t xml:space="preserve">cases </w:t>
      </w:r>
      <w:r w:rsidR="00692E23" w:rsidRPr="69193B64">
        <w:t>(</w:t>
      </w:r>
      <w:r w:rsidR="00E733DF" w:rsidRPr="69193B64">
        <w:t>93</w:t>
      </w:r>
      <w:r>
        <w:t>%</w:t>
      </w:r>
      <w:r w:rsidR="00BB5D10" w:rsidRPr="69193B64">
        <w:t>)</w:t>
      </w:r>
    </w:p>
    <w:p w14:paraId="71F03685" w14:textId="7934220B" w:rsidR="00E733DF" w:rsidRPr="00C52690" w:rsidRDefault="0060153E" w:rsidP="0057201C">
      <w:pPr>
        <w:pStyle w:val="SCVbullet1"/>
      </w:pPr>
      <w:r>
        <w:t>e</w:t>
      </w:r>
      <w:r w:rsidR="00E733DF" w:rsidRPr="69193B64">
        <w:t>nvironment factors</w:t>
      </w:r>
      <w:r w:rsidR="00BB5D10" w:rsidRPr="69193B64">
        <w:t>, including</w:t>
      </w:r>
      <w:r w:rsidR="00E733DF" w:rsidRPr="69193B64">
        <w:t xml:space="preserve"> overcrowding, lighting, temperature and alarm fatigue</w:t>
      </w:r>
      <w:r w:rsidR="00692E23" w:rsidRPr="69193B64">
        <w:t>:</w:t>
      </w:r>
      <w:r w:rsidR="00E733DF" w:rsidRPr="69193B64">
        <w:t xml:space="preserve"> 23 </w:t>
      </w:r>
      <w:r w:rsidR="5DC5D995" w:rsidRPr="69193B64">
        <w:t xml:space="preserve">cases </w:t>
      </w:r>
      <w:r w:rsidR="00692E23" w:rsidRPr="69193B64">
        <w:t>(</w:t>
      </w:r>
      <w:r w:rsidR="00E733DF" w:rsidRPr="69193B64">
        <w:t>85</w:t>
      </w:r>
      <w:r>
        <w:t>%</w:t>
      </w:r>
      <w:r w:rsidR="00BB5D10" w:rsidRPr="69193B64">
        <w:t>)</w:t>
      </w:r>
    </w:p>
    <w:p w14:paraId="27687930" w14:textId="224CC81B" w:rsidR="00E733DF" w:rsidRPr="00C52690" w:rsidRDefault="0060153E" w:rsidP="0057201C">
      <w:pPr>
        <w:pStyle w:val="SCVbullet1"/>
      </w:pPr>
      <w:r>
        <w:t>p</w:t>
      </w:r>
      <w:r w:rsidR="00E733DF" w:rsidRPr="69193B64">
        <w:t>atient factors</w:t>
      </w:r>
      <w:r w:rsidR="00692E23" w:rsidRPr="69193B64">
        <w:t>:</w:t>
      </w:r>
      <w:r w:rsidR="00E733DF" w:rsidRPr="69193B64">
        <w:t xml:space="preserve"> 23 </w:t>
      </w:r>
      <w:r w:rsidR="6541595C" w:rsidRPr="69193B64">
        <w:t xml:space="preserve">cases </w:t>
      </w:r>
      <w:r w:rsidR="00692E23" w:rsidRPr="69193B64">
        <w:t>(</w:t>
      </w:r>
      <w:r w:rsidR="00E733DF" w:rsidRPr="69193B64">
        <w:t>85</w:t>
      </w:r>
      <w:r>
        <w:t>%</w:t>
      </w:r>
      <w:r w:rsidR="00603CF4" w:rsidRPr="69193B64">
        <w:t>)</w:t>
      </w:r>
    </w:p>
    <w:p w14:paraId="6DFDFD6D" w14:textId="14761349" w:rsidR="00E733DF" w:rsidRDefault="3FAAF8D8" w:rsidP="0057201C">
      <w:pPr>
        <w:pStyle w:val="SCVbullet1"/>
      </w:pPr>
      <w:r>
        <w:t>s</w:t>
      </w:r>
      <w:r w:rsidR="6C33F7A8">
        <w:t xml:space="preserve">afety culture </w:t>
      </w:r>
      <w:r w:rsidR="5F137125">
        <w:t>(</w:t>
      </w:r>
      <w:r w:rsidR="66692479">
        <w:t>four</w:t>
      </w:r>
      <w:r>
        <w:t xml:space="preserve"> </w:t>
      </w:r>
      <w:r w:rsidR="6C33F7A8">
        <w:t xml:space="preserve">out of </w:t>
      </w:r>
      <w:r w:rsidR="72D30A69">
        <w:t>five</w:t>
      </w:r>
      <w:r>
        <w:t xml:space="preserve"> </w:t>
      </w:r>
      <w:r w:rsidR="6C33F7A8">
        <w:t>event reviews</w:t>
      </w:r>
      <w:r w:rsidR="5F137125">
        <w:t>)</w:t>
      </w:r>
      <w:r w:rsidR="24875F5C">
        <w:t>.</w:t>
      </w:r>
    </w:p>
    <w:p w14:paraId="272BFAD6" w14:textId="0358CA9D" w:rsidR="001C456D" w:rsidRPr="00C52690" w:rsidRDefault="39A07EE5" w:rsidP="0621AD70">
      <w:pPr>
        <w:pStyle w:val="SCVbodyafterheading"/>
      </w:pPr>
      <w:r>
        <w:t xml:space="preserve">Table </w:t>
      </w:r>
      <w:r w:rsidR="70D70899">
        <w:t>6</w:t>
      </w:r>
      <w:r>
        <w:t xml:space="preserve"> lists the top </w:t>
      </w:r>
      <w:r w:rsidR="1F625997">
        <w:t>five</w:t>
      </w:r>
      <w:r>
        <w:t xml:space="preserve"> </w:t>
      </w:r>
      <w:r w:rsidR="07688202">
        <w:t>causes identified in</w:t>
      </w:r>
      <w:r>
        <w:t xml:space="preserve"> maternity-related events.</w:t>
      </w:r>
    </w:p>
    <w:p w14:paraId="7D8BCD47" w14:textId="648F83B6" w:rsidR="00E733DF" w:rsidRDefault="6C33F7A8" w:rsidP="00834EF2">
      <w:pPr>
        <w:pStyle w:val="SCVtablecaption"/>
      </w:pPr>
      <w:r w:rsidRPr="509B18F9">
        <w:rPr>
          <w:rFonts w:ascii="Arial" w:hAnsi="Arial" w:cs="Arial"/>
        </w:rPr>
        <w:t xml:space="preserve">Table </w:t>
      </w:r>
      <w:r w:rsidR="7D9799E2" w:rsidRPr="509B18F9">
        <w:rPr>
          <w:rFonts w:ascii="Arial" w:hAnsi="Arial" w:cs="Arial"/>
        </w:rPr>
        <w:t>6</w:t>
      </w:r>
      <w:r w:rsidR="3FAAF8D8" w:rsidRPr="509B18F9">
        <w:rPr>
          <w:rFonts w:ascii="Arial" w:hAnsi="Arial" w:cs="Arial"/>
        </w:rPr>
        <w:t xml:space="preserve">: </w:t>
      </w:r>
      <w:r>
        <w:t>Top</w:t>
      </w:r>
      <w:r w:rsidR="3FAAF8D8">
        <w:t xml:space="preserve"> </w:t>
      </w:r>
      <w:r w:rsidR="1506E081">
        <w:t>five</w:t>
      </w:r>
      <w:r w:rsidR="459CD1D6">
        <w:t xml:space="preserve"> </w:t>
      </w:r>
      <w:r w:rsidR="7B4B451D">
        <w:t xml:space="preserve">causes identified in </w:t>
      </w:r>
      <w:r>
        <w:t>maternity</w:t>
      </w:r>
      <w:r w:rsidR="65029129">
        <w:t>-</w:t>
      </w:r>
      <w:r>
        <w:t>related events</w:t>
      </w:r>
      <w:r w:rsidR="65029129">
        <w:t>, 2024</w:t>
      </w:r>
      <w:r w:rsidR="612C6621">
        <w:t>–</w:t>
      </w:r>
      <w:r w:rsidR="65029129">
        <w:t>25</w:t>
      </w:r>
    </w:p>
    <w:tbl>
      <w:tblPr>
        <w:tblStyle w:val="TableGrid"/>
        <w:tblW w:w="0" w:type="auto"/>
        <w:tblLook w:val="04A0" w:firstRow="1" w:lastRow="0" w:firstColumn="1" w:lastColumn="0" w:noHBand="0" w:noVBand="1"/>
      </w:tblPr>
      <w:tblGrid>
        <w:gridCol w:w="6379"/>
        <w:gridCol w:w="3825"/>
      </w:tblGrid>
      <w:tr w:rsidR="00911536" w14:paraId="0913D802" w14:textId="77777777" w:rsidTr="00A1694A">
        <w:trPr>
          <w:cnfStyle w:val="100000000000" w:firstRow="1" w:lastRow="0" w:firstColumn="0" w:lastColumn="0" w:oddVBand="0" w:evenVBand="0" w:oddHBand="0" w:evenHBand="0" w:firstRowFirstColumn="0" w:firstRowLastColumn="0" w:lastRowFirstColumn="0" w:lastRowLastColumn="0"/>
        </w:trPr>
        <w:tc>
          <w:tcPr>
            <w:tcW w:w="6379" w:type="dxa"/>
          </w:tcPr>
          <w:p w14:paraId="4DEAA51E" w14:textId="7ED23725" w:rsidR="00911536" w:rsidRPr="00911536" w:rsidRDefault="00911536" w:rsidP="00911536">
            <w:pPr>
              <w:pStyle w:val="SCVbody"/>
              <w:rPr>
                <w:b/>
                <w:bCs/>
                <w:color w:val="007586" w:themeColor="text2"/>
                <w:lang w:eastAsia="en-AU"/>
              </w:rPr>
            </w:pPr>
            <w:r>
              <w:rPr>
                <w:b/>
                <w:bCs/>
                <w:color w:val="007586" w:themeColor="text2"/>
                <w:lang w:eastAsia="en-AU"/>
              </w:rPr>
              <w:t>Lesson learnt</w:t>
            </w:r>
          </w:p>
        </w:tc>
        <w:tc>
          <w:tcPr>
            <w:tcW w:w="3825" w:type="dxa"/>
            <w:vAlign w:val="center"/>
          </w:tcPr>
          <w:p w14:paraId="3DCD53C7" w14:textId="6415F226" w:rsidR="00911536" w:rsidRPr="00911536" w:rsidRDefault="00911536" w:rsidP="00A1694A">
            <w:pPr>
              <w:pStyle w:val="SCVbody"/>
              <w:jc w:val="right"/>
              <w:rPr>
                <w:b/>
                <w:bCs/>
                <w:color w:val="007586" w:themeColor="text2"/>
                <w:lang w:eastAsia="en-AU"/>
              </w:rPr>
            </w:pPr>
            <w:r>
              <w:rPr>
                <w:b/>
                <w:bCs/>
                <w:color w:val="007586" w:themeColor="text2"/>
                <w:lang w:eastAsia="en-AU"/>
              </w:rPr>
              <w:t>Percentage (%)</w:t>
            </w:r>
          </w:p>
        </w:tc>
      </w:tr>
      <w:tr w:rsidR="00911536" w14:paraId="73E94871" w14:textId="77777777" w:rsidTr="00A1694A">
        <w:tc>
          <w:tcPr>
            <w:tcW w:w="6379" w:type="dxa"/>
          </w:tcPr>
          <w:p w14:paraId="5952689E" w14:textId="65BC77F8" w:rsidR="00911536" w:rsidRPr="00911536" w:rsidRDefault="00911536" w:rsidP="00911536">
            <w:pPr>
              <w:pStyle w:val="SCVbody"/>
              <w:rPr>
                <w:b/>
                <w:bCs/>
                <w:color w:val="007586" w:themeColor="text2"/>
                <w:lang w:eastAsia="en-AU"/>
              </w:rPr>
            </w:pPr>
            <w:r>
              <w:rPr>
                <w:b/>
                <w:bCs/>
                <w:color w:val="007586" w:themeColor="text2"/>
                <w:lang w:eastAsia="en-AU"/>
              </w:rPr>
              <w:t>Procedures and guidelines</w:t>
            </w:r>
          </w:p>
        </w:tc>
        <w:tc>
          <w:tcPr>
            <w:tcW w:w="3825" w:type="dxa"/>
            <w:vAlign w:val="center"/>
          </w:tcPr>
          <w:p w14:paraId="49844F76" w14:textId="30C55236" w:rsidR="00911536" w:rsidRDefault="00A1694A" w:rsidP="00A1694A">
            <w:pPr>
              <w:pStyle w:val="SCVbody"/>
              <w:jc w:val="right"/>
              <w:rPr>
                <w:lang w:eastAsia="en-AU"/>
              </w:rPr>
            </w:pPr>
            <w:r>
              <w:rPr>
                <w:lang w:eastAsia="en-AU"/>
              </w:rPr>
              <w:t>26</w:t>
            </w:r>
          </w:p>
        </w:tc>
      </w:tr>
      <w:tr w:rsidR="00911536" w14:paraId="333D109B" w14:textId="77777777" w:rsidTr="00A1694A">
        <w:tc>
          <w:tcPr>
            <w:tcW w:w="6379" w:type="dxa"/>
          </w:tcPr>
          <w:p w14:paraId="578D0A70" w14:textId="455255A7" w:rsidR="00911536" w:rsidRPr="00911536" w:rsidRDefault="00911536" w:rsidP="00911536">
            <w:pPr>
              <w:pStyle w:val="SCVbody"/>
              <w:rPr>
                <w:b/>
                <w:bCs/>
                <w:color w:val="007586" w:themeColor="text2"/>
                <w:lang w:eastAsia="en-AU"/>
              </w:rPr>
            </w:pPr>
            <w:r>
              <w:rPr>
                <w:b/>
                <w:bCs/>
                <w:color w:val="007586" w:themeColor="text2"/>
                <w:lang w:eastAsia="en-AU"/>
              </w:rPr>
              <w:t>Teamwork factors</w:t>
            </w:r>
          </w:p>
        </w:tc>
        <w:tc>
          <w:tcPr>
            <w:tcW w:w="3825" w:type="dxa"/>
            <w:vAlign w:val="center"/>
          </w:tcPr>
          <w:p w14:paraId="58D66066" w14:textId="326D7AE5" w:rsidR="00911536" w:rsidRDefault="00A1694A" w:rsidP="00A1694A">
            <w:pPr>
              <w:pStyle w:val="SCVbody"/>
              <w:jc w:val="right"/>
              <w:rPr>
                <w:lang w:eastAsia="en-AU"/>
              </w:rPr>
            </w:pPr>
            <w:r>
              <w:rPr>
                <w:lang w:eastAsia="en-AU"/>
              </w:rPr>
              <w:t>22</w:t>
            </w:r>
          </w:p>
        </w:tc>
      </w:tr>
      <w:tr w:rsidR="00911536" w14:paraId="7AED872D" w14:textId="77777777" w:rsidTr="00A1694A">
        <w:tc>
          <w:tcPr>
            <w:tcW w:w="6379" w:type="dxa"/>
          </w:tcPr>
          <w:p w14:paraId="48B2E532" w14:textId="7D78D156" w:rsidR="00911536" w:rsidRPr="00911536" w:rsidRDefault="00911536" w:rsidP="00911536">
            <w:pPr>
              <w:pStyle w:val="SCVbody"/>
              <w:rPr>
                <w:b/>
                <w:bCs/>
                <w:color w:val="007586" w:themeColor="text2"/>
                <w:lang w:eastAsia="en-AU"/>
              </w:rPr>
            </w:pPr>
            <w:r>
              <w:rPr>
                <w:b/>
                <w:bCs/>
                <w:color w:val="007586" w:themeColor="text2"/>
                <w:lang w:eastAsia="en-AU"/>
              </w:rPr>
              <w:t>Staff factors</w:t>
            </w:r>
          </w:p>
        </w:tc>
        <w:tc>
          <w:tcPr>
            <w:tcW w:w="3825" w:type="dxa"/>
            <w:vAlign w:val="center"/>
          </w:tcPr>
          <w:p w14:paraId="120F95AB" w14:textId="6AE7611B" w:rsidR="00911536" w:rsidRDefault="00A1694A" w:rsidP="00A1694A">
            <w:pPr>
              <w:pStyle w:val="SCVbody"/>
              <w:jc w:val="right"/>
              <w:rPr>
                <w:lang w:eastAsia="en-AU"/>
              </w:rPr>
            </w:pPr>
            <w:r>
              <w:rPr>
                <w:lang w:eastAsia="en-AU"/>
              </w:rPr>
              <w:t>16</w:t>
            </w:r>
          </w:p>
        </w:tc>
      </w:tr>
      <w:tr w:rsidR="00911536" w14:paraId="37F67C9E" w14:textId="77777777" w:rsidTr="00A1694A">
        <w:tc>
          <w:tcPr>
            <w:tcW w:w="6379" w:type="dxa"/>
          </w:tcPr>
          <w:p w14:paraId="0567C32F" w14:textId="39319992" w:rsidR="00911536" w:rsidRPr="00911536" w:rsidRDefault="00911536" w:rsidP="00911536">
            <w:pPr>
              <w:pStyle w:val="SCVbody"/>
              <w:rPr>
                <w:b/>
                <w:bCs/>
                <w:color w:val="007586" w:themeColor="text2"/>
                <w:lang w:eastAsia="en-AU"/>
              </w:rPr>
            </w:pPr>
            <w:r>
              <w:rPr>
                <w:b/>
                <w:bCs/>
                <w:color w:val="007586" w:themeColor="text2"/>
                <w:lang w:eastAsia="en-AU"/>
              </w:rPr>
              <w:t>Documentation, assessment and decision support</w:t>
            </w:r>
          </w:p>
        </w:tc>
        <w:tc>
          <w:tcPr>
            <w:tcW w:w="3825" w:type="dxa"/>
            <w:vAlign w:val="center"/>
          </w:tcPr>
          <w:p w14:paraId="78B7A309" w14:textId="49852AAA" w:rsidR="00911536" w:rsidRDefault="00A1694A" w:rsidP="00A1694A">
            <w:pPr>
              <w:pStyle w:val="SCVbody"/>
              <w:jc w:val="right"/>
              <w:rPr>
                <w:lang w:eastAsia="en-AU"/>
              </w:rPr>
            </w:pPr>
            <w:r>
              <w:rPr>
                <w:lang w:eastAsia="en-AU"/>
              </w:rPr>
              <w:t>7</w:t>
            </w:r>
          </w:p>
        </w:tc>
      </w:tr>
      <w:tr w:rsidR="00911536" w14:paraId="79EC7FD0" w14:textId="77777777" w:rsidTr="00A1694A">
        <w:tc>
          <w:tcPr>
            <w:tcW w:w="6379" w:type="dxa"/>
          </w:tcPr>
          <w:p w14:paraId="01ECC3AC" w14:textId="0D747FF7" w:rsidR="00911536" w:rsidRDefault="00A1694A" w:rsidP="00911536">
            <w:pPr>
              <w:pStyle w:val="SCVbody"/>
              <w:rPr>
                <w:b/>
                <w:bCs/>
                <w:color w:val="007586" w:themeColor="text2"/>
                <w:lang w:eastAsia="en-AU"/>
              </w:rPr>
            </w:pPr>
            <w:r>
              <w:rPr>
                <w:b/>
                <w:bCs/>
                <w:color w:val="007586" w:themeColor="text2"/>
                <w:lang w:eastAsia="en-AU"/>
              </w:rPr>
              <w:t>Equipment, resources and medications</w:t>
            </w:r>
          </w:p>
        </w:tc>
        <w:tc>
          <w:tcPr>
            <w:tcW w:w="3825" w:type="dxa"/>
            <w:vAlign w:val="center"/>
          </w:tcPr>
          <w:p w14:paraId="731B5082" w14:textId="14C29E4B" w:rsidR="00911536" w:rsidRDefault="00A1694A" w:rsidP="00A1694A">
            <w:pPr>
              <w:pStyle w:val="SCVbody"/>
              <w:jc w:val="right"/>
              <w:rPr>
                <w:lang w:eastAsia="en-AU"/>
              </w:rPr>
            </w:pPr>
            <w:r>
              <w:rPr>
                <w:lang w:eastAsia="en-AU"/>
              </w:rPr>
              <w:t>6</w:t>
            </w:r>
          </w:p>
        </w:tc>
      </w:tr>
    </w:tbl>
    <w:p w14:paraId="5086F2D8" w14:textId="77777777" w:rsidR="00911536" w:rsidRDefault="00911536" w:rsidP="00911536">
      <w:pPr>
        <w:pStyle w:val="SCVbody"/>
        <w:rPr>
          <w:lang w:eastAsia="en-AU"/>
        </w:rPr>
      </w:pPr>
    </w:p>
    <w:p w14:paraId="295E3ED2" w14:textId="77777777" w:rsidR="00A1694A" w:rsidRDefault="00A1694A" w:rsidP="00A034F9">
      <w:pPr>
        <w:pStyle w:val="Heading3"/>
      </w:pPr>
      <w:r>
        <w:lastRenderedPageBreak/>
        <w:t>Guidance for health services to inform continuous improvement</w:t>
      </w:r>
    </w:p>
    <w:p w14:paraId="1F9CC626" w14:textId="77777777" w:rsidR="00A1694A" w:rsidRPr="000F0309" w:rsidRDefault="00A1694A" w:rsidP="00A034F9">
      <w:pPr>
        <w:pStyle w:val="SCVbody"/>
      </w:pPr>
      <w:r>
        <w:t>SCV’s analysis of maternity-related sentinel events identified recurring system-level issues across the care pathway. While individual clinical circumstances varied, consistent themes emerged as to the reliability of systems to support deterioration recognition, antenatal risk identification, intrapartum (during labour) monitoring and escalation of care. These included:</w:t>
      </w:r>
    </w:p>
    <w:p w14:paraId="5C6A5AB2" w14:textId="77777777" w:rsidR="00A1694A" w:rsidRPr="0035086B" w:rsidRDefault="00A1694A" w:rsidP="00A034F9">
      <w:pPr>
        <w:pStyle w:val="SCVbullet1"/>
      </w:pPr>
      <w:r>
        <w:t xml:space="preserve">delays in recognising and escalating maternal or </w:t>
      </w:r>
      <w:proofErr w:type="spellStart"/>
      <w:r>
        <w:t>fetal</w:t>
      </w:r>
      <w:proofErr w:type="spellEnd"/>
      <w:r>
        <w:t xml:space="preserve"> deterioration during pregnancy and labour</w:t>
      </w:r>
    </w:p>
    <w:p w14:paraId="77265606" w14:textId="77777777" w:rsidR="00A1694A" w:rsidRPr="0035086B" w:rsidRDefault="00A1694A" w:rsidP="00A034F9">
      <w:pPr>
        <w:pStyle w:val="SCVbullet1"/>
      </w:pPr>
      <w:r>
        <w:t xml:space="preserve">early warning signs, including reduced </w:t>
      </w:r>
      <w:proofErr w:type="spellStart"/>
      <w:r>
        <w:t>fetal</w:t>
      </w:r>
      <w:proofErr w:type="spellEnd"/>
      <w:r>
        <w:t xml:space="preserve"> movements and CTG changes, not always recognised or escalated in a timely way</w:t>
      </w:r>
    </w:p>
    <w:p w14:paraId="14BF0B95" w14:textId="77777777" w:rsidR="00A1694A" w:rsidRPr="004972D0" w:rsidRDefault="00A1694A" w:rsidP="00A034F9">
      <w:pPr>
        <w:pStyle w:val="SCVbullet1"/>
      </w:pPr>
      <w:r>
        <w:t>in complex, time-critical settings, delayed escalation, which reduced opportunities for early intervention.</w:t>
      </w:r>
    </w:p>
    <w:p w14:paraId="002C2016" w14:textId="77777777" w:rsidR="00A1694A" w:rsidRPr="00892FB1" w:rsidRDefault="00A1694A" w:rsidP="00A034F9">
      <w:pPr>
        <w:pStyle w:val="SCVbodyafterheading"/>
      </w:pPr>
      <w:r w:rsidRPr="00892FB1">
        <w:t>These findings highlight the importance of care models that consistently support</w:t>
      </w:r>
      <w:r w:rsidRPr="00892FB1">
        <w:rPr>
          <w:i/>
        </w:rPr>
        <w:t xml:space="preserve"> </w:t>
      </w:r>
      <w:r w:rsidRPr="00892FB1">
        <w:t>early identification of deterioration and timely access to senior clinical decision-making.</w:t>
      </w:r>
    </w:p>
    <w:p w14:paraId="37D78E03" w14:textId="77777777" w:rsidR="00A1694A" w:rsidRPr="004A57D4" w:rsidRDefault="00A1694A" w:rsidP="00A034F9">
      <w:pPr>
        <w:pStyle w:val="Heading4"/>
        <w:rPr>
          <w:color w:val="004C97" w:themeColor="accent4"/>
        </w:rPr>
      </w:pPr>
      <w:r w:rsidRPr="004A57D4">
        <w:rPr>
          <w:color w:val="004C97" w:themeColor="accent4"/>
        </w:rPr>
        <w:t>Clinical process or procedure</w:t>
      </w:r>
    </w:p>
    <w:p w14:paraId="636FCE66" w14:textId="77777777" w:rsidR="00A1694A" w:rsidRDefault="00A1694A" w:rsidP="00A034F9">
      <w:pPr>
        <w:pStyle w:val="SCVbody"/>
      </w:pPr>
      <w:proofErr w:type="gramStart"/>
      <w:r>
        <w:t>How</w:t>
      </w:r>
      <w:proofErr w:type="gramEnd"/>
      <w:r>
        <w:t xml:space="preserve"> intrapartum </w:t>
      </w:r>
      <w:proofErr w:type="spellStart"/>
      <w:r>
        <w:t>fetal</w:t>
      </w:r>
      <w:proofErr w:type="spellEnd"/>
      <w:r>
        <w:t xml:space="preserve"> surveillance processes are applied in practice varied, including in:</w:t>
      </w:r>
    </w:p>
    <w:p w14:paraId="534E07F4" w14:textId="77777777" w:rsidR="00A1694A" w:rsidRPr="0073727F" w:rsidRDefault="00A1694A" w:rsidP="00A034F9">
      <w:pPr>
        <w:pStyle w:val="SCVbullet1"/>
      </w:pPr>
      <w:r>
        <w:t xml:space="preserve">CTG interpretation </w:t>
      </w:r>
    </w:p>
    <w:p w14:paraId="739400DE" w14:textId="77777777" w:rsidR="00A1694A" w:rsidRPr="0073727F" w:rsidRDefault="00A1694A" w:rsidP="00A034F9">
      <w:pPr>
        <w:pStyle w:val="SCVbullet1"/>
      </w:pPr>
      <w:r>
        <w:t xml:space="preserve">escalation pathways </w:t>
      </w:r>
    </w:p>
    <w:p w14:paraId="0FF22DB4" w14:textId="77777777" w:rsidR="00A1694A" w:rsidRDefault="00A1694A" w:rsidP="00A034F9">
      <w:pPr>
        <w:pStyle w:val="SCVbullet1"/>
      </w:pPr>
      <w:r>
        <w:t xml:space="preserve">use of clinical guidelines. </w:t>
      </w:r>
    </w:p>
    <w:p w14:paraId="58CFF8FA" w14:textId="77777777" w:rsidR="00A1694A" w:rsidRPr="00E33AC7" w:rsidRDefault="00A1694A" w:rsidP="00A034F9">
      <w:pPr>
        <w:pStyle w:val="SCVbodyafterheading"/>
      </w:pPr>
      <w:r w:rsidRPr="00E33AC7">
        <w:t xml:space="preserve">These variations reflected differences in local systems, workforce capability and how policies and procedures are interpreted and effectively implemented. </w:t>
      </w:r>
    </w:p>
    <w:p w14:paraId="3D8F7D91" w14:textId="77777777" w:rsidR="00A1694A" w:rsidRPr="004A57D4" w:rsidRDefault="00A1694A" w:rsidP="00A034F9">
      <w:pPr>
        <w:pStyle w:val="Heading4"/>
        <w:rPr>
          <w:color w:val="004C97" w:themeColor="accent4"/>
        </w:rPr>
      </w:pPr>
      <w:r w:rsidRPr="004A57D4">
        <w:rPr>
          <w:color w:val="004C97" w:themeColor="accent4"/>
        </w:rPr>
        <w:t>Recognition of high-risk and antenatal pathways</w:t>
      </w:r>
    </w:p>
    <w:p w14:paraId="44D0E8FC" w14:textId="77777777" w:rsidR="00A1694A" w:rsidRPr="000F0309" w:rsidRDefault="00A1694A" w:rsidP="00A034F9">
      <w:pPr>
        <w:pStyle w:val="SCVbody"/>
      </w:pPr>
      <w:r>
        <w:t>Sentinel event data highlighted gaps in how antenatal care pathways respond when clinical risks change over time. In some cases, care pathways did not reliably prompt reassessment or escalation when new risk factors emerged, which contributed to delays in intervention.</w:t>
      </w:r>
    </w:p>
    <w:p w14:paraId="1D86E610" w14:textId="77777777" w:rsidR="00A1694A" w:rsidRPr="000F0309" w:rsidRDefault="00A1694A" w:rsidP="00A034F9">
      <w:pPr>
        <w:pStyle w:val="SCVbody"/>
      </w:pPr>
      <w:r>
        <w:t>These findings highlighted the importance of antenatal care pathways that respond to changing risk and support timely multidisciplinary and senior clinical review.</w:t>
      </w:r>
    </w:p>
    <w:p w14:paraId="5B34B779" w14:textId="77777777" w:rsidR="00A1694A" w:rsidRPr="004A57D4" w:rsidRDefault="00A1694A" w:rsidP="00A034F9">
      <w:pPr>
        <w:pStyle w:val="Heading4"/>
        <w:rPr>
          <w:color w:val="004C97" w:themeColor="accent4"/>
        </w:rPr>
      </w:pPr>
      <w:r w:rsidRPr="004A57D4">
        <w:rPr>
          <w:color w:val="004C97" w:themeColor="accent4"/>
        </w:rPr>
        <w:t>Monitoring and escalation</w:t>
      </w:r>
    </w:p>
    <w:p w14:paraId="106F77A0" w14:textId="77777777" w:rsidR="00A1694A" w:rsidRDefault="00A1694A" w:rsidP="00A034F9">
      <w:pPr>
        <w:pStyle w:val="SCVbody"/>
      </w:pPr>
      <w:r>
        <w:t xml:space="preserve">SCV noted challenges with monitoring and escalation across multiple maternity sentinel events, including: </w:t>
      </w:r>
    </w:p>
    <w:p w14:paraId="6E4A2AAA" w14:textId="77777777" w:rsidR="00A034F9" w:rsidRPr="0073727F" w:rsidRDefault="00A034F9" w:rsidP="00A034F9">
      <w:pPr>
        <w:pStyle w:val="SCVbullet1"/>
      </w:pPr>
      <w:r>
        <w:t>difficulties in bringing together and interpreting clinical information</w:t>
      </w:r>
    </w:p>
    <w:p w14:paraId="2E53B84A" w14:textId="77777777" w:rsidR="00A034F9" w:rsidRPr="0057438B" w:rsidRDefault="00A034F9" w:rsidP="00A034F9">
      <w:pPr>
        <w:pStyle w:val="SCVbullet1"/>
      </w:pPr>
      <w:r>
        <w:lastRenderedPageBreak/>
        <w:t xml:space="preserve">delays in responding to abnormal findings </w:t>
      </w:r>
    </w:p>
    <w:p w14:paraId="5CD1C486" w14:textId="77777777" w:rsidR="00A034F9" w:rsidRPr="0057438B" w:rsidRDefault="00A034F9" w:rsidP="00A034F9">
      <w:pPr>
        <w:pStyle w:val="SCVbullet1"/>
      </w:pPr>
      <w:r>
        <w:t>escalating concerns across antenatal and intrapartum settings.</w:t>
      </w:r>
    </w:p>
    <w:p w14:paraId="766D3A1E" w14:textId="77777777" w:rsidR="00A034F9" w:rsidRDefault="00A034F9" w:rsidP="00A034F9">
      <w:pPr>
        <w:pStyle w:val="SCVbodyafterheading"/>
      </w:pPr>
      <w:r w:rsidRPr="00144306">
        <w:t>These findings highlight the need for monitoring and escalation systems that reliably support early recognition of deterioration and reduce reliance on individual judgement alone.</w:t>
      </w:r>
    </w:p>
    <w:p w14:paraId="575B9140" w14:textId="77777777" w:rsidR="00A034F9" w:rsidRPr="00144306" w:rsidRDefault="00A034F9" w:rsidP="00A034F9">
      <w:pPr>
        <w:pStyle w:val="Heading3"/>
        <w:rPr>
          <w:rFonts w:ascii="Arial" w:hAnsi="Arial" w:cs="Arial"/>
        </w:rPr>
      </w:pPr>
      <w:r w:rsidRPr="004E1558">
        <w:rPr>
          <w:rStyle w:val="Heading3Char"/>
          <w:b/>
        </w:rPr>
        <w:t>Summary</w:t>
      </w:r>
      <w:r>
        <w:rPr>
          <w:rStyle w:val="Heading3Char"/>
        </w:rPr>
        <w:t xml:space="preserve"> </w:t>
      </w:r>
    </w:p>
    <w:p w14:paraId="6EE023EE" w14:textId="77777777" w:rsidR="00A034F9" w:rsidRDefault="00A034F9" w:rsidP="00A034F9">
      <w:pPr>
        <w:pStyle w:val="SCVbody"/>
      </w:pPr>
      <w:r w:rsidRPr="00144306">
        <w:t xml:space="preserve">System </w:t>
      </w:r>
      <w:r>
        <w:t>insight</w:t>
      </w:r>
      <w:r w:rsidRPr="00144306">
        <w:t>s show that improving safety requires strong, reliable systems that support clinicians, teams and consumers</w:t>
      </w:r>
      <w:r w:rsidRPr="002A409B">
        <w:rPr>
          <w:i/>
        </w:rPr>
        <w:t xml:space="preserve"> </w:t>
      </w:r>
      <w:r w:rsidRPr="002A409B">
        <w:t>throughout the whole maternity care journey</w:t>
      </w:r>
      <w:r w:rsidRPr="00144306">
        <w:t>.</w:t>
      </w:r>
    </w:p>
    <w:p w14:paraId="27CF5FF1" w14:textId="77777777" w:rsidR="00A034F9" w:rsidRDefault="00A034F9" w:rsidP="00A034F9">
      <w:pPr>
        <w:pStyle w:val="SCVbody"/>
        <w:rPr>
          <w:rFonts w:eastAsia="Arial"/>
        </w:rPr>
      </w:pPr>
      <w:r>
        <w:rPr>
          <w:rFonts w:eastAsia="Arial"/>
        </w:rPr>
        <w:t>The following s</w:t>
      </w:r>
      <w:r w:rsidRPr="000F0309">
        <w:rPr>
          <w:rFonts w:eastAsia="Arial"/>
        </w:rPr>
        <w:t xml:space="preserve">ystem improvement examples </w:t>
      </w:r>
      <w:r>
        <w:rPr>
          <w:rFonts w:eastAsia="Arial"/>
        </w:rPr>
        <w:t xml:space="preserve">from SCV </w:t>
      </w:r>
      <w:r w:rsidRPr="000F0309">
        <w:rPr>
          <w:rFonts w:eastAsia="Arial"/>
        </w:rPr>
        <w:t>focus on</w:t>
      </w:r>
      <w:r w:rsidRPr="000F0309" w:rsidDel="00F35DF8">
        <w:rPr>
          <w:rFonts w:eastAsia="Arial"/>
        </w:rPr>
        <w:t xml:space="preserve"> </w:t>
      </w:r>
      <w:r>
        <w:rPr>
          <w:rFonts w:eastAsia="Arial"/>
        </w:rPr>
        <w:t xml:space="preserve">the </w:t>
      </w:r>
      <w:r w:rsidRPr="000F0309">
        <w:rPr>
          <w:rFonts w:eastAsia="Arial"/>
        </w:rPr>
        <w:t xml:space="preserve">common themes identified from </w:t>
      </w:r>
      <w:r>
        <w:rPr>
          <w:rFonts w:eastAsia="Arial"/>
        </w:rPr>
        <w:t>maternity</w:t>
      </w:r>
      <w:r w:rsidRPr="000F0309">
        <w:rPr>
          <w:rFonts w:eastAsia="Arial"/>
        </w:rPr>
        <w:t xml:space="preserve"> sentinel events</w:t>
      </w:r>
      <w:r>
        <w:rPr>
          <w:rFonts w:eastAsia="Arial"/>
        </w:rPr>
        <w:t>.</w:t>
      </w:r>
    </w:p>
    <w:p w14:paraId="59A06B67" w14:textId="77777777" w:rsidR="00A034F9" w:rsidRPr="004A57D4" w:rsidRDefault="00A034F9" w:rsidP="00A034F9">
      <w:pPr>
        <w:pStyle w:val="Heading4"/>
        <w:rPr>
          <w:color w:val="004C97" w:themeColor="accent4"/>
        </w:rPr>
      </w:pPr>
      <w:r w:rsidRPr="004A57D4">
        <w:rPr>
          <w:color w:val="004C97" w:themeColor="accent4"/>
        </w:rPr>
        <w:t>Strengthening antenatal pathways and senior clinical involvement</w:t>
      </w:r>
    </w:p>
    <w:p w14:paraId="7A4539DD" w14:textId="77777777" w:rsidR="00A034F9" w:rsidRPr="005E7DE4" w:rsidRDefault="00A034F9" w:rsidP="00A034F9">
      <w:pPr>
        <w:pStyle w:val="SCVbody"/>
      </w:pPr>
      <w:r>
        <w:t xml:space="preserve">Two approaches help optimise early management and reduce the likelihood of maternal or </w:t>
      </w:r>
      <w:proofErr w:type="spellStart"/>
      <w:r>
        <w:t>fetal</w:t>
      </w:r>
      <w:proofErr w:type="spellEnd"/>
      <w:r>
        <w:t xml:space="preserve"> deterioration later in pregnancy or during labour:</w:t>
      </w:r>
    </w:p>
    <w:p w14:paraId="4CC9BF42" w14:textId="77777777" w:rsidR="00A034F9" w:rsidRDefault="00A034F9" w:rsidP="00A034F9">
      <w:pPr>
        <w:pStyle w:val="SCVbullet1"/>
      </w:pPr>
      <w:r>
        <w:t>recognising the importance of antenatal care pathways that respond to changes in clinical complexity over the course of pregnancy</w:t>
      </w:r>
    </w:p>
    <w:p w14:paraId="72BB1712" w14:textId="77777777" w:rsidR="00A034F9" w:rsidRPr="009D34D1" w:rsidRDefault="00A034F9" w:rsidP="00A034F9">
      <w:pPr>
        <w:pStyle w:val="SCVbullet1"/>
        <w:rPr>
          <w:lang w:eastAsia="en-AU"/>
        </w:rPr>
      </w:pPr>
      <w:r>
        <w:t xml:space="preserve">proactively reviewing antenatal pathways, including early, face-to-face obstetric consultant involvement for women with increasing risk or reduced </w:t>
      </w:r>
      <w:proofErr w:type="spellStart"/>
      <w:r>
        <w:t>fetal</w:t>
      </w:r>
      <w:proofErr w:type="spellEnd"/>
      <w:r>
        <w:t xml:space="preserve"> movements, timely reassessment, shared decision-making and proactive care planning. </w:t>
      </w:r>
    </w:p>
    <w:p w14:paraId="0E71146A" w14:textId="77777777" w:rsidR="00A034F9" w:rsidRPr="004A57D4" w:rsidRDefault="00A034F9" w:rsidP="00A034F9">
      <w:pPr>
        <w:pStyle w:val="Heading4"/>
        <w:rPr>
          <w:rFonts w:ascii="Arial" w:hAnsi="Arial" w:cs="Arial"/>
          <w:color w:val="004C97" w:themeColor="accent4"/>
          <w:szCs w:val="24"/>
        </w:rPr>
      </w:pPr>
      <w:r w:rsidRPr="004A57D4">
        <w:rPr>
          <w:color w:val="004C97" w:themeColor="accent4"/>
        </w:rPr>
        <w:t>Improving monitoring and escalation systems</w:t>
      </w:r>
    </w:p>
    <w:p w14:paraId="2328D830" w14:textId="77777777" w:rsidR="00A034F9" w:rsidRPr="00C67044" w:rsidRDefault="00A034F9" w:rsidP="00A034F9">
      <w:pPr>
        <w:pStyle w:val="SCVbody"/>
      </w:pPr>
      <w:r>
        <w:t>T</w:t>
      </w:r>
      <w:r w:rsidRPr="716FCA60">
        <w:t>h</w:t>
      </w:r>
      <w:r>
        <w:t>is year’s</w:t>
      </w:r>
      <w:r w:rsidRPr="716FCA60">
        <w:t xml:space="preserve"> sentinel event data highlights the </w:t>
      </w:r>
      <w:r>
        <w:t>i</w:t>
      </w:r>
      <w:r w:rsidRPr="716FCA60">
        <w:t xml:space="preserve">mportance of </w:t>
      </w:r>
      <w:r>
        <w:t xml:space="preserve">having </w:t>
      </w:r>
      <w:r w:rsidRPr="716FCA60">
        <w:t xml:space="preserve">monitoring and escalation systems that consistently support early recognition of deterioration and timely senior clinician input. </w:t>
      </w:r>
    </w:p>
    <w:p w14:paraId="35E2966A" w14:textId="2831B90D" w:rsidR="00A1694A" w:rsidRPr="00911536" w:rsidRDefault="00A034F9" w:rsidP="00911536">
      <w:pPr>
        <w:pStyle w:val="SCVbody"/>
        <w:rPr>
          <w:lang w:eastAsia="en-AU"/>
        </w:rPr>
      </w:pPr>
      <w:r w:rsidRPr="00C748C7">
        <w:t>Strong systems help teams respond effectively in high</w:t>
      </w:r>
      <w:r w:rsidRPr="57454832">
        <w:t>-</w:t>
      </w:r>
      <w:r w:rsidRPr="00C748C7">
        <w:t>risk, time</w:t>
      </w:r>
      <w:r>
        <w:t>-</w:t>
      </w:r>
      <w:r w:rsidRPr="00C748C7">
        <w:t>critical situations and reduce reliance on individual vigilance.</w:t>
      </w:r>
    </w:p>
    <w:p w14:paraId="21854F38" w14:textId="18C88C44" w:rsidR="00E733DF" w:rsidRPr="004A57D4" w:rsidRDefault="00140871" w:rsidP="005E7DE4">
      <w:pPr>
        <w:pStyle w:val="Heading4"/>
        <w:rPr>
          <w:color w:val="004C97" w:themeColor="accent4"/>
        </w:rPr>
      </w:pPr>
      <w:r w:rsidRPr="004A57D4">
        <w:rPr>
          <w:color w:val="004C97" w:themeColor="accent4"/>
        </w:rPr>
        <w:t xml:space="preserve">Improvement initiatives and </w:t>
      </w:r>
      <w:r w:rsidR="00E5739B" w:rsidRPr="004A57D4" w:rsidDel="00754DBB">
        <w:rPr>
          <w:color w:val="004C97" w:themeColor="accent4"/>
        </w:rPr>
        <w:t>resources</w:t>
      </w:r>
      <w:r w:rsidRPr="004A57D4">
        <w:rPr>
          <w:color w:val="004C97" w:themeColor="accent4"/>
        </w:rPr>
        <w:t xml:space="preserve"> </w:t>
      </w:r>
    </w:p>
    <w:p w14:paraId="05DDAA3E" w14:textId="6271CF91" w:rsidR="004C0821" w:rsidRDefault="004C0821" w:rsidP="003D76A5">
      <w:pPr>
        <w:pStyle w:val="SCVbody"/>
      </w:pPr>
      <w:r>
        <w:t>The following s</w:t>
      </w:r>
      <w:r w:rsidRPr="000F0309">
        <w:t>ystem improvement examples and resources focus on</w:t>
      </w:r>
      <w:r w:rsidRPr="000F0309" w:rsidDel="00F35DF8">
        <w:t xml:space="preserve"> </w:t>
      </w:r>
      <w:r>
        <w:t xml:space="preserve">the </w:t>
      </w:r>
      <w:r w:rsidRPr="000F0309">
        <w:t xml:space="preserve">common themes identified from </w:t>
      </w:r>
      <w:r>
        <w:t>maternity</w:t>
      </w:r>
      <w:r w:rsidRPr="000F0309">
        <w:t xml:space="preserve"> sentinel events</w:t>
      </w:r>
      <w:r w:rsidR="00247F66">
        <w:t>:</w:t>
      </w:r>
    </w:p>
    <w:p w14:paraId="21171417" w14:textId="01D93DCC" w:rsidR="00DD733C" w:rsidRPr="00DD733C" w:rsidRDefault="00561243" w:rsidP="39781E1B">
      <w:pPr>
        <w:pStyle w:val="SCVbullet1"/>
      </w:pPr>
      <w:r>
        <w:t xml:space="preserve">The </w:t>
      </w:r>
      <w:hyperlink r:id="rId51">
        <w:r w:rsidR="00DD733C" w:rsidRPr="39781E1B">
          <w:rPr>
            <w:rStyle w:val="Hyperlink"/>
          </w:rPr>
          <w:t>National Preterm Birth Prevention Collaborative Project</w:t>
        </w:r>
      </w:hyperlink>
      <w:r w:rsidR="00DD733C">
        <w:t xml:space="preserve"> </w:t>
      </w:r>
      <w:r w:rsidR="00AF235B">
        <w:t>&lt;</w:t>
      </w:r>
      <w:r w:rsidR="00D3293B">
        <w:t>https://www.safercare.vic.gov.au/improvement/projects/national-preterm-birth-prevention-collaborative</w:t>
      </w:r>
      <w:r w:rsidR="00AF235B">
        <w:t xml:space="preserve">&gt; </w:t>
      </w:r>
      <w:r w:rsidR="00DD733C">
        <w:t>supports statewide prevention strategies</w:t>
      </w:r>
    </w:p>
    <w:p w14:paraId="36B4735B" w14:textId="2816F685" w:rsidR="004C0821" w:rsidRPr="00DD733C" w:rsidRDefault="00DD733C" w:rsidP="39781E1B">
      <w:pPr>
        <w:pStyle w:val="SCVbullet1"/>
      </w:pPr>
      <w:hyperlink r:id="rId52">
        <w:r w:rsidRPr="39781E1B">
          <w:rPr>
            <w:rStyle w:val="Hyperlink"/>
          </w:rPr>
          <w:t xml:space="preserve">Maternal </w:t>
        </w:r>
        <w:r w:rsidR="00AF7730" w:rsidRPr="39781E1B">
          <w:rPr>
            <w:rStyle w:val="Hyperlink"/>
          </w:rPr>
          <w:t>s</w:t>
        </w:r>
        <w:r w:rsidRPr="39781E1B">
          <w:rPr>
            <w:rStyle w:val="Hyperlink"/>
          </w:rPr>
          <w:t xml:space="preserve">epsis </w:t>
        </w:r>
        <w:r w:rsidR="00AF7730" w:rsidRPr="39781E1B">
          <w:rPr>
            <w:rStyle w:val="Hyperlink"/>
          </w:rPr>
          <w:t>c</w:t>
        </w:r>
        <w:r w:rsidRPr="39781E1B">
          <w:rPr>
            <w:rStyle w:val="Hyperlink"/>
          </w:rPr>
          <w:t xml:space="preserve">linical </w:t>
        </w:r>
        <w:r w:rsidR="00AF7730" w:rsidRPr="39781E1B">
          <w:rPr>
            <w:rStyle w:val="Hyperlink"/>
          </w:rPr>
          <w:t>g</w:t>
        </w:r>
        <w:r w:rsidRPr="39781E1B">
          <w:rPr>
            <w:rStyle w:val="Hyperlink"/>
          </w:rPr>
          <w:t>uidance</w:t>
        </w:r>
      </w:hyperlink>
      <w:r w:rsidR="008274A5">
        <w:t xml:space="preserve"> &lt;</w:t>
      </w:r>
      <w:r w:rsidR="00AF235B">
        <w:t>https://www.safercare.vic.gov.au/best-practice-improvement/clinical-guidance/maternity/maternal-sepsis</w:t>
      </w:r>
      <w:r w:rsidR="008274A5">
        <w:t>&gt;</w:t>
      </w:r>
      <w:r>
        <w:t xml:space="preserve"> and development of a statewide maternal sepsis pathway support consistent recognition and timely response across maternity services</w:t>
      </w:r>
      <w:r w:rsidR="00AF7730">
        <w:t>.</w:t>
      </w:r>
    </w:p>
    <w:p w14:paraId="1747F044" w14:textId="406D379E" w:rsidR="006E7739" w:rsidRPr="006E7739" w:rsidRDefault="00561243" w:rsidP="39781E1B">
      <w:pPr>
        <w:pStyle w:val="SCVbullet1"/>
      </w:pPr>
      <w:r>
        <w:t xml:space="preserve">The </w:t>
      </w:r>
      <w:hyperlink r:id="rId53">
        <w:r w:rsidR="006E7739" w:rsidRPr="39781E1B">
          <w:rPr>
            <w:rStyle w:val="Hyperlink"/>
          </w:rPr>
          <w:t>Victorian Maternity Services Taskforce</w:t>
        </w:r>
      </w:hyperlink>
      <w:r w:rsidR="0033507D">
        <w:t xml:space="preserve"> &lt;https://www.safercare.vic.gov.au/councils/victorian-maternity-taskforce&gt;</w:t>
      </w:r>
      <w:r w:rsidR="006E7739">
        <w:t xml:space="preserve"> was established to strengthen safe, reliable maternity care across Victoria, particularly in rural and regional areas</w:t>
      </w:r>
      <w:r w:rsidR="00AF7730">
        <w:t>.</w:t>
      </w:r>
    </w:p>
    <w:p w14:paraId="4B5E0C17" w14:textId="0C44D960" w:rsidR="006E7739" w:rsidRPr="006E7739" w:rsidRDefault="00561243" w:rsidP="39781E1B">
      <w:pPr>
        <w:pStyle w:val="SCVbullet1"/>
      </w:pPr>
      <w:r>
        <w:t xml:space="preserve">The </w:t>
      </w:r>
      <w:hyperlink r:id="rId54" w:tgtFrame="_blank" w:history="1">
        <w:r w:rsidR="006E7739" w:rsidRPr="003A45C0">
          <w:rPr>
            <w:rStyle w:val="Hyperlink"/>
          </w:rPr>
          <w:t xml:space="preserve">Respectful </w:t>
        </w:r>
        <w:r w:rsidRPr="003A45C0">
          <w:rPr>
            <w:rStyle w:val="Hyperlink"/>
          </w:rPr>
          <w:t>m</w:t>
        </w:r>
        <w:r w:rsidR="006E7739" w:rsidRPr="003A45C0" w:rsidDel="00561243">
          <w:rPr>
            <w:rStyle w:val="Hyperlink"/>
          </w:rPr>
          <w:t xml:space="preserve">aternity and </w:t>
        </w:r>
        <w:r w:rsidRPr="003A45C0">
          <w:rPr>
            <w:rStyle w:val="Hyperlink"/>
          </w:rPr>
          <w:t>n</w:t>
        </w:r>
        <w:r w:rsidR="006E7739" w:rsidRPr="003A45C0">
          <w:rPr>
            <w:rStyle w:val="Hyperlink"/>
          </w:rPr>
          <w:t xml:space="preserve">ewborn </w:t>
        </w:r>
        <w:r w:rsidRPr="003A45C0">
          <w:rPr>
            <w:rStyle w:val="Hyperlink"/>
          </w:rPr>
          <w:t>c</w:t>
        </w:r>
        <w:r w:rsidR="006E7739" w:rsidRPr="003A45C0">
          <w:rPr>
            <w:rStyle w:val="Hyperlink"/>
          </w:rPr>
          <w:t xml:space="preserve">are </w:t>
        </w:r>
        <w:r w:rsidRPr="003A45C0">
          <w:rPr>
            <w:rStyle w:val="Hyperlink"/>
          </w:rPr>
          <w:t>f</w:t>
        </w:r>
        <w:r w:rsidR="006E7739" w:rsidRPr="003A45C0">
          <w:rPr>
            <w:rStyle w:val="Hyperlink"/>
          </w:rPr>
          <w:t>ramework</w:t>
        </w:r>
      </w:hyperlink>
      <w:r w:rsidR="006E7739">
        <w:t xml:space="preserve"> </w:t>
      </w:r>
      <w:r w:rsidR="006114AD">
        <w:t xml:space="preserve">&lt;https://www.safercare.vic.gov.au/publications/respectful-maternity-and-newborn-care-framework&gt; </w:t>
      </w:r>
      <w:r w:rsidR="006E7739">
        <w:t>support</w:t>
      </w:r>
      <w:r>
        <w:t>s</w:t>
      </w:r>
      <w:r w:rsidR="006E7739">
        <w:t xml:space="preserve"> respectful, consumer-centred maternity care and guide clinicians</w:t>
      </w:r>
      <w:r w:rsidR="00AF7730">
        <w:t>.</w:t>
      </w:r>
      <w:r w:rsidR="006E7739">
        <w:t xml:space="preserve"> </w:t>
      </w:r>
    </w:p>
    <w:p w14:paraId="7202BC59" w14:textId="2A49CB32" w:rsidR="006E7739" w:rsidRPr="006E7739" w:rsidRDefault="16CCB660" w:rsidP="39781E1B">
      <w:pPr>
        <w:pStyle w:val="SCVbullet1"/>
      </w:pPr>
      <w:r>
        <w:t xml:space="preserve">The </w:t>
      </w:r>
      <w:hyperlink r:id="rId55">
        <w:r w:rsidR="541878C8" w:rsidRPr="509B18F9">
          <w:rPr>
            <w:rStyle w:val="Hyperlink"/>
          </w:rPr>
          <w:t>Safety Culture in Birth Suite</w:t>
        </w:r>
      </w:hyperlink>
      <w:r w:rsidR="7C7ECB30">
        <w:t xml:space="preserve"> </w:t>
      </w:r>
      <w:r w:rsidR="49375E06">
        <w:t>&lt;</w:t>
      </w:r>
      <w:r w:rsidR="57DEC4C6" w:rsidRPr="509B18F9">
        <w:t>https://www.safercare.vic.gov.au/improvement/projects/safety-culture-in-birth-suite</w:t>
      </w:r>
      <w:r w:rsidR="49375E06" w:rsidRPr="509B18F9">
        <w:t>&gt;</w:t>
      </w:r>
      <w:r w:rsidR="7030823C">
        <w:t xml:space="preserve"> project</w:t>
      </w:r>
      <w:r w:rsidR="09C38F67">
        <w:t xml:space="preserve"> </w:t>
      </w:r>
      <w:r w:rsidR="7C7ECB30">
        <w:t>and</w:t>
      </w:r>
      <w:r w:rsidR="1D7382D3">
        <w:t xml:space="preserve"> the</w:t>
      </w:r>
      <w:r w:rsidR="7C7ECB30">
        <w:t xml:space="preserve"> </w:t>
      </w:r>
      <w:hyperlink r:id="rId56">
        <w:r w:rsidR="7C7ECB30" w:rsidRPr="509B18F9">
          <w:rPr>
            <w:rStyle w:val="Hyperlink"/>
          </w:rPr>
          <w:t>My Maternity Journey</w:t>
        </w:r>
      </w:hyperlink>
      <w:r w:rsidR="2FE3D867">
        <w:t xml:space="preserve"> &lt;https://www.safercare.vic.gov.au/improvement/projects/my-maternity-journey&gt;</w:t>
      </w:r>
      <w:r w:rsidR="1D7382D3">
        <w:t xml:space="preserve"> resource</w:t>
      </w:r>
      <w:r w:rsidR="7C7ECB30">
        <w:t xml:space="preserve"> support safety culture and consumer engagement from conception to postpartum care</w:t>
      </w:r>
      <w:r w:rsidR="30662D30">
        <w:t>.</w:t>
      </w:r>
    </w:p>
    <w:p w14:paraId="3C9CE93E" w14:textId="5A648E03" w:rsidR="006F5F11" w:rsidRDefault="00561243" w:rsidP="39781E1B">
      <w:pPr>
        <w:pStyle w:val="SCVbullet1"/>
      </w:pPr>
      <w:r>
        <w:t xml:space="preserve">The </w:t>
      </w:r>
      <w:hyperlink r:id="rId57">
        <w:r w:rsidRPr="39781E1B">
          <w:rPr>
            <w:rStyle w:val="Hyperlink"/>
          </w:rPr>
          <w:t>Maternal and Child Health Systems Focused Review Tool</w:t>
        </w:r>
      </w:hyperlink>
      <w:r w:rsidR="0072363E">
        <w:t xml:space="preserve"> &lt;https://www.safercare.vic.gov.au/publications/mch-systems-focused-review-tool&gt; </w:t>
      </w:r>
      <w:r w:rsidR="006E7739">
        <w:t xml:space="preserve">and </w:t>
      </w:r>
      <w:r w:rsidR="00BF0240">
        <w:t xml:space="preserve">the </w:t>
      </w:r>
      <w:hyperlink r:id="rId58">
        <w:r w:rsidR="00BF6952" w:rsidRPr="39781E1B">
          <w:rPr>
            <w:rStyle w:val="Hyperlink"/>
          </w:rPr>
          <w:t>Maternal and Child Health </w:t>
        </w:r>
        <w:r w:rsidR="00E66748" w:rsidRPr="39781E1B">
          <w:rPr>
            <w:rStyle w:val="Hyperlink"/>
          </w:rPr>
          <w:t>–</w:t>
        </w:r>
        <w:r w:rsidR="00BF6952" w:rsidRPr="39781E1B">
          <w:rPr>
            <w:rStyle w:val="Hyperlink"/>
          </w:rPr>
          <w:t> Systems Focused Review Training</w:t>
        </w:r>
      </w:hyperlink>
      <w:r w:rsidR="00BF6952">
        <w:t> &lt;https://safercarevictoria.reach360.com/learn/course/ef75e894-7c08-4391-b624-29fad715a916&gt;</w:t>
      </w:r>
      <w:r w:rsidR="006E7739">
        <w:t xml:space="preserve"> support</w:t>
      </w:r>
      <w:r>
        <w:t>s</w:t>
      </w:r>
      <w:r w:rsidR="006E7739">
        <w:t xml:space="preserve"> systematic adverse event reviews in </w:t>
      </w:r>
      <w:r w:rsidR="004972D0">
        <w:t>m</w:t>
      </w:r>
      <w:r w:rsidR="006E7739">
        <w:t xml:space="preserve">aternal and </w:t>
      </w:r>
      <w:r w:rsidR="004972D0">
        <w:t>c</w:t>
      </w:r>
      <w:r w:rsidR="006E7739">
        <w:t xml:space="preserve">hild </w:t>
      </w:r>
      <w:r w:rsidR="004972D0">
        <w:t>h</w:t>
      </w:r>
      <w:r w:rsidR="006E7739">
        <w:t>ealth services</w:t>
      </w:r>
      <w:r w:rsidR="00AF7730">
        <w:t>.</w:t>
      </w:r>
    </w:p>
    <w:p w14:paraId="7AB75589" w14:textId="04E4ADDB" w:rsidR="006E7739" w:rsidRPr="006E7739" w:rsidRDefault="00561243" w:rsidP="39781E1B">
      <w:pPr>
        <w:pStyle w:val="SCVbullet1"/>
      </w:pPr>
      <w:r>
        <w:t xml:space="preserve">The </w:t>
      </w:r>
      <w:hyperlink r:id="rId59">
        <w:r w:rsidR="00AF7730" w:rsidRPr="39781E1B">
          <w:rPr>
            <w:rStyle w:val="Hyperlink"/>
          </w:rPr>
          <w:t>Fetal Surveillance Education Program</w:t>
        </w:r>
      </w:hyperlink>
      <w:r w:rsidR="006E7739">
        <w:t xml:space="preserve"> </w:t>
      </w:r>
      <w:r w:rsidR="008E5DCA">
        <w:t>&lt;</w:t>
      </w:r>
      <w:r w:rsidR="00A56BA5">
        <w:t>https://fsep.ranzcog.edu.au/</w:t>
      </w:r>
      <w:r w:rsidR="008E5DCA">
        <w:t xml:space="preserve">&gt; </w:t>
      </w:r>
      <w:r w:rsidR="006E7739">
        <w:t xml:space="preserve">supports multidisciplinary capability in CTG interpretation, escalation and intrapartum care using the </w:t>
      </w:r>
      <w:hyperlink r:id="rId60">
        <w:r w:rsidR="006E7739" w:rsidRPr="39781E1B">
          <w:rPr>
            <w:rStyle w:val="Hyperlink"/>
          </w:rPr>
          <w:t xml:space="preserve">RANZCOG IFS </w:t>
        </w:r>
        <w:r w:rsidR="00AF7730" w:rsidRPr="39781E1B">
          <w:rPr>
            <w:rStyle w:val="Hyperlink"/>
          </w:rPr>
          <w:t>c</w:t>
        </w:r>
        <w:r w:rsidR="006E7739" w:rsidRPr="39781E1B">
          <w:rPr>
            <w:rStyle w:val="Hyperlink"/>
          </w:rPr>
          <w:t xml:space="preserve">linical </w:t>
        </w:r>
        <w:r w:rsidR="00AF7730" w:rsidRPr="39781E1B">
          <w:rPr>
            <w:rStyle w:val="Hyperlink"/>
          </w:rPr>
          <w:t>g</w:t>
        </w:r>
        <w:r w:rsidR="006E7739" w:rsidRPr="39781E1B">
          <w:rPr>
            <w:rStyle w:val="Hyperlink"/>
          </w:rPr>
          <w:t>uideline</w:t>
        </w:r>
      </w:hyperlink>
      <w:r w:rsidR="008E67BF">
        <w:t xml:space="preserve"> </w:t>
      </w:r>
      <w:r w:rsidR="00900727">
        <w:t>&lt;https://ranzcog.edu.au/wp-content/uploads/Intrapartum-Fetal-Surveillance.pdf&gt;</w:t>
      </w:r>
      <w:r w:rsidR="006E7739">
        <w:t xml:space="preserve">. </w:t>
      </w:r>
    </w:p>
    <w:p w14:paraId="53F396E1" w14:textId="72204EEF" w:rsidR="00E733DF" w:rsidRPr="004972D9" w:rsidRDefault="00E733DF" w:rsidP="00FB089C">
      <w:pPr>
        <w:pStyle w:val="Heading3"/>
        <w:rPr>
          <w:rFonts w:ascii="Arial" w:hAnsi="Arial" w:cs="Arial"/>
          <w:szCs w:val="24"/>
        </w:rPr>
      </w:pPr>
      <w:r w:rsidRPr="004972D9">
        <w:t>Paediatric sentinel events</w:t>
      </w:r>
      <w:r w:rsidRPr="003112D3">
        <w:t xml:space="preserve"> </w:t>
      </w:r>
    </w:p>
    <w:p w14:paraId="42F01666" w14:textId="77777777" w:rsidR="00E733DF" w:rsidRPr="004972D9" w:rsidRDefault="00E733DF" w:rsidP="004A3995">
      <w:pPr>
        <w:pStyle w:val="Heading4"/>
      </w:pPr>
      <w:r w:rsidRPr="004972D9">
        <w:t xml:space="preserve">Key themes </w:t>
      </w:r>
    </w:p>
    <w:p w14:paraId="0F981DAD" w14:textId="3AF166E3" w:rsidR="00E733DF" w:rsidRDefault="6C33F7A8" w:rsidP="0057201C">
      <w:pPr>
        <w:pStyle w:val="SCVbody"/>
      </w:pPr>
      <w:r>
        <w:t xml:space="preserve">In 2024–25, </w:t>
      </w:r>
      <w:r w:rsidR="24D9AD86" w:rsidRPr="509B18F9">
        <w:rPr>
          <w:b/>
          <w:bCs/>
        </w:rPr>
        <w:t>nine</w:t>
      </w:r>
      <w:r w:rsidR="3FAAF8D8">
        <w:t xml:space="preserve"> </w:t>
      </w:r>
      <w:r w:rsidR="201CBA74">
        <w:t>(4</w:t>
      </w:r>
      <w:r w:rsidR="3FAAF8D8">
        <w:t>%</w:t>
      </w:r>
      <w:r w:rsidR="201CBA74">
        <w:t xml:space="preserve">) </w:t>
      </w:r>
      <w:r>
        <w:t>sentinel events impacted paediatric patients</w:t>
      </w:r>
      <w:r w:rsidR="201CBA74">
        <w:t>. This</w:t>
      </w:r>
      <w:r>
        <w:t xml:space="preserve"> is consistent with </w:t>
      </w:r>
      <w:r w:rsidR="16A6B088">
        <w:t>nine</w:t>
      </w:r>
      <w:r w:rsidR="3FAAF8D8">
        <w:t xml:space="preserve"> </w:t>
      </w:r>
      <w:r>
        <w:t>events (</w:t>
      </w:r>
      <w:r w:rsidR="201CBA74">
        <w:t>5</w:t>
      </w:r>
      <w:r w:rsidR="3FAAF8D8">
        <w:t>%</w:t>
      </w:r>
      <w:r>
        <w:t xml:space="preserve">) reported in 2023–24. </w:t>
      </w:r>
    </w:p>
    <w:p w14:paraId="59B7286C" w14:textId="261FDB01" w:rsidR="00E733DF" w:rsidRPr="004972D9" w:rsidRDefault="6C33F7A8" w:rsidP="0057201C">
      <w:pPr>
        <w:pStyle w:val="SCVbody"/>
      </w:pPr>
      <w:r>
        <w:t>In 2024</w:t>
      </w:r>
      <w:r w:rsidR="05E27418">
        <w:t>–</w:t>
      </w:r>
      <w:r>
        <w:t>25, 67</w:t>
      </w:r>
      <w:r w:rsidR="3FAAF8D8">
        <w:t>%</w:t>
      </w:r>
      <w:r w:rsidR="47C7A5C2">
        <w:t xml:space="preserve"> of all paediatric notifications related to </w:t>
      </w:r>
      <w:r w:rsidR="52DBF131">
        <w:t>three</w:t>
      </w:r>
      <w:r w:rsidR="47C7A5C2">
        <w:t xml:space="preserve"> themes</w:t>
      </w:r>
      <w:r w:rsidR="2DFE79A1">
        <w:t>:</w:t>
      </w:r>
    </w:p>
    <w:p w14:paraId="6296A860" w14:textId="64D7021D" w:rsidR="00E733DF" w:rsidRPr="004972D9" w:rsidRDefault="00334EB4" w:rsidP="0057201C">
      <w:pPr>
        <w:pStyle w:val="SCVbullet1"/>
      </w:pPr>
      <w:r>
        <w:t xml:space="preserve">a </w:t>
      </w:r>
      <w:r w:rsidR="0060153E">
        <w:t>d</w:t>
      </w:r>
      <w:r w:rsidR="00E733DF" w:rsidRPr="004972D9">
        <w:t>eteriorating patient</w:t>
      </w:r>
    </w:p>
    <w:p w14:paraId="48C64F5B" w14:textId="2778F66B" w:rsidR="00E733DF" w:rsidRPr="004972D9" w:rsidRDefault="0060153E" w:rsidP="0057201C">
      <w:pPr>
        <w:pStyle w:val="SCVbullet1"/>
      </w:pPr>
      <w:r>
        <w:t>c</w:t>
      </w:r>
      <w:r w:rsidR="00E733DF" w:rsidRPr="004972D9">
        <w:t>ommunication</w:t>
      </w:r>
      <w:r w:rsidR="00E273ED">
        <w:t xml:space="preserve"> </w:t>
      </w:r>
      <w:r w:rsidR="00E733DF" w:rsidRPr="004972D9">
        <w:t>of</w:t>
      </w:r>
      <w:r w:rsidR="00E273ED">
        <w:t xml:space="preserve"> </w:t>
      </w:r>
      <w:r w:rsidR="00E733DF" w:rsidRPr="004972D9">
        <w:t>clinical</w:t>
      </w:r>
      <w:r w:rsidR="00E273ED">
        <w:t xml:space="preserve"> </w:t>
      </w:r>
      <w:r w:rsidR="00E733DF" w:rsidRPr="004972D9">
        <w:t>information</w:t>
      </w:r>
    </w:p>
    <w:p w14:paraId="7ADF1FC9" w14:textId="5D3DE41E" w:rsidR="00E733DF" w:rsidRPr="004972D9" w:rsidRDefault="00334EB4" w:rsidP="0057201C">
      <w:pPr>
        <w:pStyle w:val="SCVbullet1"/>
      </w:pPr>
      <w:r>
        <w:lastRenderedPageBreak/>
        <w:t xml:space="preserve">a </w:t>
      </w:r>
      <w:r w:rsidR="0060153E">
        <w:t>c</w:t>
      </w:r>
      <w:r w:rsidR="00E733DF">
        <w:t>linical</w:t>
      </w:r>
      <w:r w:rsidR="00E273ED">
        <w:t xml:space="preserve"> </w:t>
      </w:r>
      <w:r w:rsidR="00E733DF">
        <w:t>process</w:t>
      </w:r>
      <w:r w:rsidR="00E273ED">
        <w:t xml:space="preserve"> </w:t>
      </w:r>
      <w:r w:rsidR="00561243">
        <w:t xml:space="preserve">or </w:t>
      </w:r>
      <w:r w:rsidR="00E733DF">
        <w:t>procedure</w:t>
      </w:r>
      <w:r w:rsidR="0060153E">
        <w:t>.</w:t>
      </w:r>
    </w:p>
    <w:p w14:paraId="5CD35808" w14:textId="24AC4F58" w:rsidR="00E733DF" w:rsidRPr="004972D9" w:rsidRDefault="00E733DF" w:rsidP="005E7DE4">
      <w:pPr>
        <w:pStyle w:val="SCVbodyafterheading"/>
      </w:pPr>
      <w:r w:rsidRPr="004972D9">
        <w:t xml:space="preserve">These sentinel events were most frequently reported </w:t>
      </w:r>
      <w:r w:rsidR="00334EB4">
        <w:t>from an</w:t>
      </w:r>
      <w:r w:rsidRPr="004972D9">
        <w:t xml:space="preserve"> </w:t>
      </w:r>
      <w:r w:rsidR="00334EB4">
        <w:t>e</w:t>
      </w:r>
      <w:r w:rsidRPr="004972D9">
        <w:t xml:space="preserve">mergency </w:t>
      </w:r>
      <w:r w:rsidR="00334EB4">
        <w:t>d</w:t>
      </w:r>
      <w:r w:rsidRPr="004972D9">
        <w:t xml:space="preserve">epartment and patient transport to hospital locations. </w:t>
      </w:r>
    </w:p>
    <w:p w14:paraId="17725F5F" w14:textId="0E654DB3" w:rsidR="00E733DF" w:rsidRPr="004972D9" w:rsidRDefault="00E733DF" w:rsidP="0057201C">
      <w:pPr>
        <w:pStyle w:val="SCVbody"/>
        <w:rPr>
          <w:b/>
        </w:rPr>
      </w:pPr>
      <w:r w:rsidRPr="004972D9">
        <w:t>Recurring</w:t>
      </w:r>
      <w:r w:rsidR="00BB65D7">
        <w:t xml:space="preserve"> </w:t>
      </w:r>
      <w:r w:rsidRPr="004972D9">
        <w:t>paediatric sub-themes</w:t>
      </w:r>
      <w:r w:rsidR="00BB65D7">
        <w:t xml:space="preserve"> </w:t>
      </w:r>
      <w:r w:rsidR="175E409D" w:rsidRPr="5FEC13CA">
        <w:t>in sentinel events</w:t>
      </w:r>
      <w:r w:rsidR="00BB65D7" w:rsidRPr="5FEC13CA">
        <w:t xml:space="preserve"> </w:t>
      </w:r>
      <w:r w:rsidRPr="004972D9">
        <w:t>relate</w:t>
      </w:r>
      <w:r w:rsidR="00BB65D7">
        <w:t>d</w:t>
      </w:r>
      <w:r w:rsidRPr="004972D9">
        <w:t xml:space="preserve"> to the following key areas</w:t>
      </w:r>
      <w:r w:rsidR="359F1262" w:rsidRPr="5FEC13CA">
        <w:t xml:space="preserve"> requiring vigilance</w:t>
      </w:r>
      <w:r w:rsidRPr="004972D9">
        <w:t>:</w:t>
      </w:r>
    </w:p>
    <w:p w14:paraId="19C17D08" w14:textId="016CB252" w:rsidR="00E733DF" w:rsidRPr="004972D9" w:rsidRDefault="0060153E" w:rsidP="39781E1B">
      <w:pPr>
        <w:pStyle w:val="SCVbullet1"/>
        <w:rPr>
          <w:b/>
          <w:bCs/>
        </w:rPr>
      </w:pPr>
      <w:r>
        <w:t>h</w:t>
      </w:r>
      <w:r w:rsidR="00E733DF">
        <w:t>andover and communication of critical reports, results or imaging</w:t>
      </w:r>
    </w:p>
    <w:p w14:paraId="2EE65441" w14:textId="3D5B85DE" w:rsidR="00E733DF" w:rsidRDefault="0060153E" w:rsidP="0057201C">
      <w:pPr>
        <w:pStyle w:val="SCVbullet1"/>
      </w:pPr>
      <w:r>
        <w:t>r</w:t>
      </w:r>
      <w:r w:rsidR="00E733DF">
        <w:t>ecogni</w:t>
      </w:r>
      <w:r w:rsidR="00561243">
        <w:t>sing</w:t>
      </w:r>
      <w:r w:rsidR="00E733DF">
        <w:t xml:space="preserve"> deterioration, escalation and response</w:t>
      </w:r>
    </w:p>
    <w:p w14:paraId="55431DB6" w14:textId="1F0EA861" w:rsidR="00E733DF" w:rsidRPr="004972D9" w:rsidRDefault="0060153E" w:rsidP="39781E1B">
      <w:pPr>
        <w:pStyle w:val="SCVbullet1"/>
        <w:rPr>
          <w:b/>
          <w:bCs/>
        </w:rPr>
      </w:pPr>
      <w:r>
        <w:t>d</w:t>
      </w:r>
      <w:r w:rsidR="00E733DF">
        <w:t>elay</w:t>
      </w:r>
      <w:r w:rsidR="00561243">
        <w:t>s</w:t>
      </w:r>
      <w:r w:rsidR="00E733DF">
        <w:t xml:space="preserve"> </w:t>
      </w:r>
      <w:r w:rsidR="3A9EC210">
        <w:t xml:space="preserve">in </w:t>
      </w:r>
      <w:r w:rsidR="00E733DF">
        <w:t>diagnosis and management.</w:t>
      </w:r>
      <w:bookmarkStart w:id="25" w:name="_Toc173851112"/>
    </w:p>
    <w:p w14:paraId="2EC7954D" w14:textId="5DF604C2" w:rsidR="00561243" w:rsidRDefault="16CCB660" w:rsidP="39781E1B">
      <w:pPr>
        <w:pStyle w:val="SCVbodyafterheading"/>
      </w:pPr>
      <w:r>
        <w:t xml:space="preserve">Table </w:t>
      </w:r>
      <w:r w:rsidR="0CEB40CB">
        <w:t>7</w:t>
      </w:r>
      <w:r>
        <w:t xml:space="preserve"> lists the top </w:t>
      </w:r>
      <w:r w:rsidR="2D254ED4">
        <w:t>five</w:t>
      </w:r>
      <w:r>
        <w:t xml:space="preserve"> lessons learnt from this year’s paediatric-related events.</w:t>
      </w:r>
    </w:p>
    <w:p w14:paraId="10623AB2" w14:textId="265EDE23" w:rsidR="00E733DF" w:rsidRPr="004972D9" w:rsidRDefault="6C33F7A8" w:rsidP="39781E1B">
      <w:pPr>
        <w:pStyle w:val="SCVtablecaption"/>
        <w:rPr>
          <w:rFonts w:ascii="Arial" w:hAnsi="Arial" w:cs="Arial"/>
        </w:rPr>
      </w:pPr>
      <w:r w:rsidRPr="509B18F9">
        <w:rPr>
          <w:rFonts w:ascii="Arial" w:hAnsi="Arial" w:cs="Arial"/>
        </w:rPr>
        <w:t xml:space="preserve">Table </w:t>
      </w:r>
      <w:r w:rsidR="5098F79F" w:rsidRPr="509B18F9">
        <w:rPr>
          <w:rFonts w:ascii="Arial" w:hAnsi="Arial" w:cs="Arial"/>
        </w:rPr>
        <w:t>7</w:t>
      </w:r>
      <w:r w:rsidR="107E3F78" w:rsidRPr="509B18F9">
        <w:rPr>
          <w:rFonts w:ascii="Arial" w:hAnsi="Arial" w:cs="Arial"/>
        </w:rPr>
        <w:t>:</w:t>
      </w:r>
      <w:r w:rsidR="0A80B4CC" w:rsidRPr="509B18F9">
        <w:rPr>
          <w:rFonts w:ascii="Arial" w:hAnsi="Arial" w:cs="Arial"/>
        </w:rPr>
        <w:t xml:space="preserve"> </w:t>
      </w:r>
      <w:r>
        <w:t>Top</w:t>
      </w:r>
      <w:r w:rsidR="6E70E224">
        <w:t xml:space="preserve"> </w:t>
      </w:r>
      <w:r w:rsidR="20DE5E3E">
        <w:t>five</w:t>
      </w:r>
      <w:r w:rsidR="6E70E224">
        <w:t xml:space="preserve"> </w:t>
      </w:r>
      <w:r w:rsidR="76D62A13">
        <w:t xml:space="preserve">causes identified </w:t>
      </w:r>
      <w:r>
        <w:t>for</w:t>
      </w:r>
      <w:r w:rsidR="6E70E224">
        <w:t xml:space="preserve"> </w:t>
      </w:r>
      <w:r w:rsidR="3FAAF8D8">
        <w:t>p</w:t>
      </w:r>
      <w:r>
        <w:t>aediatric</w:t>
      </w:r>
      <w:r w:rsidR="6E70E224">
        <w:t xml:space="preserve"> </w:t>
      </w:r>
      <w:r>
        <w:t>events</w:t>
      </w:r>
      <w:r w:rsidR="55EE0EFE">
        <w:t>, 2024–25</w:t>
      </w:r>
    </w:p>
    <w:tbl>
      <w:tblPr>
        <w:tblStyle w:val="TableGrid"/>
        <w:tblW w:w="9978" w:type="dxa"/>
        <w:tblLook w:val="04A0" w:firstRow="1" w:lastRow="0" w:firstColumn="1" w:lastColumn="0" w:noHBand="0" w:noVBand="1"/>
      </w:tblPr>
      <w:tblGrid>
        <w:gridCol w:w="6463"/>
        <w:gridCol w:w="3515"/>
      </w:tblGrid>
      <w:tr w:rsidR="00E733DF" w:rsidRPr="007758DC" w14:paraId="6685B9FD" w14:textId="77777777" w:rsidTr="00D85EB3">
        <w:trPr>
          <w:cnfStyle w:val="100000000000" w:firstRow="1" w:lastRow="0" w:firstColumn="0" w:lastColumn="0" w:oddVBand="0" w:evenVBand="0" w:oddHBand="0" w:evenHBand="0" w:firstRowFirstColumn="0" w:firstRowLastColumn="0" w:lastRowFirstColumn="0" w:lastRowLastColumn="0"/>
          <w:trHeight w:val="300"/>
        </w:trPr>
        <w:tc>
          <w:tcPr>
            <w:tcW w:w="6463" w:type="dxa"/>
            <w:vAlign w:val="center"/>
          </w:tcPr>
          <w:p w14:paraId="237267A7" w14:textId="5DC5A551" w:rsidR="00E733DF" w:rsidRPr="007758DC" w:rsidRDefault="0F0338F0" w:rsidP="004A3995">
            <w:pPr>
              <w:pStyle w:val="SCVtablecolhead"/>
              <w:rPr>
                <w:sz w:val="24"/>
                <w:szCs w:val="20"/>
              </w:rPr>
            </w:pPr>
            <w:r w:rsidRPr="007758DC">
              <w:rPr>
                <w:sz w:val="24"/>
                <w:szCs w:val="20"/>
              </w:rPr>
              <w:t>L</w:t>
            </w:r>
            <w:r w:rsidR="00E733DF" w:rsidRPr="007758DC">
              <w:rPr>
                <w:sz w:val="24"/>
                <w:szCs w:val="20"/>
              </w:rPr>
              <w:t>e</w:t>
            </w:r>
            <w:r w:rsidR="4E9A8D8F" w:rsidRPr="007758DC">
              <w:rPr>
                <w:sz w:val="24"/>
                <w:szCs w:val="20"/>
              </w:rPr>
              <w:t>sson learnt</w:t>
            </w:r>
          </w:p>
        </w:tc>
        <w:tc>
          <w:tcPr>
            <w:tcW w:w="3515" w:type="dxa"/>
            <w:vAlign w:val="center"/>
          </w:tcPr>
          <w:p w14:paraId="78FD4576" w14:textId="784E2724" w:rsidR="000F6260" w:rsidRPr="007758DC" w:rsidRDefault="056101FF" w:rsidP="00AF7B96">
            <w:pPr>
              <w:pStyle w:val="SCVtablecolhead"/>
              <w:jc w:val="right"/>
              <w:rPr>
                <w:sz w:val="24"/>
                <w:szCs w:val="20"/>
              </w:rPr>
            </w:pPr>
            <w:r w:rsidRPr="007758DC">
              <w:rPr>
                <w:sz w:val="24"/>
                <w:szCs w:val="20"/>
              </w:rPr>
              <w:t>Percentage (</w:t>
            </w:r>
            <w:r w:rsidR="4328141D" w:rsidRPr="007758DC">
              <w:rPr>
                <w:sz w:val="24"/>
                <w:szCs w:val="20"/>
              </w:rPr>
              <w:t>%</w:t>
            </w:r>
            <w:r w:rsidR="58EDB26E" w:rsidRPr="007758DC">
              <w:rPr>
                <w:sz w:val="24"/>
                <w:szCs w:val="20"/>
              </w:rPr>
              <w:t>)</w:t>
            </w:r>
          </w:p>
        </w:tc>
      </w:tr>
      <w:tr w:rsidR="00E733DF" w:rsidRPr="007758DC" w14:paraId="654747AA" w14:textId="77777777" w:rsidTr="00D85EB3">
        <w:trPr>
          <w:trHeight w:val="300"/>
        </w:trPr>
        <w:tc>
          <w:tcPr>
            <w:tcW w:w="6463" w:type="dxa"/>
            <w:tcBorders>
              <w:right w:val="nil"/>
            </w:tcBorders>
            <w:vAlign w:val="center"/>
          </w:tcPr>
          <w:p w14:paraId="333D124D" w14:textId="77777777" w:rsidR="00E733DF" w:rsidRPr="00AF7B96" w:rsidRDefault="00E733DF" w:rsidP="004A3995">
            <w:pPr>
              <w:pStyle w:val="SCVtablebody"/>
              <w:rPr>
                <w:b/>
                <w:bCs/>
                <w:color w:val="007586" w:themeColor="text2"/>
                <w:sz w:val="24"/>
                <w:szCs w:val="20"/>
              </w:rPr>
            </w:pPr>
            <w:r w:rsidRPr="00AF7B96">
              <w:rPr>
                <w:b/>
                <w:bCs/>
                <w:color w:val="007586" w:themeColor="text2"/>
                <w:sz w:val="24"/>
                <w:szCs w:val="20"/>
              </w:rPr>
              <w:t xml:space="preserve">Staff factors </w:t>
            </w:r>
          </w:p>
        </w:tc>
        <w:tc>
          <w:tcPr>
            <w:tcW w:w="3515" w:type="dxa"/>
            <w:vAlign w:val="center"/>
          </w:tcPr>
          <w:p w14:paraId="312FB6BB" w14:textId="5A3EABC7" w:rsidR="000F6260" w:rsidRPr="007758DC" w:rsidRDefault="000F6260" w:rsidP="00AF7B96">
            <w:pPr>
              <w:pStyle w:val="SCVtablebody"/>
              <w:jc w:val="right"/>
              <w:rPr>
                <w:sz w:val="24"/>
                <w:szCs w:val="20"/>
              </w:rPr>
            </w:pPr>
            <w:r w:rsidRPr="007758DC">
              <w:rPr>
                <w:sz w:val="24"/>
                <w:szCs w:val="20"/>
              </w:rPr>
              <w:t>25</w:t>
            </w:r>
          </w:p>
        </w:tc>
      </w:tr>
      <w:tr w:rsidR="00E733DF" w:rsidRPr="007758DC" w14:paraId="6B032344" w14:textId="77777777" w:rsidTr="00D85EB3">
        <w:trPr>
          <w:trHeight w:val="300"/>
        </w:trPr>
        <w:tc>
          <w:tcPr>
            <w:tcW w:w="6463" w:type="dxa"/>
            <w:tcBorders>
              <w:right w:val="nil"/>
            </w:tcBorders>
            <w:vAlign w:val="center"/>
          </w:tcPr>
          <w:p w14:paraId="7A952BEE" w14:textId="77777777" w:rsidR="00E733DF" w:rsidRPr="00AF7B96" w:rsidRDefault="00E733DF" w:rsidP="004A3995">
            <w:pPr>
              <w:pStyle w:val="SCVtablebody"/>
              <w:rPr>
                <w:b/>
                <w:bCs/>
                <w:color w:val="007586" w:themeColor="text2"/>
                <w:sz w:val="24"/>
                <w:szCs w:val="20"/>
              </w:rPr>
            </w:pPr>
            <w:r w:rsidRPr="00AF7B96">
              <w:rPr>
                <w:b/>
                <w:bCs/>
                <w:color w:val="007586" w:themeColor="text2"/>
                <w:sz w:val="24"/>
                <w:szCs w:val="20"/>
              </w:rPr>
              <w:t>Teamwork factors</w:t>
            </w:r>
          </w:p>
        </w:tc>
        <w:tc>
          <w:tcPr>
            <w:tcW w:w="3515" w:type="dxa"/>
            <w:vAlign w:val="center"/>
          </w:tcPr>
          <w:p w14:paraId="4D837BF8" w14:textId="3150CCA2" w:rsidR="000F6260" w:rsidRPr="007758DC" w:rsidRDefault="000F6260" w:rsidP="00AF7B96">
            <w:pPr>
              <w:pStyle w:val="SCVtablebody"/>
              <w:jc w:val="right"/>
              <w:rPr>
                <w:sz w:val="24"/>
                <w:szCs w:val="20"/>
              </w:rPr>
            </w:pPr>
            <w:r w:rsidRPr="007758DC">
              <w:rPr>
                <w:sz w:val="24"/>
                <w:szCs w:val="20"/>
              </w:rPr>
              <w:t>15</w:t>
            </w:r>
          </w:p>
        </w:tc>
      </w:tr>
      <w:tr w:rsidR="00E733DF" w:rsidRPr="007758DC" w14:paraId="57C4BD5D" w14:textId="77777777" w:rsidTr="00D85EB3">
        <w:trPr>
          <w:trHeight w:val="300"/>
        </w:trPr>
        <w:tc>
          <w:tcPr>
            <w:tcW w:w="6463" w:type="dxa"/>
            <w:tcBorders>
              <w:right w:val="nil"/>
            </w:tcBorders>
            <w:vAlign w:val="center"/>
          </w:tcPr>
          <w:p w14:paraId="726CE2A8" w14:textId="77777777" w:rsidR="00E733DF" w:rsidRPr="00AF7B96" w:rsidRDefault="00E733DF" w:rsidP="004A3995">
            <w:pPr>
              <w:pStyle w:val="SCVtablebody"/>
              <w:rPr>
                <w:b/>
                <w:bCs/>
                <w:color w:val="007586" w:themeColor="text2"/>
                <w:sz w:val="24"/>
                <w:szCs w:val="20"/>
              </w:rPr>
            </w:pPr>
            <w:r w:rsidRPr="00AF7B96">
              <w:rPr>
                <w:b/>
                <w:bCs/>
                <w:color w:val="007586" w:themeColor="text2"/>
                <w:sz w:val="24"/>
                <w:szCs w:val="20"/>
              </w:rPr>
              <w:t>Procedures and guidelines</w:t>
            </w:r>
          </w:p>
        </w:tc>
        <w:tc>
          <w:tcPr>
            <w:tcW w:w="3515" w:type="dxa"/>
            <w:vAlign w:val="center"/>
          </w:tcPr>
          <w:p w14:paraId="79E4827C" w14:textId="03C72671" w:rsidR="000F6260" w:rsidRPr="007758DC" w:rsidRDefault="000F6260" w:rsidP="00AF7B96">
            <w:pPr>
              <w:pStyle w:val="SCVtablebody"/>
              <w:jc w:val="right"/>
              <w:rPr>
                <w:sz w:val="24"/>
                <w:szCs w:val="20"/>
              </w:rPr>
            </w:pPr>
            <w:r w:rsidRPr="007758DC">
              <w:rPr>
                <w:sz w:val="24"/>
                <w:szCs w:val="20"/>
              </w:rPr>
              <w:t>11</w:t>
            </w:r>
          </w:p>
        </w:tc>
      </w:tr>
      <w:tr w:rsidR="00E733DF" w:rsidRPr="007758DC" w14:paraId="1769BE16" w14:textId="77777777" w:rsidTr="00D85EB3">
        <w:trPr>
          <w:trHeight w:val="300"/>
        </w:trPr>
        <w:tc>
          <w:tcPr>
            <w:tcW w:w="6463" w:type="dxa"/>
            <w:tcBorders>
              <w:right w:val="nil"/>
            </w:tcBorders>
            <w:vAlign w:val="center"/>
          </w:tcPr>
          <w:p w14:paraId="31A185E2" w14:textId="77777777" w:rsidR="00E733DF" w:rsidRPr="00AF7B96" w:rsidRDefault="00E733DF" w:rsidP="004A3995">
            <w:pPr>
              <w:pStyle w:val="SCVtablebody"/>
              <w:rPr>
                <w:b/>
                <w:bCs/>
                <w:color w:val="007586" w:themeColor="text2"/>
                <w:sz w:val="24"/>
                <w:szCs w:val="20"/>
                <w:highlight w:val="yellow"/>
              </w:rPr>
            </w:pPr>
            <w:r w:rsidRPr="00AF7B96">
              <w:rPr>
                <w:b/>
                <w:bCs/>
                <w:color w:val="007586" w:themeColor="text2"/>
                <w:sz w:val="24"/>
                <w:szCs w:val="20"/>
              </w:rPr>
              <w:t>Systems and processes</w:t>
            </w:r>
          </w:p>
        </w:tc>
        <w:tc>
          <w:tcPr>
            <w:tcW w:w="3515" w:type="dxa"/>
            <w:vAlign w:val="center"/>
          </w:tcPr>
          <w:p w14:paraId="18660FC1" w14:textId="0A1A6A63" w:rsidR="000F6260" w:rsidRPr="007758DC" w:rsidRDefault="000F6260" w:rsidP="00AF7B96">
            <w:pPr>
              <w:pStyle w:val="SCVtablebody"/>
              <w:jc w:val="right"/>
              <w:rPr>
                <w:sz w:val="24"/>
                <w:szCs w:val="20"/>
              </w:rPr>
            </w:pPr>
            <w:r w:rsidRPr="007758DC">
              <w:rPr>
                <w:sz w:val="24"/>
                <w:szCs w:val="20"/>
              </w:rPr>
              <w:t>8</w:t>
            </w:r>
          </w:p>
        </w:tc>
      </w:tr>
      <w:tr w:rsidR="00E733DF" w:rsidRPr="007758DC" w14:paraId="4135890A" w14:textId="77777777" w:rsidTr="00D85EB3">
        <w:trPr>
          <w:trHeight w:val="444"/>
        </w:trPr>
        <w:tc>
          <w:tcPr>
            <w:tcW w:w="6463" w:type="dxa"/>
            <w:tcBorders>
              <w:right w:val="nil"/>
            </w:tcBorders>
            <w:vAlign w:val="center"/>
          </w:tcPr>
          <w:p w14:paraId="4EAE2191" w14:textId="32A972D3" w:rsidR="00E733DF" w:rsidRPr="00AF7B96" w:rsidRDefault="00E733DF" w:rsidP="004A3995">
            <w:pPr>
              <w:pStyle w:val="SCVtablebody"/>
              <w:rPr>
                <w:b/>
                <w:bCs/>
                <w:color w:val="007586" w:themeColor="text2"/>
                <w:sz w:val="24"/>
                <w:szCs w:val="20"/>
                <w:highlight w:val="yellow"/>
              </w:rPr>
            </w:pPr>
            <w:r w:rsidRPr="00AF7B96">
              <w:rPr>
                <w:b/>
                <w:bCs/>
                <w:color w:val="007586" w:themeColor="text2"/>
                <w:sz w:val="24"/>
                <w:szCs w:val="20"/>
              </w:rPr>
              <w:t xml:space="preserve">Workforce factors </w:t>
            </w:r>
            <w:r w:rsidR="00086249" w:rsidRPr="00AF7B96">
              <w:rPr>
                <w:b/>
                <w:bCs/>
                <w:color w:val="007586" w:themeColor="text2"/>
                <w:sz w:val="24"/>
                <w:szCs w:val="20"/>
              </w:rPr>
              <w:t>or</w:t>
            </w:r>
            <w:r w:rsidRPr="00AF7B96">
              <w:rPr>
                <w:b/>
                <w:bCs/>
                <w:color w:val="007586" w:themeColor="text2"/>
                <w:sz w:val="24"/>
                <w:szCs w:val="20"/>
              </w:rPr>
              <w:t xml:space="preserve"> work environmental factors</w:t>
            </w:r>
          </w:p>
        </w:tc>
        <w:tc>
          <w:tcPr>
            <w:tcW w:w="3515" w:type="dxa"/>
            <w:vAlign w:val="center"/>
          </w:tcPr>
          <w:p w14:paraId="3B20A66E" w14:textId="32700752" w:rsidR="000F6260" w:rsidRPr="007758DC" w:rsidRDefault="000F6260" w:rsidP="00AF7B96">
            <w:pPr>
              <w:pStyle w:val="SCVtablebody"/>
              <w:jc w:val="right"/>
              <w:rPr>
                <w:sz w:val="24"/>
                <w:szCs w:val="20"/>
              </w:rPr>
            </w:pPr>
            <w:r w:rsidRPr="007758DC">
              <w:rPr>
                <w:sz w:val="24"/>
                <w:szCs w:val="20"/>
              </w:rPr>
              <w:t>8</w:t>
            </w:r>
          </w:p>
        </w:tc>
      </w:tr>
    </w:tbl>
    <w:p w14:paraId="38C46752" w14:textId="0F50D4B0" w:rsidR="00A04BBC" w:rsidRDefault="00A04BBC" w:rsidP="00A04BBC">
      <w:pPr>
        <w:pStyle w:val="Heading3"/>
        <w:rPr>
          <w:rFonts w:eastAsia="Times New Roman"/>
        </w:rPr>
      </w:pPr>
      <w:r w:rsidRPr="003112D3">
        <w:t>Guidance for health services to inform continuous improvement</w:t>
      </w:r>
    </w:p>
    <w:p w14:paraId="61BC82A3" w14:textId="77777777" w:rsidR="00A04BBC" w:rsidRPr="003112D3" w:rsidRDefault="00A04BBC" w:rsidP="00A04BBC">
      <w:pPr>
        <w:pStyle w:val="SCVbody"/>
      </w:pPr>
      <w:r w:rsidRPr="6920BDC5">
        <w:t>An analysis of paediatric sentinel events identified recurring system issues across emergency, inpatient and community care settings. Consistent themes emerged in respect of how clinical deterioration was recognised and escalated, how critical information was communicated and handed over, and how delays occurred in diagnosis and management.</w:t>
      </w:r>
    </w:p>
    <w:p w14:paraId="17EC9CDB" w14:textId="77777777" w:rsidR="00A04BBC" w:rsidRPr="00A04BBC" w:rsidRDefault="00A04BBC" w:rsidP="00A04BBC">
      <w:pPr>
        <w:pStyle w:val="Heading4"/>
        <w:rPr>
          <w:color w:val="004C97" w:themeColor="accent4"/>
        </w:rPr>
      </w:pPr>
      <w:r w:rsidRPr="00A04BBC">
        <w:rPr>
          <w:color w:val="004C97" w:themeColor="accent4"/>
        </w:rPr>
        <w:t>Deteriorating patients (recognition, escalation and response)</w:t>
      </w:r>
    </w:p>
    <w:p w14:paraId="6B4A37C7" w14:textId="77777777" w:rsidR="00A04BBC" w:rsidRPr="003112D3" w:rsidRDefault="00A04BBC" w:rsidP="00A04BBC">
      <w:pPr>
        <w:pStyle w:val="SCVbody"/>
      </w:pPr>
      <w:r>
        <w:t>Several paediatric sentinel events involved delays in recognising, escalating or responding to clinical deterioration. In these events, early signs of deterioration, including abnormal observations, changes in behaviour or vital signs and parental or carer concerns, were present in complex and fast-moving care environments. However, systems did not consistently support timely recognition and escalation to ensure early intervention.</w:t>
      </w:r>
    </w:p>
    <w:p w14:paraId="194AAC4E" w14:textId="77777777" w:rsidR="00A04BBC" w:rsidRPr="003112D3" w:rsidRDefault="00A04BBC" w:rsidP="00A04BBC">
      <w:pPr>
        <w:pStyle w:val="SCVbody"/>
      </w:pPr>
      <w:r w:rsidRPr="003112D3">
        <w:lastRenderedPageBreak/>
        <w:t>These findings highlight the importance of reliable systems to support early identification of deterioration in children, particularly in settings where children may not be able to clearly communicate symptoms or concerns.</w:t>
      </w:r>
    </w:p>
    <w:p w14:paraId="60C0EC19" w14:textId="77777777" w:rsidR="00A04BBC" w:rsidRPr="00A04BBC" w:rsidRDefault="00A04BBC" w:rsidP="00A04BBC">
      <w:pPr>
        <w:pStyle w:val="Heading4"/>
        <w:rPr>
          <w:color w:val="004C97" w:themeColor="accent4"/>
        </w:rPr>
      </w:pPr>
      <w:r w:rsidRPr="00A04BBC">
        <w:rPr>
          <w:color w:val="004C97" w:themeColor="accent4"/>
        </w:rPr>
        <w:t>Communication and handover of critical clinical information</w:t>
      </w:r>
    </w:p>
    <w:p w14:paraId="642E6B06" w14:textId="77777777" w:rsidR="00A04BBC" w:rsidRPr="007F2475" w:rsidRDefault="00A04BBC" w:rsidP="00A04BBC">
      <w:pPr>
        <w:pStyle w:val="SCVbody"/>
      </w:pPr>
      <w:r w:rsidRPr="007F2475">
        <w:t>Failure in communication and handover were a recurring theme in paediatric sentinel events. In several cases, critical information such as abnormal pathology results, imaging reports or specialist advice was not consistently handed over between clinicians, teams or services, or was not clearly actioned.</w:t>
      </w:r>
    </w:p>
    <w:p w14:paraId="63CCAD41" w14:textId="77777777" w:rsidR="00A04BBC" w:rsidRPr="007F2475" w:rsidRDefault="00A04BBC" w:rsidP="00A04BBC">
      <w:pPr>
        <w:pStyle w:val="SCVbody"/>
      </w:pPr>
      <w:r w:rsidRPr="007F2475">
        <w:t>These findings highlight the importance of communication processes that ensure critical information is not only transferred but also clearly identified, understood and acted on, particularly at transition points such as shift changes, transfers of care and discharge.</w:t>
      </w:r>
    </w:p>
    <w:p w14:paraId="5788D085" w14:textId="77777777" w:rsidR="00A04BBC" w:rsidRPr="00A04BBC" w:rsidRDefault="00A04BBC" w:rsidP="00A04BBC">
      <w:pPr>
        <w:pStyle w:val="Heading4"/>
        <w:rPr>
          <w:color w:val="004C97" w:themeColor="accent4"/>
        </w:rPr>
      </w:pPr>
      <w:r w:rsidRPr="00A04BBC">
        <w:rPr>
          <w:color w:val="004C97" w:themeColor="accent4"/>
        </w:rPr>
        <w:t>Clinical process and procedure</w:t>
      </w:r>
    </w:p>
    <w:p w14:paraId="36B45396" w14:textId="77777777" w:rsidR="00A04BBC" w:rsidRPr="007F2475" w:rsidRDefault="00A04BBC" w:rsidP="00A04BBC">
      <w:pPr>
        <w:pStyle w:val="SCVbody"/>
      </w:pPr>
      <w:r>
        <w:t>SCV noted variation in following established clinical processes and procedures across paediatric sentinel events. This included delays or omissions in observing, monitoring, escalation processes and applying clinical pathways. In some events, procedures or policies existed but were not reliably embedded into practice, particularly during periods of high workload or after hours.</w:t>
      </w:r>
    </w:p>
    <w:p w14:paraId="3EF77018" w14:textId="77777777" w:rsidR="00A04BBC" w:rsidRPr="007F2475" w:rsidRDefault="00A04BBC" w:rsidP="00A04BBC">
      <w:pPr>
        <w:pStyle w:val="SCVbody"/>
      </w:pPr>
      <w:r w:rsidRPr="6920BDC5">
        <w:t>These findings reinforce the need for clinical processes that are practical, well</w:t>
      </w:r>
      <w:r>
        <w:noBreakHyphen/>
      </w:r>
      <w:r w:rsidRPr="6920BDC5">
        <w:t>embedded in governance processes and supported by clear guidance.</w:t>
      </w:r>
    </w:p>
    <w:p w14:paraId="359410F3" w14:textId="77777777" w:rsidR="00A04BBC" w:rsidRPr="00A04BBC" w:rsidRDefault="00A04BBC" w:rsidP="00A04BBC">
      <w:pPr>
        <w:pStyle w:val="Heading4"/>
        <w:rPr>
          <w:color w:val="004C97" w:themeColor="accent4"/>
        </w:rPr>
      </w:pPr>
      <w:r w:rsidRPr="00A04BBC">
        <w:rPr>
          <w:color w:val="004C97" w:themeColor="accent4"/>
        </w:rPr>
        <w:t>Delay to diagnosis and management</w:t>
      </w:r>
    </w:p>
    <w:p w14:paraId="0C5B1804" w14:textId="77777777" w:rsidR="00A04BBC" w:rsidRPr="000931F1" w:rsidRDefault="00A04BBC" w:rsidP="00A04BBC">
      <w:pPr>
        <w:pStyle w:val="SCVbody"/>
      </w:pPr>
      <w:r w:rsidRPr="6920BDC5">
        <w:t>Delayed diagnosis and delayed initiation of appropriate management were significant contributors to harm in several paediatric sentinel events. For example, in some cases, abnormal findings were identified but not acted on in a timely way. In others, early clinical signs were attributed to less serious conditions, contributing to diagnostic delay and missed opportunities for early treatment.</w:t>
      </w:r>
    </w:p>
    <w:p w14:paraId="1DB50DD9" w14:textId="77777777" w:rsidR="00A04BBC" w:rsidRDefault="00A04BBC" w:rsidP="00A04BBC">
      <w:pPr>
        <w:pStyle w:val="SCVbody"/>
      </w:pPr>
      <w:r w:rsidRPr="000931F1">
        <w:t>These findings highlight the importance of systems that support</w:t>
      </w:r>
      <w:r>
        <w:t>:</w:t>
      </w:r>
      <w:r w:rsidRPr="000931F1">
        <w:t xml:space="preserve"> </w:t>
      </w:r>
    </w:p>
    <w:p w14:paraId="45E100BE" w14:textId="77777777" w:rsidR="00A04BBC" w:rsidRDefault="00A04BBC" w:rsidP="00A04BBC">
      <w:pPr>
        <w:pStyle w:val="SCVbullet1"/>
      </w:pPr>
      <w:r>
        <w:t>timely review of results</w:t>
      </w:r>
    </w:p>
    <w:p w14:paraId="283EC6A0" w14:textId="77777777" w:rsidR="00A04BBC" w:rsidRDefault="00A04BBC" w:rsidP="00A04BBC">
      <w:pPr>
        <w:pStyle w:val="SCVbullet1"/>
      </w:pPr>
      <w:r>
        <w:t>escalation of diagnostic uncertainty</w:t>
      </w:r>
    </w:p>
    <w:p w14:paraId="26A3E5FF" w14:textId="02378D92" w:rsidR="00940761" w:rsidRPr="00A04BBC" w:rsidRDefault="00A04BBC" w:rsidP="00A04BBC">
      <w:pPr>
        <w:pStyle w:val="SCVbullet1"/>
      </w:pPr>
      <w:r w:rsidRPr="00A04BBC">
        <w:t>early senior clinical input when a child’s condition does not follow the expected course.</w:t>
      </w:r>
    </w:p>
    <w:p w14:paraId="36169437" w14:textId="3C6FC34B" w:rsidR="00F83ECF" w:rsidRPr="00A04BBC" w:rsidRDefault="008C2273" w:rsidP="005E7DE4">
      <w:pPr>
        <w:pStyle w:val="Heading4"/>
        <w:rPr>
          <w:color w:val="007586" w:themeColor="text2"/>
        </w:rPr>
      </w:pPr>
      <w:r w:rsidRPr="00A04BBC">
        <w:rPr>
          <w:color w:val="007586" w:themeColor="text2"/>
        </w:rPr>
        <w:lastRenderedPageBreak/>
        <w:t xml:space="preserve">Improvement initiatives and </w:t>
      </w:r>
      <w:r w:rsidR="00F83ECF" w:rsidRPr="00A04BBC" w:rsidDel="006F63A0">
        <w:rPr>
          <w:color w:val="007586" w:themeColor="text2"/>
        </w:rPr>
        <w:t>r</w:t>
      </w:r>
      <w:r w:rsidR="00F83ECF" w:rsidRPr="00A04BBC">
        <w:rPr>
          <w:color w:val="007586" w:themeColor="text2"/>
        </w:rPr>
        <w:t>esources</w:t>
      </w:r>
    </w:p>
    <w:p w14:paraId="287CA028" w14:textId="22EDE0C2" w:rsidR="00AC2137" w:rsidRPr="003D76A5" w:rsidRDefault="16CCB660" w:rsidP="39781E1B">
      <w:pPr>
        <w:pStyle w:val="SCVbody"/>
      </w:pPr>
      <w:r>
        <w:t xml:space="preserve">The </w:t>
      </w:r>
      <w:hyperlink r:id="rId61">
        <w:r w:rsidR="29EAE4BA" w:rsidRPr="509B18F9">
          <w:rPr>
            <w:rStyle w:val="Hyperlink"/>
          </w:rPr>
          <w:t>ViCTOR pilot project</w:t>
        </w:r>
      </w:hyperlink>
      <w:r w:rsidR="29EAE4BA">
        <w:t xml:space="preserve"> </w:t>
      </w:r>
      <w:r w:rsidR="261C7761">
        <w:t xml:space="preserve">&lt;https://www.safercare.vic.gov.au/improvement/projects/safer-care-for-kids-victor&gt; </w:t>
      </w:r>
      <w:r w:rsidR="29EAE4BA">
        <w:t>improve</w:t>
      </w:r>
      <w:r>
        <w:t>s</w:t>
      </w:r>
      <w:r w:rsidR="29EAE4BA">
        <w:t xml:space="preserve"> early recognition and response to deterioration in children</w:t>
      </w:r>
      <w:r w:rsidR="1ADDB642">
        <w:t xml:space="preserve">. </w:t>
      </w:r>
      <w:r w:rsidR="29EAE4BA">
        <w:t>The project focused on consistent use of the</w:t>
      </w:r>
      <w:r w:rsidR="29EAE4BA" w:rsidRPr="509B18F9">
        <w:rPr>
          <w:color w:val="004B97"/>
        </w:rPr>
        <w:t xml:space="preserve"> </w:t>
      </w:r>
      <w:hyperlink r:id="rId62">
        <w:r w:rsidR="29EAE4BA" w:rsidRPr="509B18F9">
          <w:rPr>
            <w:color w:val="004B97"/>
          </w:rPr>
          <w:t>Victorian Children’s Tool for Observation and Response (ViCTOR)</w:t>
        </w:r>
      </w:hyperlink>
      <w:r w:rsidR="29EAE4BA">
        <w:t xml:space="preserve"> </w:t>
      </w:r>
      <w:r w:rsidR="531F3919">
        <w:t>&lt;</w:t>
      </w:r>
      <w:r w:rsidR="1975F479" w:rsidRPr="509B18F9">
        <w:t>https://www.safercare.vic.gov.au/best-practice-improvement/clinical-guidance/paediatric/victor</w:t>
      </w:r>
      <w:r w:rsidR="531F3919" w:rsidRPr="509B18F9">
        <w:t>&gt;</w:t>
      </w:r>
      <w:r w:rsidR="1ADDB642">
        <w:t>.</w:t>
      </w:r>
    </w:p>
    <w:p w14:paraId="733B0F6D" w14:textId="03235C49" w:rsidR="00AC2137" w:rsidRPr="00964B4F" w:rsidRDefault="1ADDB642" w:rsidP="39781E1B">
      <w:pPr>
        <w:pStyle w:val="SCVbody"/>
        <w:rPr>
          <w:rFonts w:ascii="Times New Roman" w:eastAsia="Times New Roman" w:hAnsi="Times New Roman" w:cs="Times New Roman"/>
        </w:rPr>
      </w:pPr>
      <w:r>
        <w:t xml:space="preserve">The </w:t>
      </w:r>
      <w:hyperlink r:id="rId63">
        <w:r w:rsidR="29EAE4BA" w:rsidRPr="509B18F9">
          <w:rPr>
            <w:rStyle w:val="Hyperlink"/>
          </w:rPr>
          <w:t>Royal Children’s Hospital Learning Platform</w:t>
        </w:r>
      </w:hyperlink>
      <w:r w:rsidR="29EAE4BA">
        <w:t xml:space="preserve"> </w:t>
      </w:r>
      <w:r w:rsidR="2D3193D5">
        <w:t>&lt;</w:t>
      </w:r>
      <w:r w:rsidR="7F5E76E4" w:rsidRPr="509B18F9">
        <w:rPr>
          <w:lang w:val="en-US"/>
        </w:rPr>
        <w:t>https://learn.rch.org.au/</w:t>
      </w:r>
      <w:r w:rsidR="487DE1C3" w:rsidRPr="509B18F9">
        <w:rPr>
          <w:lang w:val="en-US"/>
        </w:rPr>
        <w:t xml:space="preserve"> </w:t>
      </w:r>
      <w:r w:rsidR="2D3193D5" w:rsidRPr="509B18F9">
        <w:rPr>
          <w:rFonts w:eastAsia="Times New Roman"/>
        </w:rPr>
        <w:t xml:space="preserve">&gt; </w:t>
      </w:r>
      <w:r w:rsidR="29EAE4BA" w:rsidRPr="509B18F9">
        <w:rPr>
          <w:rFonts w:eastAsia="Times New Roman"/>
        </w:rPr>
        <w:t>provides education programs for maternal and child health nurses focused on early identification and management of unwell children</w:t>
      </w:r>
      <w:r w:rsidR="29EAE4BA" w:rsidRPr="509B18F9">
        <w:rPr>
          <w:rFonts w:ascii="Times New Roman" w:eastAsia="Times New Roman" w:hAnsi="Times New Roman" w:cs="Times New Roman"/>
        </w:rPr>
        <w:t>.</w:t>
      </w:r>
    </w:p>
    <w:p w14:paraId="6468BC57" w14:textId="77777777" w:rsidR="002B3795" w:rsidRDefault="002B3795" w:rsidP="003D76A5">
      <w:pPr>
        <w:pStyle w:val="SCVbody"/>
        <w:rPr>
          <w:rFonts w:asciiTheme="majorHAnsi" w:eastAsiaTheme="majorEastAsia" w:hAnsiTheme="majorHAnsi" w:cstheme="majorBidi"/>
          <w:b/>
          <w:bCs/>
          <w:sz w:val="28"/>
          <w:szCs w:val="28"/>
        </w:rPr>
      </w:pPr>
      <w:bookmarkStart w:id="26" w:name="_Toc185595247"/>
      <w:bookmarkEnd w:id="25"/>
      <w:r>
        <w:br w:type="page"/>
      </w:r>
    </w:p>
    <w:p w14:paraId="2EECE642" w14:textId="0E7CCA47" w:rsidR="00377835" w:rsidRPr="00844691" w:rsidRDefault="49E36BF3" w:rsidP="57EA0190">
      <w:pPr>
        <w:pStyle w:val="Heading2"/>
        <w:rPr>
          <w:rStyle w:val="normaltextrun"/>
          <w:rFonts w:asciiTheme="minorHAnsi" w:eastAsiaTheme="minorEastAsia" w:hAnsiTheme="minorHAnsi" w:cstheme="minorBidi"/>
          <w:b w:val="0"/>
          <w:bCs w:val="0"/>
          <w:color w:val="007586" w:themeColor="text2"/>
          <w:sz w:val="20"/>
          <w:szCs w:val="20"/>
        </w:rPr>
      </w:pPr>
      <w:bookmarkStart w:id="27" w:name="_Toc238026642"/>
      <w:r w:rsidRPr="00844691">
        <w:rPr>
          <w:color w:val="007586" w:themeColor="text2"/>
        </w:rPr>
        <w:lastRenderedPageBreak/>
        <w:t>3</w:t>
      </w:r>
      <w:r w:rsidRPr="00844691">
        <w:rPr>
          <w:b w:val="0"/>
          <w:bCs w:val="0"/>
          <w:color w:val="007586" w:themeColor="text2"/>
        </w:rPr>
        <w:t>.</w:t>
      </w:r>
      <w:r w:rsidRPr="00844691">
        <w:rPr>
          <w:color w:val="007586" w:themeColor="text2"/>
        </w:rPr>
        <w:t xml:space="preserve"> </w:t>
      </w:r>
      <w:r w:rsidR="7D43B491" w:rsidRPr="00844691">
        <w:rPr>
          <w:color w:val="007586" w:themeColor="text2"/>
        </w:rPr>
        <w:t xml:space="preserve">Sentinel </w:t>
      </w:r>
      <w:r w:rsidR="1A541374" w:rsidRPr="00844691">
        <w:rPr>
          <w:color w:val="007586" w:themeColor="text2"/>
        </w:rPr>
        <w:t>e</w:t>
      </w:r>
      <w:r w:rsidR="7D43B491" w:rsidRPr="00844691">
        <w:rPr>
          <w:color w:val="007586" w:themeColor="text2"/>
        </w:rPr>
        <w:t xml:space="preserve">vents </w:t>
      </w:r>
      <w:r w:rsidR="486DF92A" w:rsidRPr="00844691">
        <w:rPr>
          <w:color w:val="007586" w:themeColor="text2"/>
        </w:rPr>
        <w:t>r</w:t>
      </w:r>
      <w:r w:rsidR="7D43B491" w:rsidRPr="00844691">
        <w:rPr>
          <w:color w:val="007586" w:themeColor="text2"/>
        </w:rPr>
        <w:t xml:space="preserve">elated to </w:t>
      </w:r>
      <w:r w:rsidR="1A541374" w:rsidRPr="00844691">
        <w:rPr>
          <w:color w:val="007586" w:themeColor="text2"/>
        </w:rPr>
        <w:t>m</w:t>
      </w:r>
      <w:r w:rsidR="43FFACC5" w:rsidRPr="00844691">
        <w:rPr>
          <w:color w:val="007586" w:themeColor="text2"/>
        </w:rPr>
        <w:t xml:space="preserve">ental </w:t>
      </w:r>
      <w:r w:rsidR="1A541374" w:rsidRPr="00844691">
        <w:rPr>
          <w:color w:val="007586" w:themeColor="text2"/>
        </w:rPr>
        <w:t>h</w:t>
      </w:r>
      <w:r w:rsidR="43FFACC5" w:rsidRPr="00844691">
        <w:rPr>
          <w:color w:val="007586" w:themeColor="text2"/>
        </w:rPr>
        <w:t>ealth a</w:t>
      </w:r>
      <w:r w:rsidR="0109E786" w:rsidRPr="00844691">
        <w:rPr>
          <w:color w:val="007586" w:themeColor="text2"/>
        </w:rPr>
        <w:t xml:space="preserve">nd </w:t>
      </w:r>
      <w:r w:rsidR="54F0DE68" w:rsidRPr="00844691">
        <w:rPr>
          <w:color w:val="007586" w:themeColor="text2"/>
        </w:rPr>
        <w:t>self-harm</w:t>
      </w:r>
      <w:bookmarkEnd w:id="26"/>
      <w:bookmarkEnd w:id="27"/>
    </w:p>
    <w:p w14:paraId="33B55840" w14:textId="526EB947" w:rsidR="00AF53A7" w:rsidRPr="0002145B" w:rsidRDefault="00317B5F" w:rsidP="509B18F9">
      <w:pPr>
        <w:pStyle w:val="SCVbody"/>
        <w:rPr>
          <w:highlight w:val="yellow"/>
        </w:rPr>
      </w:pPr>
      <w:r>
        <w:t>The</w:t>
      </w:r>
      <w:r w:rsidR="00AF53A7">
        <w:t xml:space="preserve"> </w:t>
      </w:r>
      <w:r w:rsidR="0098665E">
        <w:t xml:space="preserve">2021 </w:t>
      </w:r>
      <w:r w:rsidR="00AF53A7">
        <w:t>Royal Commission into Victoria’s Mental Health System</w:t>
      </w:r>
      <w:r w:rsidR="008F51E1">
        <w:t>’s f</w:t>
      </w:r>
      <w:r w:rsidR="00AF53A7">
        <w:t xml:space="preserve">inal </w:t>
      </w:r>
      <w:r w:rsidR="008F51E1">
        <w:t>r</w:t>
      </w:r>
      <w:r w:rsidR="00AF53A7">
        <w:t xml:space="preserve">eport included </w:t>
      </w:r>
      <w:r w:rsidR="0026215B">
        <w:t>74</w:t>
      </w:r>
      <w:r w:rsidR="00AF53A7">
        <w:t xml:space="preserve"> recommendations </w:t>
      </w:r>
      <w:r w:rsidR="00460733">
        <w:t>(combining the interim and final reports)</w:t>
      </w:r>
      <w:r w:rsidR="00E30560">
        <w:t xml:space="preserve">, </w:t>
      </w:r>
      <w:r w:rsidR="00BC767B">
        <w:t>highlight</w:t>
      </w:r>
      <w:r w:rsidR="001874AE">
        <w:t>ing</w:t>
      </w:r>
      <w:r w:rsidR="004C6184">
        <w:t xml:space="preserve"> the </w:t>
      </w:r>
      <w:r w:rsidR="001874AE">
        <w:t xml:space="preserve">need </w:t>
      </w:r>
      <w:r w:rsidR="00AF53A7">
        <w:t>for system</w:t>
      </w:r>
      <w:r w:rsidR="0098665E">
        <w:t>-</w:t>
      </w:r>
      <w:r w:rsidR="00AF53A7">
        <w:t>wide reform.</w:t>
      </w:r>
      <w:r w:rsidRPr="39781E1B">
        <w:rPr>
          <w:rStyle w:val="FootnoteReference"/>
          <w:rFonts w:ascii="Arial" w:eastAsia="Arial" w:hAnsi="Arial" w:cs="Arial"/>
        </w:rPr>
        <w:footnoteReference w:id="3"/>
      </w:r>
    </w:p>
    <w:p w14:paraId="4F07595A" w14:textId="7CAFC3F0" w:rsidR="00AF53A7" w:rsidRPr="0002145B" w:rsidRDefault="00C827C3" w:rsidP="003D76A5">
      <w:pPr>
        <w:pStyle w:val="SCVbody"/>
      </w:pPr>
      <w:r>
        <w:t xml:space="preserve">Key </w:t>
      </w:r>
      <w:r w:rsidR="00AF53A7" w:rsidRPr="0002145B">
        <w:t xml:space="preserve">recommendations </w:t>
      </w:r>
      <w:r>
        <w:t>included</w:t>
      </w:r>
      <w:r w:rsidRPr="0002145B">
        <w:t xml:space="preserve"> </w:t>
      </w:r>
      <w:r w:rsidR="00AF53A7" w:rsidRPr="0002145B">
        <w:t>improv</w:t>
      </w:r>
      <w:r>
        <w:t>ing</w:t>
      </w:r>
      <w:r w:rsidR="00AF53A7" w:rsidRPr="0002145B">
        <w:t xml:space="preserve"> collaboration to support mental health and wellbeing </w:t>
      </w:r>
      <w:r w:rsidR="00941E48">
        <w:t>and</w:t>
      </w:r>
      <w:r w:rsidR="00AF53A7" w:rsidRPr="0002145B">
        <w:t xml:space="preserve"> enhancing safety and preventing harm</w:t>
      </w:r>
      <w:r w:rsidR="59129956" w:rsidRPr="5B235FCB">
        <w:t>.</w:t>
      </w:r>
      <w:r w:rsidR="00AF53A7" w:rsidRPr="0002145B">
        <w:t xml:space="preserve"> </w:t>
      </w:r>
    </w:p>
    <w:p w14:paraId="4E9CC06D" w14:textId="490E3E83" w:rsidR="001874AE" w:rsidRDefault="00C827C3" w:rsidP="003D76A5">
      <w:pPr>
        <w:pStyle w:val="SCVbody"/>
      </w:pPr>
      <w:r>
        <w:t xml:space="preserve">Other </w:t>
      </w:r>
      <w:r w:rsidR="00AF53A7">
        <w:t>recommendations include</w:t>
      </w:r>
      <w:r>
        <w:t>d</w:t>
      </w:r>
      <w:r w:rsidR="00AF53A7">
        <w:t xml:space="preserve"> the importance of</w:t>
      </w:r>
      <w:r w:rsidR="001874AE">
        <w:t xml:space="preserve"> incorporating</w:t>
      </w:r>
      <w:r w:rsidR="00AF53A7">
        <w:t xml:space="preserve"> lived experience perspective</w:t>
      </w:r>
      <w:r w:rsidR="00E0158B">
        <w:t>s</w:t>
      </w:r>
      <w:r w:rsidR="00AF53A7">
        <w:t xml:space="preserve"> and </w:t>
      </w:r>
      <w:r w:rsidR="001874AE">
        <w:t xml:space="preserve">better </w:t>
      </w:r>
      <w:r w:rsidR="00AF53A7">
        <w:t>use of data to</w:t>
      </w:r>
      <w:r w:rsidR="0064645A">
        <w:t xml:space="preserve"> </w:t>
      </w:r>
      <w:r w:rsidR="00AF53A7">
        <w:t>identify</w:t>
      </w:r>
      <w:r w:rsidR="0064645A">
        <w:t xml:space="preserve"> </w:t>
      </w:r>
      <w:r w:rsidR="00AF53A7">
        <w:t xml:space="preserve">risk factors and transparent reporting mechanisms. These principles </w:t>
      </w:r>
      <w:r w:rsidR="007D3360">
        <w:t>have been incorporated into</w:t>
      </w:r>
      <w:r w:rsidR="00AF53A7">
        <w:t xml:space="preserve"> the </w:t>
      </w:r>
      <w:r w:rsidR="00AF53A7" w:rsidRPr="39781E1B">
        <w:rPr>
          <w:i/>
          <w:iCs/>
        </w:rPr>
        <w:t>Mental Health and Wellbeing Act 2022</w:t>
      </w:r>
      <w:r>
        <w:t>,</w:t>
      </w:r>
      <w:r w:rsidR="00AF53A7" w:rsidRPr="39781E1B">
        <w:rPr>
          <w:i/>
          <w:iCs/>
        </w:rPr>
        <w:t xml:space="preserve"> </w:t>
      </w:r>
      <w:r w:rsidR="00AF53A7">
        <w:t>which emphasise</w:t>
      </w:r>
      <w:r w:rsidR="002E4AE1">
        <w:t>s</w:t>
      </w:r>
      <w:r w:rsidR="00AF53A7">
        <w:t xml:space="preserve"> the importance of</w:t>
      </w:r>
      <w:r w:rsidR="001874AE">
        <w:t>:</w:t>
      </w:r>
      <w:r w:rsidR="00AF53A7">
        <w:t xml:space="preserve"> </w:t>
      </w:r>
    </w:p>
    <w:p w14:paraId="2CE5BE14" w14:textId="3376B02A" w:rsidR="001874AE" w:rsidRDefault="00AF53A7" w:rsidP="001874AE">
      <w:pPr>
        <w:pStyle w:val="SCVbullet1"/>
      </w:pPr>
      <w:r>
        <w:t>person-centred care</w:t>
      </w:r>
    </w:p>
    <w:p w14:paraId="6FC5B26D" w14:textId="40155F95" w:rsidR="001874AE" w:rsidRDefault="00AF53A7" w:rsidP="001874AE">
      <w:pPr>
        <w:pStyle w:val="SCVbullet1"/>
      </w:pPr>
      <w:r>
        <w:t>upholding</w:t>
      </w:r>
      <w:r w:rsidR="004D0973">
        <w:t xml:space="preserve"> </w:t>
      </w:r>
      <w:r>
        <w:t>human rights as foundational</w:t>
      </w:r>
    </w:p>
    <w:p w14:paraId="50B8C90D" w14:textId="6FFC68A8" w:rsidR="001874AE" w:rsidRDefault="00AF53A7" w:rsidP="001874AE">
      <w:pPr>
        <w:pStyle w:val="SCVbullet1"/>
      </w:pPr>
      <w:r>
        <w:t xml:space="preserve">treating people with dignity and respect </w:t>
      </w:r>
    </w:p>
    <w:p w14:paraId="28C77678" w14:textId="072C7CB4" w:rsidR="00AF53A7" w:rsidRPr="0002145B" w:rsidRDefault="00AF53A7" w:rsidP="39781E1B">
      <w:pPr>
        <w:pStyle w:val="SCVbullet1"/>
      </w:pPr>
      <w:r>
        <w:t xml:space="preserve">fostering a culture </w:t>
      </w:r>
      <w:r w:rsidR="00C827C3">
        <w:t xml:space="preserve">that </w:t>
      </w:r>
      <w:r>
        <w:t>is open and transparent. </w:t>
      </w:r>
    </w:p>
    <w:p w14:paraId="75401D23" w14:textId="010A40E1" w:rsidR="00786548" w:rsidRPr="00844691" w:rsidRDefault="00CE0194" w:rsidP="00E3347E">
      <w:pPr>
        <w:pStyle w:val="Heading3"/>
        <w:spacing w:line="276" w:lineRule="auto"/>
        <w:rPr>
          <w:rFonts w:ascii="Arial" w:eastAsia="Arial" w:hAnsi="Arial" w:cs="Arial"/>
          <w:color w:val="auto"/>
          <w:szCs w:val="24"/>
        </w:rPr>
      </w:pPr>
      <w:r w:rsidRPr="00844691">
        <w:rPr>
          <w:color w:val="auto"/>
        </w:rPr>
        <w:t>Key themes</w:t>
      </w:r>
    </w:p>
    <w:p w14:paraId="6CF83DD2" w14:textId="65757590" w:rsidR="008254F8" w:rsidRPr="00735DBF" w:rsidDel="008B7610" w:rsidRDefault="487E4BEA" w:rsidP="003D76A5">
      <w:pPr>
        <w:pStyle w:val="SCVbody"/>
      </w:pPr>
      <w:r w:rsidRPr="69193B64">
        <w:t xml:space="preserve">In </w:t>
      </w:r>
      <w:r w:rsidRPr="00834EF2">
        <w:t>2024</w:t>
      </w:r>
      <w:r w:rsidR="2A146DC0" w:rsidRPr="00834EF2">
        <w:t>–</w:t>
      </w:r>
      <w:r w:rsidRPr="00834EF2">
        <w:t xml:space="preserve">25 there were </w:t>
      </w:r>
      <w:r w:rsidR="6BD02688" w:rsidRPr="1D8ABA5E" w:rsidDel="3FAAF8D8">
        <w:rPr>
          <w:b/>
          <w:bCs/>
        </w:rPr>
        <w:t>two</w:t>
      </w:r>
      <w:r w:rsidR="3FAAF8D8">
        <w:t xml:space="preserve"> </w:t>
      </w:r>
      <w:r>
        <w:t>sentinel events for category 6</w:t>
      </w:r>
      <w:r w:rsidR="5D1C8312" w:rsidRPr="1D8ABA5E">
        <w:rPr>
          <w:b/>
          <w:bCs/>
        </w:rPr>
        <w:t xml:space="preserve"> </w:t>
      </w:r>
      <w:r w:rsidR="7988A849">
        <w:t>(</w:t>
      </w:r>
      <w:r>
        <w:t>suspected suicide of a patient in an acute psychiatric unit or acute psychiatric ward</w:t>
      </w:r>
      <w:r w:rsidR="7988A849">
        <w:t>)</w:t>
      </w:r>
      <w:r>
        <w:t xml:space="preserve"> and </w:t>
      </w:r>
      <w:r w:rsidR="00558F25" w:rsidRPr="1D8ABA5E">
        <w:rPr>
          <w:b/>
          <w:bCs/>
        </w:rPr>
        <w:t>23</w:t>
      </w:r>
      <w:r w:rsidR="00558F25">
        <w:t xml:space="preserve"> </w:t>
      </w:r>
      <w:r>
        <w:t>for category 11</w:t>
      </w:r>
      <w:r w:rsidR="1B855EE8">
        <w:t xml:space="preserve"> </w:t>
      </w:r>
      <w:r>
        <w:t xml:space="preserve">subcategory </w:t>
      </w:r>
      <w:r w:rsidR="359D734F">
        <w:t>4</w:t>
      </w:r>
      <w:r>
        <w:t xml:space="preserve"> </w:t>
      </w:r>
      <w:r w:rsidR="7988A849">
        <w:t>(</w:t>
      </w:r>
      <w:r>
        <w:t>self</w:t>
      </w:r>
      <w:r w:rsidR="3FAAF8D8">
        <w:t>-</w:t>
      </w:r>
      <w:r>
        <w:t>harm</w:t>
      </w:r>
      <w:r w:rsidR="7988A849">
        <w:t>)</w:t>
      </w:r>
      <w:r w:rsidR="3FAAF8D8">
        <w:t>.</w:t>
      </w:r>
      <w:r w:rsidR="008254F8" w:rsidRPr="509B18F9">
        <w:rPr>
          <w:rStyle w:val="FootnoteReference"/>
          <w:rFonts w:ascii="Arial" w:eastAsia="Arial" w:hAnsi="Arial" w:cs="Arial"/>
        </w:rPr>
        <w:footnoteReference w:id="4"/>
      </w:r>
    </w:p>
    <w:p w14:paraId="2DDEFAAF" w14:textId="653C2816" w:rsidR="00AF53A7" w:rsidRPr="0002145B" w:rsidRDefault="00472B53" w:rsidP="0057201C">
      <w:pPr>
        <w:pStyle w:val="SCVbullet1"/>
      </w:pPr>
      <w:r>
        <w:t xml:space="preserve">In </w:t>
      </w:r>
      <w:r w:rsidR="00767B97">
        <w:t>2024</w:t>
      </w:r>
      <w:r w:rsidR="006D014B">
        <w:t>–</w:t>
      </w:r>
      <w:r w:rsidR="00767B97">
        <w:t>25</w:t>
      </w:r>
      <w:r w:rsidR="000C0092">
        <w:t>,</w:t>
      </w:r>
      <w:r w:rsidR="005459E0">
        <w:t xml:space="preserve"> 25 </w:t>
      </w:r>
      <w:r w:rsidR="00AF53A7">
        <w:t>sentinel events</w:t>
      </w:r>
      <w:r w:rsidR="0064645A">
        <w:t xml:space="preserve"> </w:t>
      </w:r>
      <w:r w:rsidR="56C97C1C">
        <w:t>related to mental health</w:t>
      </w:r>
      <w:r w:rsidR="000C0092">
        <w:t xml:space="preserve"> </w:t>
      </w:r>
      <w:r w:rsidR="001874AE">
        <w:t>showed</w:t>
      </w:r>
      <w:r w:rsidR="00833FB2">
        <w:t xml:space="preserve"> </w:t>
      </w:r>
      <w:r w:rsidR="006D6395">
        <w:t xml:space="preserve">a slight increase from </w:t>
      </w:r>
      <w:r w:rsidR="00992695">
        <w:t xml:space="preserve">23 in </w:t>
      </w:r>
      <w:r w:rsidR="00842BA1">
        <w:t>202</w:t>
      </w:r>
      <w:r w:rsidR="00072030">
        <w:t>3–24,</w:t>
      </w:r>
      <w:r w:rsidR="00C80374">
        <w:t xml:space="preserve"> </w:t>
      </w:r>
      <w:r w:rsidR="001F5382">
        <w:t xml:space="preserve">17 in </w:t>
      </w:r>
      <w:r w:rsidR="00682051">
        <w:t>2022–23</w:t>
      </w:r>
      <w:r w:rsidR="00C76C8C">
        <w:t xml:space="preserve"> and 16 in 2021–22.</w:t>
      </w:r>
    </w:p>
    <w:p w14:paraId="5C640501" w14:textId="3421EF56" w:rsidR="00CE0194" w:rsidRPr="00735DBF" w:rsidDel="008B7610" w:rsidRDefault="6DE6495E" w:rsidP="0057201C">
      <w:pPr>
        <w:pStyle w:val="SCVbullet1"/>
      </w:pPr>
      <w:r>
        <w:t xml:space="preserve">This trend is </w:t>
      </w:r>
      <w:r w:rsidR="6E9DE211">
        <w:t xml:space="preserve">primarily due to </w:t>
      </w:r>
      <w:r w:rsidR="1A068A97">
        <w:t xml:space="preserve">a steady </w:t>
      </w:r>
      <w:r w:rsidR="1A068A97" w:rsidRPr="509B18F9">
        <w:rPr>
          <w:b/>
          <w:bCs/>
        </w:rPr>
        <w:t xml:space="preserve">increase </w:t>
      </w:r>
      <w:r w:rsidR="4CBDC0A8" w:rsidRPr="509B18F9">
        <w:rPr>
          <w:b/>
          <w:bCs/>
        </w:rPr>
        <w:t>in reporting</w:t>
      </w:r>
      <w:r w:rsidR="4CBDC0A8">
        <w:t xml:space="preserve"> under category 11</w:t>
      </w:r>
      <w:r w:rsidR="14D2A8F6">
        <w:t xml:space="preserve">, </w:t>
      </w:r>
      <w:r w:rsidR="4B116EB8">
        <w:t>subcategory 4</w:t>
      </w:r>
      <w:r w:rsidR="5AF7FAE1">
        <w:t>, which reflect</w:t>
      </w:r>
      <w:r w:rsidR="1ADDB642">
        <w:t>s</w:t>
      </w:r>
      <w:r w:rsidR="5AF7FAE1">
        <w:t xml:space="preserve"> </w:t>
      </w:r>
      <w:r w:rsidR="7863D3C6">
        <w:t xml:space="preserve">strengthening </w:t>
      </w:r>
      <w:r w:rsidR="5AF7FAE1">
        <w:t>enga</w:t>
      </w:r>
      <w:r w:rsidR="66346738">
        <w:t>gement from the mental health sector.</w:t>
      </w:r>
    </w:p>
    <w:p w14:paraId="2C607397" w14:textId="6FAE4A65" w:rsidR="00653CB4" w:rsidRPr="0002145B" w:rsidRDefault="70D00C69" w:rsidP="0057201C">
      <w:pPr>
        <w:pStyle w:val="SCVbullet1"/>
      </w:pPr>
      <w:r>
        <w:t>Events reported under c</w:t>
      </w:r>
      <w:r w:rsidR="400A85FF">
        <w:t>ategory 6</w:t>
      </w:r>
      <w:r w:rsidR="5D1C8312">
        <w:t xml:space="preserve"> </w:t>
      </w:r>
      <w:r w:rsidR="76D23A60">
        <w:t>ha</w:t>
      </w:r>
      <w:r w:rsidR="6F85AED4">
        <w:t xml:space="preserve">ve </w:t>
      </w:r>
      <w:r w:rsidR="755DC7FF">
        <w:t xml:space="preserve">remained </w:t>
      </w:r>
      <w:r w:rsidR="755DC7FF" w:rsidRPr="509B18F9">
        <w:rPr>
          <w:b/>
          <w:bCs/>
        </w:rPr>
        <w:t>low and relatively stable</w:t>
      </w:r>
      <w:r w:rsidR="755DC7FF">
        <w:t xml:space="preserve"> over the past </w:t>
      </w:r>
      <w:r w:rsidR="28DE5BE4">
        <w:t>five</w:t>
      </w:r>
      <w:r w:rsidR="755DC7FF">
        <w:t xml:space="preserve"> years. </w:t>
      </w:r>
    </w:p>
    <w:p w14:paraId="241D9335" w14:textId="118FC713" w:rsidR="00AF53A7" w:rsidRPr="0002145B" w:rsidRDefault="42B09902" w:rsidP="0057201C">
      <w:pPr>
        <w:pStyle w:val="SCVbullet1"/>
      </w:pPr>
      <w:r>
        <w:t>The age</w:t>
      </w:r>
      <w:r w:rsidR="179727EB">
        <w:t xml:space="preserve"> </w:t>
      </w:r>
      <w:r>
        <w:t>group</w:t>
      </w:r>
      <w:r w:rsidR="179727EB">
        <w:t xml:space="preserve"> </w:t>
      </w:r>
      <w:r w:rsidR="50599829">
        <w:t>m</w:t>
      </w:r>
      <w:r w:rsidR="3773CA66">
        <w:t>o</w:t>
      </w:r>
      <w:r w:rsidR="50599829">
        <w:t>st repre</w:t>
      </w:r>
      <w:r w:rsidR="3773CA66">
        <w:t xml:space="preserve">sented in the reported data </w:t>
      </w:r>
      <w:r>
        <w:t>is</w:t>
      </w:r>
      <w:r w:rsidR="506DE45D">
        <w:t xml:space="preserve"> </w:t>
      </w:r>
      <w:r w:rsidRPr="509B18F9">
        <w:rPr>
          <w:b/>
          <w:bCs/>
        </w:rPr>
        <w:t>30</w:t>
      </w:r>
      <w:r w:rsidR="506DE45D" w:rsidRPr="509B18F9">
        <w:rPr>
          <w:b/>
          <w:bCs/>
        </w:rPr>
        <w:t xml:space="preserve"> </w:t>
      </w:r>
      <w:r w:rsidRPr="509B18F9">
        <w:rPr>
          <w:b/>
          <w:bCs/>
        </w:rPr>
        <w:t>to</w:t>
      </w:r>
      <w:r w:rsidR="506DE45D" w:rsidRPr="509B18F9">
        <w:rPr>
          <w:b/>
          <w:bCs/>
        </w:rPr>
        <w:t xml:space="preserve"> </w:t>
      </w:r>
      <w:r w:rsidRPr="509B18F9">
        <w:rPr>
          <w:b/>
          <w:bCs/>
        </w:rPr>
        <w:t>64</w:t>
      </w:r>
      <w:r w:rsidR="7DC21AA2" w:rsidRPr="509B18F9">
        <w:rPr>
          <w:b/>
          <w:bCs/>
        </w:rPr>
        <w:t xml:space="preserve"> </w:t>
      </w:r>
      <w:r w:rsidRPr="509B18F9">
        <w:rPr>
          <w:b/>
          <w:bCs/>
        </w:rPr>
        <w:t>year</w:t>
      </w:r>
      <w:r w:rsidR="1E7FAF6F" w:rsidRPr="509B18F9">
        <w:rPr>
          <w:b/>
          <w:bCs/>
        </w:rPr>
        <w:t>s</w:t>
      </w:r>
      <w:r w:rsidR="585039BE" w:rsidRPr="509B18F9">
        <w:rPr>
          <w:b/>
          <w:bCs/>
        </w:rPr>
        <w:t xml:space="preserve"> </w:t>
      </w:r>
      <w:r w:rsidRPr="509B18F9">
        <w:rPr>
          <w:b/>
          <w:bCs/>
        </w:rPr>
        <w:t>old</w:t>
      </w:r>
      <w:r w:rsidR="20F7E3C7">
        <w:t>.</w:t>
      </w:r>
    </w:p>
    <w:p w14:paraId="1DA51C84" w14:textId="52B5285E" w:rsidR="00AF53A7" w:rsidRPr="0002145B" w:rsidRDefault="5B70DFA7" w:rsidP="0057201C">
      <w:pPr>
        <w:pStyle w:val="SCVbullet1"/>
      </w:pPr>
      <w:r>
        <w:t xml:space="preserve">Of the </w:t>
      </w:r>
      <w:r w:rsidR="71EDFF44">
        <w:t>events</w:t>
      </w:r>
      <w:r>
        <w:t xml:space="preserve"> reported</w:t>
      </w:r>
      <w:r w:rsidR="53FA5509">
        <w:t>,</w:t>
      </w:r>
      <w:r>
        <w:t xml:space="preserve"> </w:t>
      </w:r>
      <w:r w:rsidR="0D6D98B6" w:rsidRPr="509B18F9">
        <w:rPr>
          <w:b/>
          <w:bCs/>
        </w:rPr>
        <w:t>64</w:t>
      </w:r>
      <w:r w:rsidR="3FAAF8D8" w:rsidRPr="509B18F9">
        <w:rPr>
          <w:b/>
          <w:bCs/>
        </w:rPr>
        <w:t>%</w:t>
      </w:r>
      <w:r w:rsidR="604C8A11">
        <w:t xml:space="preserve"> occurred in</w:t>
      </w:r>
      <w:r w:rsidR="1237AAF7">
        <w:t xml:space="preserve"> </w:t>
      </w:r>
      <w:r w:rsidR="604C8A11">
        <w:t>community</w:t>
      </w:r>
      <w:r w:rsidR="46B870A4">
        <w:t xml:space="preserve"> settings.</w:t>
      </w:r>
    </w:p>
    <w:p w14:paraId="5B357935" w14:textId="67B4D3DF" w:rsidR="00AF53A7" w:rsidRPr="0002145B" w:rsidRDefault="00AF53A7" w:rsidP="509B18F9">
      <w:pPr>
        <w:pStyle w:val="SCVbullet1"/>
      </w:pPr>
      <w:r>
        <w:t xml:space="preserve">The primary outcome recorded for these events </w:t>
      </w:r>
      <w:r w:rsidR="001874AE">
        <w:t>wa</w:t>
      </w:r>
      <w:r>
        <w:t>s ‘death’</w:t>
      </w:r>
      <w:r w:rsidR="004D0973">
        <w:t xml:space="preserve">, which </w:t>
      </w:r>
      <w:r w:rsidR="00C827C3">
        <w:t>reflects</w:t>
      </w:r>
      <w:r>
        <w:t xml:space="preserve"> the </w:t>
      </w:r>
      <w:r w:rsidRPr="509B18F9">
        <w:t>notification criteria and</w:t>
      </w:r>
      <w:r w:rsidR="00C827C3" w:rsidRPr="509B18F9">
        <w:t xml:space="preserve"> is</w:t>
      </w:r>
      <w:r w:rsidRPr="509B18F9">
        <w:t xml:space="preserve"> consistent with other sentinel event categories</w:t>
      </w:r>
      <w:r w:rsidR="001826EC" w:rsidRPr="509B18F9">
        <w:t>.</w:t>
      </w:r>
    </w:p>
    <w:p w14:paraId="38DC9C8B" w14:textId="0DF13474" w:rsidR="00447C5A" w:rsidRPr="0092751F" w:rsidRDefault="001826EC" w:rsidP="509B18F9">
      <w:pPr>
        <w:pStyle w:val="SCVbullet1"/>
        <w:rPr>
          <w:b/>
          <w:bCs/>
        </w:rPr>
      </w:pPr>
      <w:r w:rsidRPr="509B18F9">
        <w:lastRenderedPageBreak/>
        <w:t>Most</w:t>
      </w:r>
      <w:r w:rsidR="004F3DC5" w:rsidRPr="509B18F9">
        <w:t xml:space="preserve"> </w:t>
      </w:r>
      <w:r w:rsidR="00AF53A7" w:rsidRPr="509B18F9">
        <w:t>patients</w:t>
      </w:r>
      <w:r w:rsidR="004F3DC5" w:rsidRPr="509B18F9">
        <w:t xml:space="preserve"> </w:t>
      </w:r>
      <w:r w:rsidR="00AF53A7" w:rsidRPr="509B18F9">
        <w:t xml:space="preserve">in this category were </w:t>
      </w:r>
      <w:r w:rsidR="00AF53A7" w:rsidRPr="509B18F9">
        <w:rPr>
          <w:b/>
          <w:bCs/>
        </w:rPr>
        <w:t xml:space="preserve">not </w:t>
      </w:r>
      <w:r w:rsidR="00AF53A7" w:rsidRPr="509B18F9">
        <w:t>under</w:t>
      </w:r>
      <w:r w:rsidR="004F3DC5" w:rsidRPr="509B18F9">
        <w:t xml:space="preserve"> </w:t>
      </w:r>
      <w:r w:rsidR="00AF53A7" w:rsidRPr="509B18F9">
        <w:t>a</w:t>
      </w:r>
      <w:r w:rsidR="004F3DC5" w:rsidRPr="509B18F9">
        <w:t xml:space="preserve"> </w:t>
      </w:r>
      <w:r w:rsidR="00AF53A7" w:rsidRPr="509B18F9">
        <w:t>compulsory</w:t>
      </w:r>
      <w:r w:rsidR="004F3DC5" w:rsidRPr="509B18F9">
        <w:t xml:space="preserve"> </w:t>
      </w:r>
      <w:r w:rsidR="00AF53A7" w:rsidRPr="509B18F9">
        <w:t>treatment</w:t>
      </w:r>
      <w:r w:rsidR="004F3DC5" w:rsidRPr="509B18F9">
        <w:t xml:space="preserve"> </w:t>
      </w:r>
      <w:r w:rsidR="00AF53A7" w:rsidRPr="509B18F9">
        <w:t>order.</w:t>
      </w:r>
    </w:p>
    <w:p w14:paraId="5159B02B" w14:textId="65912DBC" w:rsidR="00AF53A7" w:rsidRPr="00844691" w:rsidRDefault="000666DB" w:rsidP="004A3995">
      <w:pPr>
        <w:pStyle w:val="Heading4"/>
        <w:rPr>
          <w:color w:val="004C97" w:themeColor="accent4"/>
        </w:rPr>
      </w:pPr>
      <w:r w:rsidRPr="00844691">
        <w:rPr>
          <w:color w:val="004C97" w:themeColor="accent4"/>
        </w:rPr>
        <w:t>Improved lived (and living experience)</w:t>
      </w:r>
      <w:r w:rsidR="004F3DC5" w:rsidRPr="00844691">
        <w:rPr>
          <w:color w:val="004C97" w:themeColor="accent4"/>
        </w:rPr>
        <w:t xml:space="preserve"> </w:t>
      </w:r>
      <w:r w:rsidR="00AF53A7" w:rsidRPr="00844691">
        <w:rPr>
          <w:color w:val="004C97" w:themeColor="accent4"/>
        </w:rPr>
        <w:t>mental health consumer representation in</w:t>
      </w:r>
      <w:r w:rsidR="004F3DC5" w:rsidRPr="00844691">
        <w:rPr>
          <w:color w:val="004C97" w:themeColor="accent4"/>
        </w:rPr>
        <w:t xml:space="preserve"> </w:t>
      </w:r>
      <w:r w:rsidR="00AF53A7" w:rsidRPr="00844691">
        <w:rPr>
          <w:color w:val="004C97" w:themeColor="accent4"/>
        </w:rPr>
        <w:t>sentinel</w:t>
      </w:r>
      <w:r w:rsidR="004F3DC5" w:rsidRPr="00844691">
        <w:rPr>
          <w:color w:val="004C97" w:themeColor="accent4"/>
        </w:rPr>
        <w:t xml:space="preserve"> </w:t>
      </w:r>
      <w:r w:rsidR="00AF53A7" w:rsidRPr="00844691">
        <w:rPr>
          <w:color w:val="004C97" w:themeColor="accent4"/>
        </w:rPr>
        <w:t>event</w:t>
      </w:r>
      <w:r w:rsidR="004F3DC5" w:rsidRPr="00844691">
        <w:rPr>
          <w:color w:val="004C97" w:themeColor="accent4"/>
        </w:rPr>
        <w:t xml:space="preserve"> </w:t>
      </w:r>
      <w:r w:rsidR="00AF53A7" w:rsidRPr="00844691">
        <w:rPr>
          <w:color w:val="004C97" w:themeColor="accent4"/>
        </w:rPr>
        <w:t>review</w:t>
      </w:r>
      <w:r w:rsidRPr="00844691">
        <w:rPr>
          <w:color w:val="004C97" w:themeColor="accent4"/>
        </w:rPr>
        <w:t xml:space="preserve"> panels</w:t>
      </w:r>
    </w:p>
    <w:p w14:paraId="77480179" w14:textId="1577B00B" w:rsidR="00AF53A7" w:rsidRPr="0002145B" w:rsidRDefault="42B09902" w:rsidP="003D76A5">
      <w:pPr>
        <w:pStyle w:val="SCVbody"/>
      </w:pPr>
      <w:r>
        <w:t xml:space="preserve">Consumers, family and carers with lived experience of mental illness or psychological distress are represented on sentinel event panels (Table </w:t>
      </w:r>
      <w:r w:rsidR="2048C03B">
        <w:t>8</w:t>
      </w:r>
      <w:r>
        <w:t xml:space="preserve">). </w:t>
      </w:r>
    </w:p>
    <w:p w14:paraId="49C8C335" w14:textId="00D98CB4" w:rsidR="00AF53A7" w:rsidRDefault="21415A4C" w:rsidP="003D76A5">
      <w:pPr>
        <w:pStyle w:val="SCVbody"/>
      </w:pPr>
      <w:r>
        <w:t>This</w:t>
      </w:r>
      <w:r w:rsidR="43E08842">
        <w:t xml:space="preserve"> </w:t>
      </w:r>
      <w:r w:rsidR="309081F2">
        <w:t>is consistent</w:t>
      </w:r>
      <w:r w:rsidR="48B9C0C8">
        <w:t xml:space="preserve"> </w:t>
      </w:r>
      <w:r w:rsidR="589814F1">
        <w:t>with key recommendations</w:t>
      </w:r>
      <w:r w:rsidR="24C8DD12">
        <w:t xml:space="preserve"> </w:t>
      </w:r>
      <w:r w:rsidR="589814F1">
        <w:t>from</w:t>
      </w:r>
      <w:r w:rsidR="24C8DD12">
        <w:t xml:space="preserve"> </w:t>
      </w:r>
      <w:r w:rsidR="589814F1">
        <w:t>the</w:t>
      </w:r>
      <w:r w:rsidR="24C8DD12">
        <w:t xml:space="preserve"> </w:t>
      </w:r>
      <w:r w:rsidR="589814F1">
        <w:t>Royal</w:t>
      </w:r>
      <w:r w:rsidR="24C8DD12">
        <w:t xml:space="preserve"> </w:t>
      </w:r>
      <w:r w:rsidR="589814F1">
        <w:t>Commission</w:t>
      </w:r>
      <w:r w:rsidR="1E7E9848">
        <w:t xml:space="preserve"> as outlined above.</w:t>
      </w:r>
      <w:r w:rsidR="1B5FD64F">
        <w:t xml:space="preserve"> </w:t>
      </w:r>
      <w:r w:rsidR="5CF17516">
        <w:t xml:space="preserve">As part of </w:t>
      </w:r>
      <w:r>
        <w:t>SCV</w:t>
      </w:r>
      <w:r w:rsidR="581A03BA">
        <w:t xml:space="preserve">’s future improvement focus, </w:t>
      </w:r>
      <w:r w:rsidR="10C553D9">
        <w:t xml:space="preserve">we are considering </w:t>
      </w:r>
      <w:r w:rsidR="0DE805A3">
        <w:t>changes</w:t>
      </w:r>
      <w:r w:rsidR="7763E7C4">
        <w:t xml:space="preserve"> </w:t>
      </w:r>
      <w:r w:rsidR="7BE0A7B4">
        <w:t xml:space="preserve">to </w:t>
      </w:r>
      <w:r>
        <w:t xml:space="preserve">the </w:t>
      </w:r>
      <w:r w:rsidR="68A04622">
        <w:t>s</w:t>
      </w:r>
      <w:r>
        <w:t xml:space="preserve">entinel </w:t>
      </w:r>
      <w:r w:rsidR="68A04622">
        <w:t>e</w:t>
      </w:r>
      <w:r>
        <w:t xml:space="preserve">vent portal to improve </w:t>
      </w:r>
      <w:r w:rsidR="7BE0A7B4">
        <w:t xml:space="preserve">the </w:t>
      </w:r>
      <w:r>
        <w:t>ability</w:t>
      </w:r>
      <w:r w:rsidR="36E35BF2">
        <w:t xml:space="preserve"> </w:t>
      </w:r>
      <w:r>
        <w:t>to</w:t>
      </w:r>
      <w:r w:rsidR="1DE8AD7D">
        <w:t xml:space="preserve"> partner with consumers, families and carers and to</w:t>
      </w:r>
      <w:r w:rsidR="1B5FD64F">
        <w:t xml:space="preserve"> </w:t>
      </w:r>
      <w:r>
        <w:t>capture</w:t>
      </w:r>
      <w:r w:rsidR="1B5FD64F">
        <w:t xml:space="preserve"> </w:t>
      </w:r>
      <w:r>
        <w:t>consumer</w:t>
      </w:r>
      <w:r w:rsidR="1B5FD64F">
        <w:t xml:space="preserve"> </w:t>
      </w:r>
      <w:r>
        <w:t>representation more accurately.</w:t>
      </w:r>
    </w:p>
    <w:p w14:paraId="22943645" w14:textId="5563123D" w:rsidR="00C67296" w:rsidRDefault="00C67296" w:rsidP="003D76A5">
      <w:pPr>
        <w:pStyle w:val="SCVbody"/>
      </w:pPr>
      <w:r>
        <w:t xml:space="preserve">Sentinel event data suggests the </w:t>
      </w:r>
      <w:r w:rsidRPr="00FA2BF9">
        <w:t>mental</w:t>
      </w:r>
      <w:r w:rsidR="0002530D">
        <w:t xml:space="preserve"> </w:t>
      </w:r>
      <w:r w:rsidRPr="00FA2BF9">
        <w:t>health</w:t>
      </w:r>
      <w:r w:rsidR="0002530D">
        <w:t xml:space="preserve"> </w:t>
      </w:r>
      <w:r w:rsidRPr="00FA2BF9">
        <w:t>sector</w:t>
      </w:r>
      <w:r w:rsidR="0002530D">
        <w:t xml:space="preserve"> </w:t>
      </w:r>
      <w:r>
        <w:t>support</w:t>
      </w:r>
      <w:r w:rsidR="005F4672">
        <w:t>s</w:t>
      </w:r>
      <w:r>
        <w:t xml:space="preserve"> consumers with </w:t>
      </w:r>
      <w:r w:rsidRPr="00FA2BF9">
        <w:t>lived experience</w:t>
      </w:r>
      <w:r>
        <w:t xml:space="preserve"> of mental illness</w:t>
      </w:r>
      <w:r w:rsidR="005F4672">
        <w:t xml:space="preserve"> to</w:t>
      </w:r>
      <w:r>
        <w:t xml:space="preserve"> </w:t>
      </w:r>
      <w:r w:rsidR="005F4672">
        <w:t>take part</w:t>
      </w:r>
      <w:r w:rsidR="005F4672" w:rsidRPr="00FA2BF9" w:rsidDel="00164D92">
        <w:t xml:space="preserve"> </w:t>
      </w:r>
      <w:r>
        <w:t>in sentinel event reviews.</w:t>
      </w:r>
    </w:p>
    <w:p w14:paraId="2AF2AA31" w14:textId="54BF7EDB" w:rsidR="00C67296" w:rsidRDefault="00C67296" w:rsidP="003D76A5">
      <w:pPr>
        <w:pStyle w:val="SCVbody"/>
      </w:pPr>
      <w:r w:rsidRPr="00B90906">
        <w:t>This</w:t>
      </w:r>
      <w:r w:rsidR="0002530D">
        <w:t xml:space="preserve"> </w:t>
      </w:r>
      <w:r w:rsidRPr="00B90906">
        <w:t>reflects</w:t>
      </w:r>
      <w:r w:rsidR="0002530D">
        <w:t xml:space="preserve"> </w:t>
      </w:r>
      <w:r w:rsidRPr="00B90906">
        <w:t>a</w:t>
      </w:r>
      <w:r w:rsidR="0002530D">
        <w:t xml:space="preserve"> </w:t>
      </w:r>
      <w:r w:rsidRPr="00B90906">
        <w:t>collaborative</w:t>
      </w:r>
      <w:r w:rsidR="0002530D">
        <w:t xml:space="preserve"> </w:t>
      </w:r>
      <w:r w:rsidRPr="00B90906">
        <w:t>culture</w:t>
      </w:r>
      <w:r w:rsidR="0002530D">
        <w:t xml:space="preserve"> </w:t>
      </w:r>
      <w:r w:rsidRPr="00B90906">
        <w:t>of</w:t>
      </w:r>
      <w:r w:rsidR="0002530D">
        <w:t xml:space="preserve"> </w:t>
      </w:r>
      <w:r w:rsidRPr="00B90906">
        <w:t>partnering</w:t>
      </w:r>
      <w:r>
        <w:t xml:space="preserve"> with consumers, families and carers and a commitment</w:t>
      </w:r>
      <w:r w:rsidR="0002530D">
        <w:t xml:space="preserve"> </w:t>
      </w:r>
      <w:r w:rsidRPr="00B90906">
        <w:t>to</w:t>
      </w:r>
      <w:r w:rsidR="0002530D">
        <w:t xml:space="preserve"> </w:t>
      </w:r>
      <w:r w:rsidRPr="00B90906">
        <w:t>learn</w:t>
      </w:r>
      <w:r w:rsidR="0002530D">
        <w:t xml:space="preserve"> </w:t>
      </w:r>
      <w:r w:rsidRPr="00B90906">
        <w:t>and</w:t>
      </w:r>
      <w:r w:rsidR="0002530D">
        <w:t xml:space="preserve"> </w:t>
      </w:r>
      <w:r w:rsidRPr="00B90906">
        <w:t>improve</w:t>
      </w:r>
      <w:r w:rsidR="0002530D">
        <w:t xml:space="preserve"> </w:t>
      </w:r>
      <w:r w:rsidRPr="00B90906">
        <w:t>across</w:t>
      </w:r>
      <w:r w:rsidR="0002530D">
        <w:t xml:space="preserve"> </w:t>
      </w:r>
      <w:r w:rsidRPr="00B90906">
        <w:t>the</w:t>
      </w:r>
      <w:r w:rsidR="0002530D">
        <w:t xml:space="preserve"> </w:t>
      </w:r>
      <w:r w:rsidRPr="00B90906">
        <w:t>sector informed by lived experience.</w:t>
      </w:r>
    </w:p>
    <w:p w14:paraId="258B9A9B" w14:textId="1054FC0B" w:rsidR="00C67296" w:rsidRDefault="00C67296" w:rsidP="003D76A5">
      <w:pPr>
        <w:pStyle w:val="SCVbody"/>
      </w:pPr>
      <w:r>
        <w:t xml:space="preserve">The data also indicates a high degree of compliance with a collaborative </w:t>
      </w:r>
      <w:r w:rsidR="001874AE">
        <w:t>‘</w:t>
      </w:r>
      <w:r>
        <w:t>just culture</w:t>
      </w:r>
      <w:r w:rsidR="001874AE">
        <w:t>’</w:t>
      </w:r>
      <w:r>
        <w:t xml:space="preserve"> approach and ensuring </w:t>
      </w:r>
      <w:r w:rsidRPr="00FA2BF9">
        <w:t>external subject</w:t>
      </w:r>
      <w:r w:rsidR="0002530D">
        <w:t xml:space="preserve"> </w:t>
      </w:r>
      <w:r w:rsidRPr="00FA2BF9">
        <w:t>matter</w:t>
      </w:r>
      <w:r w:rsidR="0002530D">
        <w:t xml:space="preserve"> </w:t>
      </w:r>
      <w:r w:rsidRPr="00FA2BF9">
        <w:t>experts</w:t>
      </w:r>
      <w:r w:rsidR="0002530D">
        <w:t xml:space="preserve"> </w:t>
      </w:r>
      <w:r>
        <w:t>are included on sentinel event review panels</w:t>
      </w:r>
      <w:r w:rsidRPr="00FA2BF9">
        <w:t>.</w:t>
      </w:r>
      <w:r>
        <w:t xml:space="preserve"> </w:t>
      </w:r>
    </w:p>
    <w:p w14:paraId="661A8185" w14:textId="11A5FE43" w:rsidR="00AF53A7" w:rsidRPr="0002145B" w:rsidRDefault="10C26A1D" w:rsidP="004A3995">
      <w:pPr>
        <w:pStyle w:val="SCVtablecaption"/>
        <w:rPr>
          <w:color w:val="007586"/>
        </w:rPr>
      </w:pPr>
      <w:r>
        <w:t>Table</w:t>
      </w:r>
      <w:r w:rsidR="6FF730AC">
        <w:t xml:space="preserve"> </w:t>
      </w:r>
      <w:r w:rsidR="4F94DDAA">
        <w:t>8</w:t>
      </w:r>
      <w:r w:rsidR="604C8A11">
        <w:t xml:space="preserve">: </w:t>
      </w:r>
      <w:r w:rsidR="3B2C5CE5">
        <w:t>Sentinel event p</w:t>
      </w:r>
      <w:r w:rsidR="604C8A11">
        <w:t>anel composition</w:t>
      </w:r>
      <w:r w:rsidR="62141FCC">
        <w:t>, 2020</w:t>
      </w:r>
      <w:r w:rsidR="3B2C5CE5">
        <w:t>–</w:t>
      </w:r>
      <w:r w:rsidR="62141FCC">
        <w:t>21 to 2024–25</w:t>
      </w:r>
    </w:p>
    <w:tbl>
      <w:tblPr>
        <w:tblW w:w="102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012"/>
        <w:gridCol w:w="1474"/>
        <w:gridCol w:w="1474"/>
        <w:gridCol w:w="1474"/>
        <w:gridCol w:w="1474"/>
        <w:gridCol w:w="1474"/>
      </w:tblGrid>
      <w:tr w:rsidR="00A3764F" w:rsidRPr="00644BE8" w14:paraId="11806CB1" w14:textId="77777777" w:rsidTr="002854AC">
        <w:trPr>
          <w:trHeight w:val="300"/>
        </w:trPr>
        <w:tc>
          <w:tcPr>
            <w:tcW w:w="1843" w:type="dxa"/>
            <w:tcBorders>
              <w:top w:val="nil"/>
              <w:left w:val="nil"/>
              <w:bottom w:val="single" w:sz="24" w:space="0" w:color="CCCCD0"/>
              <w:right w:val="nil"/>
            </w:tcBorders>
            <w:shd w:val="clear" w:color="auto" w:fill="EDF5F7"/>
            <w:hideMark/>
          </w:tcPr>
          <w:p w14:paraId="21E7BF3C" w14:textId="564C4AD3" w:rsidR="00AF53A7" w:rsidRPr="00644BE8" w:rsidRDefault="00AF53A7" w:rsidP="004A3995">
            <w:pPr>
              <w:pStyle w:val="SCVtablecolhead"/>
              <w:rPr>
                <w:rFonts w:eastAsia="Arial"/>
                <w:sz w:val="24"/>
                <w:szCs w:val="20"/>
              </w:rPr>
            </w:pPr>
            <w:r w:rsidRPr="00644BE8">
              <w:rPr>
                <w:rFonts w:eastAsia="Arial"/>
                <w:sz w:val="24"/>
                <w:szCs w:val="20"/>
              </w:rPr>
              <w:t>Member type</w:t>
            </w:r>
          </w:p>
        </w:tc>
        <w:tc>
          <w:tcPr>
            <w:tcW w:w="1012" w:type="dxa"/>
            <w:tcBorders>
              <w:top w:val="nil"/>
              <w:left w:val="nil"/>
              <w:bottom w:val="single" w:sz="24" w:space="0" w:color="CCCCD0"/>
              <w:right w:val="nil"/>
            </w:tcBorders>
            <w:shd w:val="clear" w:color="auto" w:fill="EDF5F7"/>
            <w:hideMark/>
          </w:tcPr>
          <w:p w14:paraId="52A01432" w14:textId="41D0080E" w:rsidR="00AF53A7" w:rsidRPr="00644BE8" w:rsidRDefault="00AF53A7" w:rsidP="004A3995">
            <w:pPr>
              <w:pStyle w:val="SCVtablecolhead"/>
              <w:rPr>
                <w:rFonts w:eastAsia="Arial"/>
                <w:sz w:val="24"/>
                <w:szCs w:val="20"/>
              </w:rPr>
            </w:pPr>
          </w:p>
        </w:tc>
        <w:tc>
          <w:tcPr>
            <w:tcW w:w="1474" w:type="dxa"/>
            <w:tcBorders>
              <w:top w:val="nil"/>
              <w:left w:val="nil"/>
              <w:bottom w:val="single" w:sz="24" w:space="0" w:color="CCCCD0"/>
              <w:right w:val="nil"/>
            </w:tcBorders>
            <w:shd w:val="clear" w:color="auto" w:fill="EDF5F7"/>
            <w:vAlign w:val="center"/>
            <w:hideMark/>
          </w:tcPr>
          <w:p w14:paraId="6233B33B" w14:textId="77567C38" w:rsidR="00AF53A7" w:rsidRPr="00644BE8" w:rsidRDefault="00AF53A7" w:rsidP="002854AC">
            <w:pPr>
              <w:pStyle w:val="SCVtablecolhead"/>
              <w:jc w:val="right"/>
              <w:rPr>
                <w:rFonts w:eastAsia="Arial"/>
                <w:sz w:val="24"/>
                <w:szCs w:val="20"/>
              </w:rPr>
            </w:pPr>
            <w:r w:rsidRPr="00644BE8">
              <w:rPr>
                <w:rFonts w:eastAsia="Arial"/>
                <w:sz w:val="24"/>
                <w:szCs w:val="20"/>
              </w:rPr>
              <w:t>2020–21</w:t>
            </w:r>
          </w:p>
        </w:tc>
        <w:tc>
          <w:tcPr>
            <w:tcW w:w="1474" w:type="dxa"/>
            <w:tcBorders>
              <w:top w:val="nil"/>
              <w:left w:val="nil"/>
              <w:bottom w:val="single" w:sz="24" w:space="0" w:color="CCCCD0"/>
              <w:right w:val="nil"/>
            </w:tcBorders>
            <w:shd w:val="clear" w:color="auto" w:fill="EDF5F7"/>
            <w:vAlign w:val="center"/>
            <w:hideMark/>
          </w:tcPr>
          <w:p w14:paraId="746FBBF1" w14:textId="686EFB31" w:rsidR="00AF53A7" w:rsidRPr="00644BE8" w:rsidRDefault="00AF53A7" w:rsidP="002854AC">
            <w:pPr>
              <w:pStyle w:val="SCVtablecolhead"/>
              <w:jc w:val="right"/>
              <w:rPr>
                <w:rFonts w:eastAsia="Arial"/>
                <w:sz w:val="24"/>
                <w:szCs w:val="20"/>
              </w:rPr>
            </w:pPr>
            <w:r w:rsidRPr="00644BE8">
              <w:rPr>
                <w:rFonts w:eastAsia="Arial"/>
                <w:sz w:val="24"/>
                <w:szCs w:val="20"/>
              </w:rPr>
              <w:t>2021–22</w:t>
            </w:r>
          </w:p>
        </w:tc>
        <w:tc>
          <w:tcPr>
            <w:tcW w:w="1474" w:type="dxa"/>
            <w:tcBorders>
              <w:top w:val="nil"/>
              <w:left w:val="nil"/>
              <w:bottom w:val="single" w:sz="24" w:space="0" w:color="CCCCD0"/>
              <w:right w:val="nil"/>
            </w:tcBorders>
            <w:shd w:val="clear" w:color="auto" w:fill="EDF5F7"/>
            <w:vAlign w:val="center"/>
            <w:hideMark/>
          </w:tcPr>
          <w:p w14:paraId="7D8A00C3" w14:textId="4364B4FF" w:rsidR="00AF53A7" w:rsidRPr="00644BE8" w:rsidRDefault="00AF53A7" w:rsidP="002854AC">
            <w:pPr>
              <w:pStyle w:val="SCVtablecolhead"/>
              <w:jc w:val="right"/>
              <w:rPr>
                <w:rFonts w:eastAsia="Arial"/>
                <w:sz w:val="24"/>
                <w:szCs w:val="20"/>
              </w:rPr>
            </w:pPr>
            <w:r w:rsidRPr="00644BE8">
              <w:rPr>
                <w:rFonts w:eastAsia="Arial"/>
                <w:sz w:val="24"/>
                <w:szCs w:val="20"/>
              </w:rPr>
              <w:t>2022–23</w:t>
            </w:r>
          </w:p>
        </w:tc>
        <w:tc>
          <w:tcPr>
            <w:tcW w:w="1474" w:type="dxa"/>
            <w:tcBorders>
              <w:top w:val="nil"/>
              <w:left w:val="nil"/>
              <w:bottom w:val="single" w:sz="24" w:space="0" w:color="CCCCD0"/>
              <w:right w:val="nil"/>
            </w:tcBorders>
            <w:shd w:val="clear" w:color="auto" w:fill="EDF5F7"/>
            <w:vAlign w:val="center"/>
            <w:hideMark/>
          </w:tcPr>
          <w:p w14:paraId="324C2E8E" w14:textId="6B153D07" w:rsidR="00AF53A7" w:rsidRPr="00644BE8" w:rsidRDefault="00AF53A7" w:rsidP="002854AC">
            <w:pPr>
              <w:pStyle w:val="SCVtablecolhead"/>
              <w:jc w:val="right"/>
              <w:rPr>
                <w:rFonts w:eastAsia="Arial"/>
                <w:sz w:val="24"/>
                <w:szCs w:val="20"/>
              </w:rPr>
            </w:pPr>
            <w:r w:rsidRPr="00644BE8">
              <w:rPr>
                <w:rFonts w:eastAsia="Arial"/>
                <w:sz w:val="24"/>
                <w:szCs w:val="20"/>
              </w:rPr>
              <w:t>2023–24</w:t>
            </w:r>
          </w:p>
        </w:tc>
        <w:tc>
          <w:tcPr>
            <w:tcW w:w="1474" w:type="dxa"/>
            <w:tcBorders>
              <w:top w:val="nil"/>
              <w:left w:val="nil"/>
              <w:bottom w:val="single" w:sz="24" w:space="0" w:color="CCCCD0"/>
              <w:right w:val="nil"/>
            </w:tcBorders>
            <w:shd w:val="clear" w:color="auto" w:fill="EDF5F7"/>
            <w:vAlign w:val="center"/>
            <w:hideMark/>
          </w:tcPr>
          <w:p w14:paraId="2FA2BEDA" w14:textId="69D0FA6B" w:rsidR="00AF53A7" w:rsidRPr="00644BE8" w:rsidRDefault="00AF53A7" w:rsidP="002854AC">
            <w:pPr>
              <w:pStyle w:val="SCVtablecolhead"/>
              <w:jc w:val="right"/>
              <w:rPr>
                <w:rFonts w:eastAsia="Arial"/>
                <w:sz w:val="24"/>
                <w:szCs w:val="20"/>
              </w:rPr>
            </w:pPr>
            <w:r w:rsidRPr="00644BE8">
              <w:rPr>
                <w:rFonts w:eastAsia="Arial"/>
                <w:sz w:val="24"/>
                <w:szCs w:val="20"/>
              </w:rPr>
              <w:t>2024</w:t>
            </w:r>
            <w:r w:rsidR="0053225B" w:rsidRPr="00644BE8">
              <w:rPr>
                <w:rFonts w:eastAsia="Arial"/>
                <w:sz w:val="24"/>
                <w:szCs w:val="20"/>
              </w:rPr>
              <w:t>–</w:t>
            </w:r>
            <w:r w:rsidRPr="00644BE8">
              <w:rPr>
                <w:rFonts w:eastAsia="Arial"/>
                <w:sz w:val="24"/>
                <w:szCs w:val="20"/>
              </w:rPr>
              <w:t>25</w:t>
            </w:r>
          </w:p>
        </w:tc>
      </w:tr>
      <w:tr w:rsidR="00A3764F" w:rsidRPr="00644BE8" w14:paraId="4DFC1855" w14:textId="77777777" w:rsidTr="002854AC">
        <w:trPr>
          <w:trHeight w:val="300"/>
        </w:trPr>
        <w:tc>
          <w:tcPr>
            <w:tcW w:w="1843" w:type="dxa"/>
            <w:tcBorders>
              <w:top w:val="single" w:sz="2" w:space="0" w:color="80808B"/>
              <w:left w:val="nil"/>
              <w:bottom w:val="single" w:sz="2" w:space="0" w:color="80808B"/>
              <w:right w:val="nil"/>
            </w:tcBorders>
            <w:hideMark/>
          </w:tcPr>
          <w:p w14:paraId="06D67E52" w14:textId="73A12EEA" w:rsidR="00AF53A7" w:rsidRPr="00AF7B96" w:rsidRDefault="00AF53A7" w:rsidP="004A3995">
            <w:pPr>
              <w:pStyle w:val="SCVtablebody"/>
              <w:rPr>
                <w:rFonts w:eastAsia="Arial"/>
                <w:b/>
                <w:bCs/>
                <w:color w:val="007586" w:themeColor="text2"/>
                <w:sz w:val="24"/>
                <w:szCs w:val="20"/>
              </w:rPr>
            </w:pPr>
            <w:r w:rsidRPr="00AF7B96">
              <w:rPr>
                <w:rFonts w:eastAsia="Arial"/>
                <w:b/>
                <w:bCs/>
                <w:color w:val="007586" w:themeColor="text2"/>
                <w:sz w:val="24"/>
                <w:szCs w:val="20"/>
              </w:rPr>
              <w:t>Consumer representative</w:t>
            </w:r>
          </w:p>
        </w:tc>
        <w:tc>
          <w:tcPr>
            <w:tcW w:w="1012" w:type="dxa"/>
            <w:tcBorders>
              <w:top w:val="single" w:sz="2" w:space="0" w:color="80808B"/>
              <w:left w:val="nil"/>
              <w:bottom w:val="single" w:sz="2" w:space="0" w:color="80808B"/>
              <w:right w:val="nil"/>
            </w:tcBorders>
            <w:hideMark/>
          </w:tcPr>
          <w:p w14:paraId="6DB8D638" w14:textId="226C8FFF" w:rsidR="00AF53A7" w:rsidRPr="00644BE8" w:rsidRDefault="00AF53A7" w:rsidP="004A3995">
            <w:pPr>
              <w:pStyle w:val="SCVtablebody"/>
              <w:rPr>
                <w:rFonts w:eastAsia="Arial"/>
                <w:sz w:val="24"/>
                <w:szCs w:val="20"/>
              </w:rPr>
            </w:pPr>
          </w:p>
        </w:tc>
        <w:tc>
          <w:tcPr>
            <w:tcW w:w="1474" w:type="dxa"/>
            <w:tcBorders>
              <w:top w:val="single" w:sz="2" w:space="0" w:color="80808B"/>
              <w:left w:val="nil"/>
              <w:bottom w:val="single" w:sz="2" w:space="0" w:color="80808B"/>
              <w:right w:val="nil"/>
            </w:tcBorders>
            <w:vAlign w:val="center"/>
            <w:hideMark/>
          </w:tcPr>
          <w:p w14:paraId="66FF18A7" w14:textId="778DE9B3" w:rsidR="00AF53A7" w:rsidRPr="00644BE8" w:rsidRDefault="00AF53A7" w:rsidP="002854AC">
            <w:pPr>
              <w:pStyle w:val="SCVtablebody"/>
              <w:jc w:val="right"/>
              <w:rPr>
                <w:rFonts w:eastAsia="Arial"/>
                <w:sz w:val="24"/>
                <w:szCs w:val="20"/>
              </w:rPr>
            </w:pPr>
            <w:r w:rsidRPr="00644BE8">
              <w:rPr>
                <w:rFonts w:eastAsia="Arial"/>
                <w:sz w:val="24"/>
                <w:szCs w:val="20"/>
              </w:rPr>
              <w:t>62%</w:t>
            </w:r>
          </w:p>
        </w:tc>
        <w:tc>
          <w:tcPr>
            <w:tcW w:w="1474" w:type="dxa"/>
            <w:tcBorders>
              <w:top w:val="single" w:sz="2" w:space="0" w:color="80808B"/>
              <w:left w:val="nil"/>
              <w:bottom w:val="single" w:sz="2" w:space="0" w:color="80808B"/>
              <w:right w:val="nil"/>
            </w:tcBorders>
            <w:vAlign w:val="center"/>
            <w:hideMark/>
          </w:tcPr>
          <w:p w14:paraId="6361B7AD" w14:textId="584BEEAF" w:rsidR="00AF53A7" w:rsidRPr="00644BE8" w:rsidRDefault="00AF53A7" w:rsidP="002854AC">
            <w:pPr>
              <w:pStyle w:val="SCVtablebody"/>
              <w:jc w:val="right"/>
              <w:rPr>
                <w:rFonts w:eastAsia="Arial"/>
                <w:sz w:val="24"/>
                <w:szCs w:val="20"/>
              </w:rPr>
            </w:pPr>
            <w:r w:rsidRPr="00644BE8">
              <w:rPr>
                <w:rFonts w:eastAsia="Arial"/>
                <w:sz w:val="24"/>
                <w:szCs w:val="20"/>
              </w:rPr>
              <w:t>81%</w:t>
            </w:r>
          </w:p>
        </w:tc>
        <w:tc>
          <w:tcPr>
            <w:tcW w:w="1474" w:type="dxa"/>
            <w:tcBorders>
              <w:top w:val="single" w:sz="2" w:space="0" w:color="80808B"/>
              <w:left w:val="nil"/>
              <w:bottom w:val="single" w:sz="2" w:space="0" w:color="80808B"/>
              <w:right w:val="nil"/>
            </w:tcBorders>
            <w:vAlign w:val="center"/>
            <w:hideMark/>
          </w:tcPr>
          <w:p w14:paraId="36D04F1A" w14:textId="6A17FACF" w:rsidR="00AF53A7" w:rsidRPr="00644BE8" w:rsidRDefault="00AF53A7" w:rsidP="002854AC">
            <w:pPr>
              <w:pStyle w:val="SCVtablebody"/>
              <w:jc w:val="right"/>
              <w:rPr>
                <w:rFonts w:eastAsia="Arial"/>
                <w:sz w:val="24"/>
                <w:szCs w:val="20"/>
              </w:rPr>
            </w:pPr>
            <w:r w:rsidRPr="00644BE8">
              <w:rPr>
                <w:rFonts w:eastAsia="Arial"/>
                <w:sz w:val="24"/>
                <w:szCs w:val="20"/>
              </w:rPr>
              <w:t>94%</w:t>
            </w:r>
          </w:p>
        </w:tc>
        <w:tc>
          <w:tcPr>
            <w:tcW w:w="1474" w:type="dxa"/>
            <w:tcBorders>
              <w:top w:val="single" w:sz="2" w:space="0" w:color="80808B"/>
              <w:left w:val="nil"/>
              <w:bottom w:val="single" w:sz="2" w:space="0" w:color="80808B"/>
              <w:right w:val="nil"/>
            </w:tcBorders>
            <w:vAlign w:val="center"/>
            <w:hideMark/>
          </w:tcPr>
          <w:p w14:paraId="70775775" w14:textId="46642E22" w:rsidR="00AF53A7" w:rsidRPr="00644BE8" w:rsidRDefault="00AF53A7" w:rsidP="002854AC">
            <w:pPr>
              <w:pStyle w:val="SCVtablebody"/>
              <w:jc w:val="right"/>
              <w:rPr>
                <w:rFonts w:eastAsia="Arial"/>
                <w:sz w:val="24"/>
                <w:szCs w:val="20"/>
              </w:rPr>
            </w:pPr>
            <w:r w:rsidRPr="00644BE8">
              <w:rPr>
                <w:rFonts w:eastAsia="Arial"/>
                <w:sz w:val="24"/>
                <w:szCs w:val="20"/>
              </w:rPr>
              <w:t>95%</w:t>
            </w:r>
          </w:p>
        </w:tc>
        <w:tc>
          <w:tcPr>
            <w:tcW w:w="1474" w:type="dxa"/>
            <w:tcBorders>
              <w:top w:val="single" w:sz="2" w:space="0" w:color="80808B"/>
              <w:left w:val="nil"/>
              <w:bottom w:val="single" w:sz="2" w:space="0" w:color="80808B"/>
              <w:right w:val="nil"/>
            </w:tcBorders>
            <w:vAlign w:val="center"/>
            <w:hideMark/>
          </w:tcPr>
          <w:p w14:paraId="2D631A7E" w14:textId="1A13FB21" w:rsidR="00AF53A7" w:rsidRPr="00644BE8" w:rsidRDefault="00AF53A7" w:rsidP="002854AC">
            <w:pPr>
              <w:pStyle w:val="SCVtablebody"/>
              <w:jc w:val="right"/>
              <w:rPr>
                <w:rFonts w:eastAsia="Arial"/>
                <w:sz w:val="24"/>
                <w:szCs w:val="20"/>
              </w:rPr>
            </w:pPr>
            <w:r w:rsidRPr="00644BE8">
              <w:rPr>
                <w:rFonts w:eastAsia="Arial"/>
                <w:sz w:val="24"/>
                <w:szCs w:val="20"/>
              </w:rPr>
              <w:t>100%</w:t>
            </w:r>
          </w:p>
        </w:tc>
      </w:tr>
      <w:tr w:rsidR="00A3764F" w:rsidRPr="00644BE8" w14:paraId="51E984CA" w14:textId="77777777" w:rsidTr="002854AC">
        <w:trPr>
          <w:trHeight w:val="300"/>
        </w:trPr>
        <w:tc>
          <w:tcPr>
            <w:tcW w:w="1843" w:type="dxa"/>
            <w:tcBorders>
              <w:top w:val="single" w:sz="2" w:space="0" w:color="80808B"/>
              <w:left w:val="nil"/>
              <w:bottom w:val="single" w:sz="2" w:space="0" w:color="80808B"/>
              <w:right w:val="nil"/>
            </w:tcBorders>
            <w:hideMark/>
          </w:tcPr>
          <w:p w14:paraId="5B3E566F" w14:textId="2917E488" w:rsidR="00AF53A7" w:rsidRPr="00AF7B96" w:rsidRDefault="00AF53A7" w:rsidP="004A3995">
            <w:pPr>
              <w:pStyle w:val="SCVtablebody"/>
              <w:rPr>
                <w:rFonts w:eastAsia="Arial"/>
                <w:b/>
                <w:bCs/>
                <w:color w:val="007586" w:themeColor="text2"/>
                <w:sz w:val="24"/>
                <w:szCs w:val="20"/>
              </w:rPr>
            </w:pPr>
            <w:r w:rsidRPr="00AF7B96">
              <w:rPr>
                <w:rFonts w:eastAsia="Arial"/>
                <w:b/>
                <w:bCs/>
                <w:color w:val="007586" w:themeColor="text2"/>
                <w:sz w:val="24"/>
                <w:szCs w:val="20"/>
              </w:rPr>
              <w:t>External expert</w:t>
            </w:r>
          </w:p>
        </w:tc>
        <w:tc>
          <w:tcPr>
            <w:tcW w:w="1012" w:type="dxa"/>
            <w:tcBorders>
              <w:top w:val="single" w:sz="2" w:space="0" w:color="80808B"/>
              <w:left w:val="nil"/>
              <w:bottom w:val="single" w:sz="2" w:space="0" w:color="80808B"/>
              <w:right w:val="nil"/>
            </w:tcBorders>
            <w:hideMark/>
          </w:tcPr>
          <w:p w14:paraId="0186CD33" w14:textId="043FD0BC" w:rsidR="00AF53A7" w:rsidRPr="00644BE8" w:rsidRDefault="00AF53A7" w:rsidP="004A3995">
            <w:pPr>
              <w:pStyle w:val="SCVtablebody"/>
              <w:rPr>
                <w:rFonts w:eastAsia="Arial"/>
                <w:sz w:val="24"/>
                <w:szCs w:val="20"/>
              </w:rPr>
            </w:pPr>
          </w:p>
        </w:tc>
        <w:tc>
          <w:tcPr>
            <w:tcW w:w="1474" w:type="dxa"/>
            <w:tcBorders>
              <w:top w:val="single" w:sz="2" w:space="0" w:color="80808B"/>
              <w:left w:val="nil"/>
              <w:bottom w:val="single" w:sz="2" w:space="0" w:color="80808B"/>
              <w:right w:val="nil"/>
            </w:tcBorders>
            <w:vAlign w:val="center"/>
            <w:hideMark/>
          </w:tcPr>
          <w:p w14:paraId="2B7ACE15" w14:textId="735F135C" w:rsidR="00AF53A7" w:rsidRPr="00644BE8" w:rsidRDefault="00AF53A7" w:rsidP="002854AC">
            <w:pPr>
              <w:pStyle w:val="SCVtablebody"/>
              <w:jc w:val="right"/>
              <w:rPr>
                <w:rFonts w:eastAsia="Arial"/>
                <w:sz w:val="24"/>
                <w:szCs w:val="20"/>
              </w:rPr>
            </w:pPr>
            <w:r w:rsidRPr="00644BE8">
              <w:rPr>
                <w:rFonts w:eastAsia="Arial"/>
                <w:sz w:val="24"/>
                <w:szCs w:val="20"/>
              </w:rPr>
              <w:t>92%</w:t>
            </w:r>
          </w:p>
        </w:tc>
        <w:tc>
          <w:tcPr>
            <w:tcW w:w="1474" w:type="dxa"/>
            <w:tcBorders>
              <w:top w:val="single" w:sz="2" w:space="0" w:color="80808B"/>
              <w:left w:val="nil"/>
              <w:bottom w:val="single" w:sz="2" w:space="0" w:color="80808B"/>
              <w:right w:val="nil"/>
            </w:tcBorders>
            <w:vAlign w:val="center"/>
            <w:hideMark/>
          </w:tcPr>
          <w:p w14:paraId="2140CA15" w14:textId="36F50E89" w:rsidR="00AF53A7" w:rsidRPr="00644BE8" w:rsidRDefault="00AF53A7" w:rsidP="002854AC">
            <w:pPr>
              <w:pStyle w:val="SCVtablebody"/>
              <w:jc w:val="right"/>
              <w:rPr>
                <w:rFonts w:eastAsia="Arial"/>
                <w:sz w:val="24"/>
                <w:szCs w:val="20"/>
              </w:rPr>
            </w:pPr>
            <w:r w:rsidRPr="00644BE8">
              <w:rPr>
                <w:rFonts w:eastAsia="Arial"/>
                <w:sz w:val="24"/>
                <w:szCs w:val="20"/>
              </w:rPr>
              <w:t>100%</w:t>
            </w:r>
          </w:p>
        </w:tc>
        <w:tc>
          <w:tcPr>
            <w:tcW w:w="1474" w:type="dxa"/>
            <w:tcBorders>
              <w:top w:val="single" w:sz="2" w:space="0" w:color="80808B"/>
              <w:left w:val="nil"/>
              <w:bottom w:val="single" w:sz="2" w:space="0" w:color="80808B"/>
              <w:right w:val="nil"/>
            </w:tcBorders>
            <w:vAlign w:val="center"/>
            <w:hideMark/>
          </w:tcPr>
          <w:p w14:paraId="4D954D6D" w14:textId="772C511D" w:rsidR="00AF53A7" w:rsidRPr="00644BE8" w:rsidRDefault="00AF53A7" w:rsidP="002854AC">
            <w:pPr>
              <w:pStyle w:val="SCVtablebody"/>
              <w:jc w:val="right"/>
              <w:rPr>
                <w:rFonts w:eastAsia="Arial"/>
                <w:sz w:val="24"/>
                <w:szCs w:val="20"/>
              </w:rPr>
            </w:pPr>
            <w:r w:rsidRPr="00644BE8">
              <w:rPr>
                <w:rFonts w:eastAsia="Arial"/>
                <w:sz w:val="24"/>
                <w:szCs w:val="20"/>
              </w:rPr>
              <w:t>100%</w:t>
            </w:r>
          </w:p>
        </w:tc>
        <w:tc>
          <w:tcPr>
            <w:tcW w:w="1474" w:type="dxa"/>
            <w:tcBorders>
              <w:top w:val="single" w:sz="2" w:space="0" w:color="80808B"/>
              <w:left w:val="nil"/>
              <w:bottom w:val="single" w:sz="2" w:space="0" w:color="80808B"/>
              <w:right w:val="nil"/>
            </w:tcBorders>
            <w:vAlign w:val="center"/>
            <w:hideMark/>
          </w:tcPr>
          <w:p w14:paraId="73C81CDC" w14:textId="0CD22CBB" w:rsidR="00AF53A7" w:rsidRPr="00644BE8" w:rsidRDefault="00AF53A7" w:rsidP="002854AC">
            <w:pPr>
              <w:pStyle w:val="SCVtablebody"/>
              <w:jc w:val="right"/>
              <w:rPr>
                <w:rFonts w:eastAsia="Arial"/>
                <w:sz w:val="24"/>
                <w:szCs w:val="20"/>
              </w:rPr>
            </w:pPr>
            <w:r w:rsidRPr="00644BE8">
              <w:rPr>
                <w:rFonts w:eastAsia="Arial"/>
                <w:sz w:val="24"/>
                <w:szCs w:val="20"/>
              </w:rPr>
              <w:t>100%</w:t>
            </w:r>
          </w:p>
        </w:tc>
        <w:tc>
          <w:tcPr>
            <w:tcW w:w="1474" w:type="dxa"/>
            <w:tcBorders>
              <w:top w:val="single" w:sz="2" w:space="0" w:color="80808B"/>
              <w:left w:val="nil"/>
              <w:bottom w:val="single" w:sz="2" w:space="0" w:color="80808B"/>
              <w:right w:val="nil"/>
            </w:tcBorders>
            <w:vAlign w:val="center"/>
            <w:hideMark/>
          </w:tcPr>
          <w:p w14:paraId="5F080660" w14:textId="0CA09C0F" w:rsidR="00AF53A7" w:rsidRPr="00644BE8" w:rsidRDefault="00AF53A7" w:rsidP="002854AC">
            <w:pPr>
              <w:pStyle w:val="SCVtablebody"/>
              <w:jc w:val="right"/>
              <w:rPr>
                <w:rFonts w:eastAsia="Arial"/>
                <w:sz w:val="24"/>
                <w:szCs w:val="20"/>
              </w:rPr>
            </w:pPr>
            <w:r w:rsidRPr="00644BE8">
              <w:rPr>
                <w:rFonts w:eastAsia="Arial"/>
                <w:sz w:val="24"/>
                <w:szCs w:val="20"/>
              </w:rPr>
              <w:t>96%</w:t>
            </w:r>
          </w:p>
        </w:tc>
      </w:tr>
    </w:tbl>
    <w:p w14:paraId="43082758" w14:textId="1E310459" w:rsidR="001874AE" w:rsidRDefault="3B2C5CE5" w:rsidP="004A3995">
      <w:pPr>
        <w:pStyle w:val="SCVtablecaption"/>
        <w:rPr>
          <w:b w:val="0"/>
          <w:bCs w:val="0"/>
          <w:color w:val="auto"/>
          <w:spacing w:val="0"/>
        </w:rPr>
      </w:pPr>
      <w:r w:rsidRPr="005E7DE4">
        <w:rPr>
          <w:b w:val="0"/>
          <w:bCs w:val="0"/>
          <w:color w:val="auto"/>
          <w:spacing w:val="0"/>
        </w:rPr>
        <w:t xml:space="preserve">Table </w:t>
      </w:r>
      <w:r w:rsidR="081E1DCD" w:rsidRPr="1D8ABA5E" w:rsidDel="7414A37F">
        <w:rPr>
          <w:b w:val="0"/>
          <w:bCs w:val="0"/>
          <w:color w:val="auto"/>
        </w:rPr>
        <w:t>9</w:t>
      </w:r>
      <w:r w:rsidRPr="1D8ABA5E">
        <w:rPr>
          <w:b w:val="0"/>
          <w:bCs w:val="0"/>
          <w:color w:val="auto"/>
        </w:rPr>
        <w:t xml:space="preserve"> lists the methodologies used in mental health sentinel events over the past </w:t>
      </w:r>
      <w:r w:rsidR="099E941D" w:rsidRPr="1D8ABA5E" w:rsidDel="3B2C5CE5">
        <w:rPr>
          <w:b w:val="0"/>
          <w:bCs w:val="0"/>
          <w:color w:val="auto"/>
        </w:rPr>
        <w:t>five</w:t>
      </w:r>
      <w:r w:rsidRPr="1D8ABA5E">
        <w:rPr>
          <w:b w:val="0"/>
          <w:bCs w:val="0"/>
          <w:color w:val="auto"/>
        </w:rPr>
        <w:t xml:space="preserve"> years.</w:t>
      </w:r>
    </w:p>
    <w:p w14:paraId="658496F1" w14:textId="7130D69A" w:rsidR="00120761" w:rsidRPr="00692E2E" w:rsidRDefault="532D8547" w:rsidP="004A3995">
      <w:pPr>
        <w:pStyle w:val="SCVtablecaption"/>
      </w:pPr>
      <w:r>
        <w:t xml:space="preserve">Table </w:t>
      </w:r>
      <w:r w:rsidR="44CC9C29">
        <w:t>9</w:t>
      </w:r>
      <w:r w:rsidR="78703C32">
        <w:t>: Methodologies used in mental health sentinel events</w:t>
      </w:r>
      <w:r w:rsidR="612C6621">
        <w:t>, 2020</w:t>
      </w:r>
      <w:r w:rsidR="3186CB78">
        <w:t>–</w:t>
      </w:r>
      <w:r w:rsidR="612C6621">
        <w:t>21 to 2024–25</w:t>
      </w:r>
    </w:p>
    <w:tbl>
      <w:tblPr>
        <w:tblStyle w:val="TableGrid"/>
        <w:tblW w:w="10155" w:type="dxa"/>
        <w:tblLook w:val="04A0" w:firstRow="1" w:lastRow="0" w:firstColumn="1" w:lastColumn="0" w:noHBand="0" w:noVBand="1"/>
      </w:tblPr>
      <w:tblGrid>
        <w:gridCol w:w="1935"/>
        <w:gridCol w:w="1644"/>
        <w:gridCol w:w="1644"/>
        <w:gridCol w:w="1644"/>
        <w:gridCol w:w="1644"/>
        <w:gridCol w:w="1644"/>
      </w:tblGrid>
      <w:tr w:rsidR="00120761" w:rsidRPr="00915ED0" w14:paraId="4487F9B4" w14:textId="77777777" w:rsidTr="002854AC">
        <w:trPr>
          <w:cnfStyle w:val="100000000000" w:firstRow="1" w:lastRow="0" w:firstColumn="0" w:lastColumn="0" w:oddVBand="0" w:evenVBand="0" w:oddHBand="0" w:evenHBand="0" w:firstRowFirstColumn="0" w:firstRowLastColumn="0" w:lastRowFirstColumn="0" w:lastRowLastColumn="0"/>
          <w:trHeight w:val="300"/>
          <w:tblHeader/>
        </w:trPr>
        <w:tc>
          <w:tcPr>
            <w:tcW w:w="1935" w:type="dxa"/>
            <w:hideMark/>
          </w:tcPr>
          <w:p w14:paraId="2A9F91DD" w14:textId="2325ECCA" w:rsidR="00120761" w:rsidRPr="00915ED0" w:rsidRDefault="65865AEC" w:rsidP="004A3995">
            <w:pPr>
              <w:pStyle w:val="SCVtablecolhead"/>
              <w:rPr>
                <w:sz w:val="24"/>
                <w:szCs w:val="20"/>
              </w:rPr>
            </w:pPr>
            <w:r w:rsidRPr="00915ED0">
              <w:rPr>
                <w:sz w:val="24"/>
                <w:szCs w:val="20"/>
              </w:rPr>
              <w:t>Methodology</w:t>
            </w:r>
            <w:r w:rsidR="7D8509BC" w:rsidRPr="00915ED0">
              <w:rPr>
                <w:sz w:val="24"/>
                <w:szCs w:val="20"/>
              </w:rPr>
              <w:t xml:space="preserve"> </w:t>
            </w:r>
            <w:r w:rsidR="00F830E8" w:rsidRPr="00915ED0">
              <w:rPr>
                <w:sz w:val="24"/>
                <w:szCs w:val="20"/>
              </w:rPr>
              <w:t>t</w:t>
            </w:r>
            <w:r w:rsidRPr="00915ED0">
              <w:rPr>
                <w:sz w:val="24"/>
                <w:szCs w:val="20"/>
              </w:rPr>
              <w:t>ype</w:t>
            </w:r>
          </w:p>
        </w:tc>
        <w:tc>
          <w:tcPr>
            <w:tcW w:w="1644" w:type="dxa"/>
            <w:vAlign w:val="center"/>
            <w:hideMark/>
          </w:tcPr>
          <w:p w14:paraId="46AB9DDB" w14:textId="00F9C918" w:rsidR="00120761" w:rsidRPr="00915ED0" w:rsidRDefault="004A3995" w:rsidP="002854AC">
            <w:pPr>
              <w:pStyle w:val="SCVtablecolhead"/>
              <w:jc w:val="right"/>
              <w:rPr>
                <w:sz w:val="24"/>
                <w:szCs w:val="20"/>
              </w:rPr>
            </w:pPr>
            <w:r w:rsidRPr="00915ED0">
              <w:rPr>
                <w:sz w:val="24"/>
                <w:szCs w:val="20"/>
              </w:rPr>
              <w:t>20</w:t>
            </w:r>
            <w:r w:rsidR="00120761" w:rsidRPr="00915ED0">
              <w:rPr>
                <w:sz w:val="24"/>
                <w:szCs w:val="20"/>
              </w:rPr>
              <w:t>20</w:t>
            </w:r>
            <w:r w:rsidRPr="00915ED0">
              <w:rPr>
                <w:sz w:val="24"/>
                <w:szCs w:val="20"/>
              </w:rPr>
              <w:t>–</w:t>
            </w:r>
            <w:r w:rsidR="00120761" w:rsidRPr="00915ED0">
              <w:rPr>
                <w:sz w:val="24"/>
                <w:szCs w:val="20"/>
              </w:rPr>
              <w:t>21</w:t>
            </w:r>
          </w:p>
        </w:tc>
        <w:tc>
          <w:tcPr>
            <w:tcW w:w="1644" w:type="dxa"/>
            <w:vAlign w:val="center"/>
            <w:hideMark/>
          </w:tcPr>
          <w:p w14:paraId="40D3BAD7" w14:textId="09A44AAE" w:rsidR="00120761" w:rsidRPr="00915ED0" w:rsidRDefault="004A3995" w:rsidP="002854AC">
            <w:pPr>
              <w:pStyle w:val="SCVtablecolhead"/>
              <w:jc w:val="right"/>
              <w:rPr>
                <w:sz w:val="24"/>
                <w:szCs w:val="20"/>
              </w:rPr>
            </w:pPr>
            <w:r w:rsidRPr="00915ED0">
              <w:rPr>
                <w:sz w:val="24"/>
                <w:szCs w:val="20"/>
              </w:rPr>
              <w:t>20</w:t>
            </w:r>
            <w:r w:rsidR="00120761" w:rsidRPr="00915ED0">
              <w:rPr>
                <w:sz w:val="24"/>
                <w:szCs w:val="20"/>
              </w:rPr>
              <w:t>21</w:t>
            </w:r>
            <w:r w:rsidRPr="00915ED0">
              <w:rPr>
                <w:sz w:val="24"/>
                <w:szCs w:val="20"/>
              </w:rPr>
              <w:t>–</w:t>
            </w:r>
            <w:r w:rsidR="00120761" w:rsidRPr="00915ED0">
              <w:rPr>
                <w:sz w:val="24"/>
                <w:szCs w:val="20"/>
              </w:rPr>
              <w:t>22</w:t>
            </w:r>
          </w:p>
        </w:tc>
        <w:tc>
          <w:tcPr>
            <w:tcW w:w="1644" w:type="dxa"/>
            <w:vAlign w:val="center"/>
            <w:hideMark/>
          </w:tcPr>
          <w:p w14:paraId="15B3B39B" w14:textId="7ED1A816" w:rsidR="00120761" w:rsidRPr="00915ED0" w:rsidRDefault="004A3995" w:rsidP="002854AC">
            <w:pPr>
              <w:pStyle w:val="SCVtablecolhead"/>
              <w:jc w:val="right"/>
              <w:rPr>
                <w:sz w:val="24"/>
                <w:szCs w:val="20"/>
              </w:rPr>
            </w:pPr>
            <w:r w:rsidRPr="00915ED0">
              <w:rPr>
                <w:sz w:val="24"/>
                <w:szCs w:val="20"/>
              </w:rPr>
              <w:t>20</w:t>
            </w:r>
            <w:r w:rsidR="00120761" w:rsidRPr="00915ED0">
              <w:rPr>
                <w:sz w:val="24"/>
                <w:szCs w:val="20"/>
              </w:rPr>
              <w:t>22</w:t>
            </w:r>
            <w:r w:rsidRPr="00915ED0">
              <w:rPr>
                <w:sz w:val="24"/>
                <w:szCs w:val="20"/>
              </w:rPr>
              <w:t>–</w:t>
            </w:r>
            <w:r w:rsidR="00120761" w:rsidRPr="00915ED0">
              <w:rPr>
                <w:sz w:val="24"/>
                <w:szCs w:val="20"/>
              </w:rPr>
              <w:t>23</w:t>
            </w:r>
          </w:p>
        </w:tc>
        <w:tc>
          <w:tcPr>
            <w:tcW w:w="1644" w:type="dxa"/>
            <w:vAlign w:val="center"/>
            <w:hideMark/>
          </w:tcPr>
          <w:p w14:paraId="29FE118F" w14:textId="4C2A4625" w:rsidR="00120761" w:rsidRPr="00915ED0" w:rsidRDefault="004A3995" w:rsidP="002854AC">
            <w:pPr>
              <w:pStyle w:val="SCVtablecolhead"/>
              <w:jc w:val="right"/>
              <w:rPr>
                <w:sz w:val="24"/>
                <w:szCs w:val="20"/>
              </w:rPr>
            </w:pPr>
            <w:r w:rsidRPr="00915ED0">
              <w:rPr>
                <w:sz w:val="24"/>
                <w:szCs w:val="20"/>
              </w:rPr>
              <w:t>20</w:t>
            </w:r>
            <w:r w:rsidR="00120761" w:rsidRPr="00915ED0">
              <w:rPr>
                <w:sz w:val="24"/>
                <w:szCs w:val="20"/>
              </w:rPr>
              <w:t>23</w:t>
            </w:r>
            <w:r w:rsidRPr="00915ED0">
              <w:rPr>
                <w:sz w:val="24"/>
                <w:szCs w:val="20"/>
              </w:rPr>
              <w:t>–</w:t>
            </w:r>
            <w:r w:rsidR="00120761" w:rsidRPr="00915ED0">
              <w:rPr>
                <w:sz w:val="24"/>
                <w:szCs w:val="20"/>
              </w:rPr>
              <w:t>24</w:t>
            </w:r>
          </w:p>
        </w:tc>
        <w:tc>
          <w:tcPr>
            <w:tcW w:w="1644" w:type="dxa"/>
            <w:vAlign w:val="center"/>
            <w:hideMark/>
          </w:tcPr>
          <w:p w14:paraId="12F46309" w14:textId="0CD1DC20" w:rsidR="00120761" w:rsidRPr="00915ED0" w:rsidRDefault="004A3995" w:rsidP="002854AC">
            <w:pPr>
              <w:pStyle w:val="SCVtablecolhead"/>
              <w:jc w:val="right"/>
              <w:rPr>
                <w:sz w:val="24"/>
                <w:szCs w:val="20"/>
              </w:rPr>
            </w:pPr>
            <w:r w:rsidRPr="00915ED0">
              <w:rPr>
                <w:sz w:val="24"/>
                <w:szCs w:val="20"/>
              </w:rPr>
              <w:t>20</w:t>
            </w:r>
            <w:r w:rsidR="00120761" w:rsidRPr="00915ED0">
              <w:rPr>
                <w:sz w:val="24"/>
                <w:szCs w:val="20"/>
              </w:rPr>
              <w:t>24</w:t>
            </w:r>
            <w:r w:rsidRPr="00915ED0">
              <w:rPr>
                <w:sz w:val="24"/>
                <w:szCs w:val="20"/>
              </w:rPr>
              <w:t>–</w:t>
            </w:r>
            <w:r w:rsidR="00120761" w:rsidRPr="00915ED0">
              <w:rPr>
                <w:sz w:val="24"/>
                <w:szCs w:val="20"/>
              </w:rPr>
              <w:t>25</w:t>
            </w:r>
          </w:p>
        </w:tc>
      </w:tr>
      <w:tr w:rsidR="00120761" w:rsidRPr="00915ED0" w14:paraId="1E8BE961" w14:textId="77777777" w:rsidTr="002854AC">
        <w:trPr>
          <w:trHeight w:val="300"/>
        </w:trPr>
        <w:tc>
          <w:tcPr>
            <w:tcW w:w="1935" w:type="dxa"/>
            <w:hideMark/>
          </w:tcPr>
          <w:p w14:paraId="2F835964" w14:textId="2E97C9A5" w:rsidR="00120761" w:rsidRPr="002854AC" w:rsidRDefault="00120761" w:rsidP="004A3995">
            <w:pPr>
              <w:pStyle w:val="SCVtablebody"/>
              <w:rPr>
                <w:rFonts w:eastAsia="Arial"/>
                <w:b/>
                <w:bCs/>
                <w:color w:val="007586" w:themeColor="text2"/>
                <w:sz w:val="24"/>
                <w:szCs w:val="20"/>
              </w:rPr>
            </w:pPr>
            <w:r w:rsidRPr="002854AC">
              <w:rPr>
                <w:rFonts w:eastAsia="Arial"/>
                <w:b/>
                <w:bCs/>
                <w:color w:val="007586" w:themeColor="text2"/>
                <w:sz w:val="24"/>
                <w:szCs w:val="20"/>
              </w:rPr>
              <w:t>RCA/RCA2</w:t>
            </w:r>
          </w:p>
        </w:tc>
        <w:tc>
          <w:tcPr>
            <w:tcW w:w="1644" w:type="dxa"/>
            <w:vAlign w:val="center"/>
            <w:hideMark/>
          </w:tcPr>
          <w:p w14:paraId="5D09137D" w14:textId="71B0A70D" w:rsidR="00120761" w:rsidRPr="00915ED0" w:rsidRDefault="00120761" w:rsidP="002854AC">
            <w:pPr>
              <w:pStyle w:val="SCVtablebody"/>
              <w:jc w:val="right"/>
              <w:rPr>
                <w:rFonts w:eastAsia="Arial"/>
                <w:sz w:val="24"/>
                <w:szCs w:val="20"/>
              </w:rPr>
            </w:pPr>
            <w:r w:rsidRPr="00915ED0">
              <w:rPr>
                <w:rFonts w:eastAsia="Arial"/>
                <w:sz w:val="24"/>
                <w:szCs w:val="20"/>
              </w:rPr>
              <w:t>92%</w:t>
            </w:r>
          </w:p>
        </w:tc>
        <w:tc>
          <w:tcPr>
            <w:tcW w:w="1644" w:type="dxa"/>
            <w:vAlign w:val="center"/>
            <w:hideMark/>
          </w:tcPr>
          <w:p w14:paraId="403D8B29" w14:textId="02013307" w:rsidR="00120761" w:rsidRPr="00915ED0" w:rsidRDefault="00120761" w:rsidP="002854AC">
            <w:pPr>
              <w:pStyle w:val="SCVtablebody"/>
              <w:jc w:val="right"/>
              <w:rPr>
                <w:rFonts w:eastAsia="Arial"/>
                <w:sz w:val="24"/>
                <w:szCs w:val="20"/>
              </w:rPr>
            </w:pPr>
            <w:r w:rsidRPr="00915ED0">
              <w:rPr>
                <w:rFonts w:eastAsia="Arial"/>
                <w:sz w:val="24"/>
                <w:szCs w:val="20"/>
              </w:rPr>
              <w:t>88%</w:t>
            </w:r>
          </w:p>
        </w:tc>
        <w:tc>
          <w:tcPr>
            <w:tcW w:w="1644" w:type="dxa"/>
            <w:vAlign w:val="center"/>
            <w:hideMark/>
          </w:tcPr>
          <w:p w14:paraId="14107B30" w14:textId="67CBDA35" w:rsidR="00120761" w:rsidRPr="00915ED0" w:rsidRDefault="00120761" w:rsidP="002854AC">
            <w:pPr>
              <w:pStyle w:val="SCVtablebody"/>
              <w:jc w:val="right"/>
              <w:rPr>
                <w:rFonts w:eastAsia="Arial"/>
                <w:sz w:val="24"/>
                <w:szCs w:val="20"/>
              </w:rPr>
            </w:pPr>
            <w:r w:rsidRPr="00915ED0">
              <w:rPr>
                <w:rFonts w:eastAsia="Arial"/>
                <w:sz w:val="24"/>
                <w:szCs w:val="20"/>
              </w:rPr>
              <w:t>70%</w:t>
            </w:r>
          </w:p>
        </w:tc>
        <w:tc>
          <w:tcPr>
            <w:tcW w:w="1644" w:type="dxa"/>
            <w:vAlign w:val="center"/>
            <w:hideMark/>
          </w:tcPr>
          <w:p w14:paraId="5752AB5D" w14:textId="058CB6D8" w:rsidR="00120761" w:rsidRPr="00915ED0" w:rsidRDefault="00120761" w:rsidP="002854AC">
            <w:pPr>
              <w:pStyle w:val="SCVtablebody"/>
              <w:jc w:val="right"/>
              <w:rPr>
                <w:rFonts w:eastAsia="Arial"/>
                <w:sz w:val="24"/>
                <w:szCs w:val="20"/>
              </w:rPr>
            </w:pPr>
            <w:r w:rsidRPr="00915ED0">
              <w:rPr>
                <w:rFonts w:eastAsia="Arial"/>
                <w:sz w:val="24"/>
                <w:szCs w:val="20"/>
              </w:rPr>
              <w:t>59%</w:t>
            </w:r>
          </w:p>
        </w:tc>
        <w:tc>
          <w:tcPr>
            <w:tcW w:w="1644" w:type="dxa"/>
            <w:vAlign w:val="center"/>
            <w:hideMark/>
          </w:tcPr>
          <w:p w14:paraId="19850134" w14:textId="16C0DB04" w:rsidR="00120761" w:rsidRPr="00915ED0" w:rsidRDefault="00120761" w:rsidP="002854AC">
            <w:pPr>
              <w:pStyle w:val="SCVtablebody"/>
              <w:jc w:val="right"/>
              <w:rPr>
                <w:rFonts w:eastAsia="Arial"/>
                <w:sz w:val="24"/>
                <w:szCs w:val="20"/>
              </w:rPr>
            </w:pPr>
            <w:r w:rsidRPr="00915ED0">
              <w:rPr>
                <w:rFonts w:eastAsia="Arial"/>
                <w:sz w:val="24"/>
                <w:szCs w:val="20"/>
              </w:rPr>
              <w:t>60%</w:t>
            </w:r>
          </w:p>
        </w:tc>
      </w:tr>
      <w:tr w:rsidR="00120761" w:rsidRPr="00915ED0" w14:paraId="158E7EBD" w14:textId="77777777" w:rsidTr="002854AC">
        <w:trPr>
          <w:trHeight w:val="300"/>
        </w:trPr>
        <w:tc>
          <w:tcPr>
            <w:tcW w:w="1935" w:type="dxa"/>
            <w:hideMark/>
          </w:tcPr>
          <w:p w14:paraId="7884FEA2" w14:textId="0C41B3B6" w:rsidR="00120761" w:rsidRPr="002854AC" w:rsidRDefault="00120761" w:rsidP="004A3995">
            <w:pPr>
              <w:pStyle w:val="SCVtablebody"/>
              <w:rPr>
                <w:rFonts w:eastAsia="Arial"/>
                <w:b/>
                <w:bCs/>
                <w:color w:val="007586" w:themeColor="text2"/>
                <w:sz w:val="24"/>
                <w:szCs w:val="20"/>
              </w:rPr>
            </w:pPr>
            <w:r w:rsidRPr="002854AC">
              <w:rPr>
                <w:rFonts w:eastAsia="Arial"/>
                <w:b/>
                <w:bCs/>
                <w:color w:val="007586" w:themeColor="text2"/>
                <w:sz w:val="24"/>
                <w:szCs w:val="20"/>
              </w:rPr>
              <w:t>London Protocol</w:t>
            </w:r>
          </w:p>
        </w:tc>
        <w:tc>
          <w:tcPr>
            <w:tcW w:w="1644" w:type="dxa"/>
            <w:vAlign w:val="center"/>
            <w:hideMark/>
          </w:tcPr>
          <w:p w14:paraId="2129893C" w14:textId="2509F110" w:rsidR="00120761" w:rsidRPr="00915ED0" w:rsidRDefault="00120761" w:rsidP="002854AC">
            <w:pPr>
              <w:pStyle w:val="SCVtablebody"/>
              <w:jc w:val="right"/>
              <w:rPr>
                <w:rFonts w:eastAsia="Arial"/>
                <w:sz w:val="24"/>
                <w:szCs w:val="20"/>
              </w:rPr>
            </w:pPr>
            <w:r w:rsidRPr="00915ED0">
              <w:rPr>
                <w:rFonts w:eastAsia="Arial"/>
                <w:sz w:val="24"/>
                <w:szCs w:val="20"/>
              </w:rPr>
              <w:t>8%</w:t>
            </w:r>
          </w:p>
        </w:tc>
        <w:tc>
          <w:tcPr>
            <w:tcW w:w="1644" w:type="dxa"/>
            <w:vAlign w:val="center"/>
            <w:hideMark/>
          </w:tcPr>
          <w:p w14:paraId="51828A5A" w14:textId="5C602B7A" w:rsidR="00120761" w:rsidRPr="00915ED0" w:rsidRDefault="00120761" w:rsidP="002854AC">
            <w:pPr>
              <w:pStyle w:val="SCVtablebody"/>
              <w:jc w:val="right"/>
              <w:rPr>
                <w:rFonts w:eastAsia="Arial"/>
                <w:sz w:val="24"/>
                <w:szCs w:val="20"/>
              </w:rPr>
            </w:pPr>
            <w:r w:rsidRPr="00915ED0">
              <w:rPr>
                <w:rFonts w:eastAsia="Arial"/>
                <w:sz w:val="24"/>
                <w:szCs w:val="20"/>
              </w:rPr>
              <w:t>6%</w:t>
            </w:r>
          </w:p>
        </w:tc>
        <w:tc>
          <w:tcPr>
            <w:tcW w:w="1644" w:type="dxa"/>
            <w:vAlign w:val="center"/>
            <w:hideMark/>
          </w:tcPr>
          <w:p w14:paraId="18028A72" w14:textId="391C1E89" w:rsidR="00120761" w:rsidRPr="00915ED0" w:rsidRDefault="00120761" w:rsidP="002854AC">
            <w:pPr>
              <w:pStyle w:val="SCVtablebody"/>
              <w:jc w:val="right"/>
              <w:rPr>
                <w:rFonts w:eastAsia="Arial"/>
                <w:sz w:val="24"/>
                <w:szCs w:val="20"/>
              </w:rPr>
            </w:pPr>
            <w:r w:rsidRPr="00915ED0">
              <w:rPr>
                <w:rFonts w:eastAsia="Arial"/>
                <w:sz w:val="24"/>
                <w:szCs w:val="20"/>
              </w:rPr>
              <w:t>30%</w:t>
            </w:r>
          </w:p>
        </w:tc>
        <w:tc>
          <w:tcPr>
            <w:tcW w:w="1644" w:type="dxa"/>
            <w:vAlign w:val="center"/>
            <w:hideMark/>
          </w:tcPr>
          <w:p w14:paraId="3485F289" w14:textId="79B15A42" w:rsidR="00120761" w:rsidRPr="00915ED0" w:rsidRDefault="00120761" w:rsidP="002854AC">
            <w:pPr>
              <w:pStyle w:val="SCVtablebody"/>
              <w:jc w:val="right"/>
              <w:rPr>
                <w:rFonts w:eastAsia="Arial"/>
                <w:sz w:val="24"/>
                <w:szCs w:val="20"/>
              </w:rPr>
            </w:pPr>
            <w:r w:rsidRPr="00915ED0">
              <w:rPr>
                <w:rFonts w:eastAsia="Arial"/>
                <w:sz w:val="24"/>
                <w:szCs w:val="20"/>
              </w:rPr>
              <w:t>41%</w:t>
            </w:r>
          </w:p>
        </w:tc>
        <w:tc>
          <w:tcPr>
            <w:tcW w:w="1644" w:type="dxa"/>
            <w:vAlign w:val="center"/>
            <w:hideMark/>
          </w:tcPr>
          <w:p w14:paraId="11B63150" w14:textId="7D313660" w:rsidR="00120761" w:rsidRPr="00915ED0" w:rsidRDefault="00120761" w:rsidP="002854AC">
            <w:pPr>
              <w:pStyle w:val="SCVtablebody"/>
              <w:jc w:val="right"/>
              <w:rPr>
                <w:rFonts w:eastAsia="Arial"/>
                <w:sz w:val="24"/>
                <w:szCs w:val="20"/>
              </w:rPr>
            </w:pPr>
            <w:r w:rsidRPr="00915ED0">
              <w:rPr>
                <w:rFonts w:eastAsia="Arial"/>
                <w:sz w:val="24"/>
                <w:szCs w:val="20"/>
              </w:rPr>
              <w:t>40%</w:t>
            </w:r>
          </w:p>
        </w:tc>
      </w:tr>
      <w:tr w:rsidR="00120761" w:rsidRPr="00915ED0" w14:paraId="2758DE7F" w14:textId="77777777" w:rsidTr="002854AC">
        <w:trPr>
          <w:trHeight w:val="300"/>
        </w:trPr>
        <w:tc>
          <w:tcPr>
            <w:tcW w:w="1935" w:type="dxa"/>
            <w:hideMark/>
          </w:tcPr>
          <w:p w14:paraId="16A0E6BD" w14:textId="4570573C" w:rsidR="00120761" w:rsidRPr="002854AC" w:rsidRDefault="0051694B" w:rsidP="004A3995">
            <w:pPr>
              <w:pStyle w:val="SCVtablebody"/>
              <w:rPr>
                <w:rFonts w:eastAsia="Arial"/>
                <w:b/>
                <w:bCs/>
                <w:color w:val="007586" w:themeColor="text2"/>
                <w:sz w:val="24"/>
                <w:szCs w:val="20"/>
              </w:rPr>
            </w:pPr>
            <w:r w:rsidRPr="002854AC">
              <w:rPr>
                <w:rFonts w:eastAsia="Arial"/>
                <w:b/>
                <w:bCs/>
                <w:color w:val="007586" w:themeColor="text2"/>
                <w:sz w:val="24"/>
                <w:szCs w:val="20"/>
              </w:rPr>
              <w:t>Other</w:t>
            </w:r>
          </w:p>
        </w:tc>
        <w:tc>
          <w:tcPr>
            <w:tcW w:w="1644" w:type="dxa"/>
            <w:vAlign w:val="center"/>
            <w:hideMark/>
          </w:tcPr>
          <w:p w14:paraId="35C09E7A" w14:textId="7E3F1957" w:rsidR="00120761" w:rsidRPr="00915ED0" w:rsidRDefault="78703C32" w:rsidP="002854AC">
            <w:pPr>
              <w:pStyle w:val="SCVtablebody"/>
              <w:jc w:val="right"/>
              <w:rPr>
                <w:rFonts w:eastAsia="Arial"/>
                <w:sz w:val="24"/>
                <w:szCs w:val="20"/>
              </w:rPr>
            </w:pPr>
            <w:r w:rsidRPr="00915ED0">
              <w:rPr>
                <w:rFonts w:eastAsia="Arial"/>
                <w:sz w:val="24"/>
                <w:szCs w:val="20"/>
              </w:rPr>
              <w:t>0</w:t>
            </w:r>
            <w:r w:rsidR="61FFA722" w:rsidRPr="00915ED0">
              <w:rPr>
                <w:rFonts w:eastAsia="Arial"/>
                <w:sz w:val="24"/>
                <w:szCs w:val="20"/>
              </w:rPr>
              <w:t>%</w:t>
            </w:r>
          </w:p>
        </w:tc>
        <w:tc>
          <w:tcPr>
            <w:tcW w:w="1644" w:type="dxa"/>
            <w:vAlign w:val="center"/>
            <w:hideMark/>
          </w:tcPr>
          <w:p w14:paraId="398C828A" w14:textId="3FE317FA" w:rsidR="00120761" w:rsidRPr="00915ED0" w:rsidRDefault="00120761" w:rsidP="002854AC">
            <w:pPr>
              <w:pStyle w:val="SCVtablebody"/>
              <w:jc w:val="right"/>
              <w:rPr>
                <w:rFonts w:eastAsia="Arial"/>
                <w:sz w:val="24"/>
                <w:szCs w:val="20"/>
              </w:rPr>
            </w:pPr>
            <w:r w:rsidRPr="00915ED0">
              <w:rPr>
                <w:rFonts w:eastAsia="Arial"/>
                <w:sz w:val="24"/>
                <w:szCs w:val="20"/>
              </w:rPr>
              <w:t>6%</w:t>
            </w:r>
          </w:p>
        </w:tc>
        <w:tc>
          <w:tcPr>
            <w:tcW w:w="1644" w:type="dxa"/>
            <w:vAlign w:val="center"/>
            <w:hideMark/>
          </w:tcPr>
          <w:p w14:paraId="5E78C844" w14:textId="0ECD348C" w:rsidR="00120761" w:rsidRPr="00915ED0" w:rsidRDefault="78703C32" w:rsidP="002854AC">
            <w:pPr>
              <w:pStyle w:val="SCVtablebody"/>
              <w:jc w:val="right"/>
              <w:rPr>
                <w:rFonts w:eastAsia="Arial"/>
                <w:sz w:val="24"/>
                <w:szCs w:val="20"/>
              </w:rPr>
            </w:pPr>
            <w:r w:rsidRPr="00915ED0">
              <w:rPr>
                <w:rFonts w:eastAsia="Arial"/>
                <w:sz w:val="24"/>
                <w:szCs w:val="20"/>
              </w:rPr>
              <w:t>0</w:t>
            </w:r>
            <w:r w:rsidR="0891751B" w:rsidRPr="00915ED0">
              <w:rPr>
                <w:rFonts w:eastAsia="Arial"/>
                <w:sz w:val="24"/>
                <w:szCs w:val="20"/>
              </w:rPr>
              <w:t>%</w:t>
            </w:r>
          </w:p>
        </w:tc>
        <w:tc>
          <w:tcPr>
            <w:tcW w:w="1644" w:type="dxa"/>
            <w:vAlign w:val="center"/>
            <w:hideMark/>
          </w:tcPr>
          <w:p w14:paraId="5AA7B444" w14:textId="55857608" w:rsidR="00120761" w:rsidRPr="00915ED0" w:rsidRDefault="78703C32" w:rsidP="002854AC">
            <w:pPr>
              <w:pStyle w:val="SCVtablebody"/>
              <w:jc w:val="right"/>
              <w:rPr>
                <w:rFonts w:eastAsia="Arial"/>
                <w:sz w:val="24"/>
                <w:szCs w:val="20"/>
              </w:rPr>
            </w:pPr>
            <w:r w:rsidRPr="00915ED0">
              <w:rPr>
                <w:rFonts w:eastAsia="Arial"/>
                <w:sz w:val="24"/>
                <w:szCs w:val="20"/>
              </w:rPr>
              <w:t>0</w:t>
            </w:r>
            <w:r w:rsidR="18C16D0D" w:rsidRPr="00915ED0">
              <w:rPr>
                <w:rFonts w:eastAsia="Arial"/>
                <w:sz w:val="24"/>
                <w:szCs w:val="20"/>
              </w:rPr>
              <w:t>%</w:t>
            </w:r>
          </w:p>
        </w:tc>
        <w:tc>
          <w:tcPr>
            <w:tcW w:w="1644" w:type="dxa"/>
            <w:vAlign w:val="center"/>
            <w:hideMark/>
          </w:tcPr>
          <w:p w14:paraId="6EBB6D31" w14:textId="3C28AF92" w:rsidR="00120761" w:rsidRPr="00915ED0" w:rsidRDefault="00120761" w:rsidP="002854AC">
            <w:pPr>
              <w:pStyle w:val="SCVtablebody"/>
              <w:jc w:val="right"/>
              <w:rPr>
                <w:rFonts w:eastAsia="Arial"/>
                <w:sz w:val="24"/>
                <w:szCs w:val="20"/>
              </w:rPr>
            </w:pPr>
            <w:r w:rsidRPr="00915ED0">
              <w:rPr>
                <w:rFonts w:eastAsia="Arial"/>
                <w:sz w:val="24"/>
                <w:szCs w:val="20"/>
              </w:rPr>
              <w:t>0%</w:t>
            </w:r>
          </w:p>
        </w:tc>
      </w:tr>
    </w:tbl>
    <w:p w14:paraId="19F66E0D" w14:textId="1D27B592" w:rsidR="001874AE" w:rsidRDefault="10C553D9" w:rsidP="005E7DE4">
      <w:pPr>
        <w:pStyle w:val="SCVbodyaftertablefigure"/>
      </w:pPr>
      <w:r>
        <w:lastRenderedPageBreak/>
        <w:t>These methodologies are discussed more in Appendix 2.</w:t>
      </w:r>
    </w:p>
    <w:p w14:paraId="6ECB674A" w14:textId="5482AF00" w:rsidR="00120761" w:rsidRPr="00844691" w:rsidRDefault="7D4D9E68" w:rsidP="57EA0190">
      <w:pPr>
        <w:pStyle w:val="Heading3"/>
        <w:rPr>
          <w:color w:val="auto"/>
        </w:rPr>
      </w:pPr>
      <w:r w:rsidRPr="00844691">
        <w:rPr>
          <w:color w:val="auto"/>
        </w:rPr>
        <w:t>Summar</w:t>
      </w:r>
      <w:r w:rsidR="53C25195" w:rsidRPr="00844691">
        <w:rPr>
          <w:color w:val="auto"/>
        </w:rPr>
        <w:t>y</w:t>
      </w:r>
    </w:p>
    <w:p w14:paraId="31453408" w14:textId="7871307C" w:rsidR="00E0593F" w:rsidRDefault="4858AC81" w:rsidP="003D76A5">
      <w:pPr>
        <w:pStyle w:val="SCVbody"/>
      </w:pPr>
      <w:r>
        <w:t xml:space="preserve">Over the past </w:t>
      </w:r>
      <w:r w:rsidR="065155A9">
        <w:t>five</w:t>
      </w:r>
      <w:r>
        <w:t xml:space="preserve"> years, consumer representation on sentinel review panels has increased from 62</w:t>
      </w:r>
      <w:r w:rsidR="3FAAF8D8">
        <w:t>%</w:t>
      </w:r>
      <w:r>
        <w:t xml:space="preserve"> to 100</w:t>
      </w:r>
      <w:r w:rsidR="3FAAF8D8">
        <w:t>%</w:t>
      </w:r>
      <w:r>
        <w:t>. This reflects a strong and ongoing commitment to hearing and valuing the voices of consumers as a critical part of learning, reflection and service improvement.</w:t>
      </w:r>
    </w:p>
    <w:p w14:paraId="2CB3ECC5" w14:textId="2CD2A488" w:rsidR="00E0593F" w:rsidRDefault="255107B7" w:rsidP="003D76A5">
      <w:pPr>
        <w:pStyle w:val="SCVbody"/>
      </w:pPr>
      <w:r>
        <w:t>S</w:t>
      </w:r>
      <w:r w:rsidR="5F4A7B22">
        <w:t>entinel event</w:t>
      </w:r>
      <w:r>
        <w:t xml:space="preserve"> analysis</w:t>
      </w:r>
      <w:r w:rsidR="5F4A7B22">
        <w:t xml:space="preserve"> shows that </w:t>
      </w:r>
      <w:r w:rsidR="04266E10">
        <w:t>t</w:t>
      </w:r>
      <w:r w:rsidR="4D2ACA2A">
        <w:t xml:space="preserve">he mental health sector is </w:t>
      </w:r>
      <w:r w:rsidR="3775FE6F">
        <w:t xml:space="preserve">improving </w:t>
      </w:r>
      <w:r>
        <w:t xml:space="preserve">its </w:t>
      </w:r>
      <w:r w:rsidR="3775FE6F">
        <w:t xml:space="preserve">engagement with a just reporting culture. </w:t>
      </w:r>
      <w:r w:rsidR="5F4A7B22">
        <w:t>This finding reinforces the need for system-wide improvements focused on preventi</w:t>
      </w:r>
      <w:r w:rsidR="42EE01CD">
        <w:t>ng</w:t>
      </w:r>
      <w:r w:rsidR="5F4A7B22">
        <w:t xml:space="preserve"> self-harm and suicide, </w:t>
      </w:r>
      <w:r w:rsidR="5F4A7B22" w:rsidRPr="57EA0190">
        <w:rPr>
          <w:i/>
          <w:iCs/>
        </w:rPr>
        <w:t>particularly during care transitions and at the point of discharge</w:t>
      </w:r>
      <w:r w:rsidR="5F4A7B22">
        <w:t xml:space="preserve">. </w:t>
      </w:r>
    </w:p>
    <w:p w14:paraId="2236E53A" w14:textId="34DF239C" w:rsidR="00E0593F" w:rsidRDefault="5F4A7B22" w:rsidP="003D76A5">
      <w:pPr>
        <w:pStyle w:val="SCVbody"/>
      </w:pPr>
      <w:r>
        <w:t>The following resource from SCV responds directly to the themes identified through the sentinel event reviews. It highlights practical</w:t>
      </w:r>
      <w:r w:rsidR="1CC443C1">
        <w:t xml:space="preserve"> system improvements for consumers, families and their carers</w:t>
      </w:r>
      <w:r>
        <w:t xml:space="preserve"> </w:t>
      </w:r>
      <w:r w:rsidR="255107B7">
        <w:t xml:space="preserve">that </w:t>
      </w:r>
      <w:r w:rsidR="13EC829E">
        <w:t>aim to</w:t>
      </w:r>
      <w:r>
        <w:t xml:space="preserve"> strengthen discharge planning, continuity of care and community support</w:t>
      </w:r>
      <w:r w:rsidR="1FB2D9CB">
        <w:t>.</w:t>
      </w:r>
      <w:r>
        <w:t xml:space="preserve"> </w:t>
      </w:r>
    </w:p>
    <w:p w14:paraId="43EEA4A0" w14:textId="01F9D2B8" w:rsidR="003233AC" w:rsidRPr="00844691" w:rsidDel="00C70D6A" w:rsidRDefault="1DF69435" w:rsidP="003233AC">
      <w:pPr>
        <w:pStyle w:val="Heading3"/>
        <w:spacing w:line="276" w:lineRule="auto"/>
        <w:rPr>
          <w:color w:val="auto"/>
        </w:rPr>
      </w:pPr>
      <w:r w:rsidRPr="00844691">
        <w:rPr>
          <w:color w:val="auto"/>
        </w:rPr>
        <w:t xml:space="preserve">Improvement initiatives and </w:t>
      </w:r>
      <w:r w:rsidR="77DCC270" w:rsidRPr="00844691">
        <w:rPr>
          <w:color w:val="auto"/>
        </w:rPr>
        <w:t>resources</w:t>
      </w:r>
    </w:p>
    <w:p w14:paraId="4F148790" w14:textId="77777777" w:rsidR="003C1A02" w:rsidRPr="00844691" w:rsidRDefault="46C3790C" w:rsidP="003D76A5">
      <w:pPr>
        <w:pStyle w:val="Heading4"/>
        <w:rPr>
          <w:color w:val="004C97" w:themeColor="accent4"/>
        </w:rPr>
      </w:pPr>
      <w:r w:rsidRPr="00844691">
        <w:rPr>
          <w:color w:val="004C97" w:themeColor="accent4"/>
        </w:rPr>
        <w:t xml:space="preserve">The Adopting Zero Suicide Framework Initiative </w:t>
      </w:r>
    </w:p>
    <w:p w14:paraId="07645CD5" w14:textId="02CC41B8" w:rsidR="44D04D8F" w:rsidRDefault="36BA33CA" w:rsidP="003D76A5">
      <w:pPr>
        <w:pStyle w:val="SCVbody"/>
      </w:pPr>
      <w:r>
        <w:t xml:space="preserve">SCV has </w:t>
      </w:r>
      <w:r w:rsidR="621EBB8E">
        <w:t>led</w:t>
      </w:r>
      <w:r>
        <w:t xml:space="preserve"> an initiative involving</w:t>
      </w:r>
      <w:r w:rsidR="0BEE3CBE">
        <w:t xml:space="preserve"> 13 organisation-wide workshops conducted across 10 health services to self-assess their alignment </w:t>
      </w:r>
      <w:r w:rsidR="67AF9727">
        <w:t xml:space="preserve">with </w:t>
      </w:r>
      <w:r w:rsidR="0BEE3CBE">
        <w:t xml:space="preserve">the </w:t>
      </w:r>
      <w:hyperlink r:id="rId64">
        <w:r w:rsidR="2B57ADBA" w:rsidRPr="005B02B7">
          <w:rPr>
            <w:rStyle w:val="Hyperlink"/>
            <w:rFonts w:ascii="Arial" w:eastAsia="Arial" w:hAnsi="Arial" w:cs="Arial"/>
          </w:rPr>
          <w:t xml:space="preserve">Zero </w:t>
        </w:r>
        <w:r w:rsidR="1EC5E7DF" w:rsidRPr="005B02B7">
          <w:rPr>
            <w:rStyle w:val="Hyperlink"/>
            <w:rFonts w:ascii="Arial" w:eastAsia="Arial" w:hAnsi="Arial" w:cs="Arial"/>
          </w:rPr>
          <w:t>S</w:t>
        </w:r>
        <w:r w:rsidR="2B57ADBA" w:rsidRPr="005B02B7">
          <w:rPr>
            <w:rStyle w:val="Hyperlink"/>
            <w:rFonts w:ascii="Arial" w:eastAsia="Arial" w:hAnsi="Arial" w:cs="Arial"/>
          </w:rPr>
          <w:t xml:space="preserve">uicide </w:t>
        </w:r>
        <w:r w:rsidR="5168873A" w:rsidRPr="005B02B7">
          <w:rPr>
            <w:rStyle w:val="Hyperlink"/>
            <w:rFonts w:ascii="Arial" w:eastAsia="Arial" w:hAnsi="Arial" w:cs="Arial"/>
          </w:rPr>
          <w:t>F</w:t>
        </w:r>
        <w:r w:rsidR="2B57ADBA" w:rsidRPr="005B02B7">
          <w:rPr>
            <w:rStyle w:val="Hyperlink"/>
            <w:rFonts w:ascii="Arial" w:eastAsia="Arial" w:hAnsi="Arial" w:cs="Arial"/>
          </w:rPr>
          <w:t>ramework</w:t>
        </w:r>
      </w:hyperlink>
      <w:r w:rsidR="13C92D41">
        <w:t xml:space="preserve"> &lt;https://www.safercare.vic.gov.au/best-practice-improvement/mental-health-improvement-program/initiatives/zero-suicide-framework&gt;</w:t>
      </w:r>
      <w:r w:rsidR="0BEE3CBE">
        <w:t xml:space="preserve">. </w:t>
      </w:r>
      <w:r w:rsidR="55431C2F">
        <w:t>We have established o</w:t>
      </w:r>
      <w:r w:rsidR="0BEE3CBE">
        <w:t xml:space="preserve">ngoing partnerships with </w:t>
      </w:r>
      <w:r w:rsidR="1DAEFB68">
        <w:t>five</w:t>
      </w:r>
      <w:r w:rsidR="002D0432">
        <w:t xml:space="preserve"> </w:t>
      </w:r>
      <w:r w:rsidR="0BEE3CBE">
        <w:t xml:space="preserve">of these services to </w:t>
      </w:r>
      <w:r w:rsidR="67AF9727">
        <w:t xml:space="preserve">help </w:t>
      </w:r>
      <w:r w:rsidR="0BEE3CBE">
        <w:t>test, implement and evaluat</w:t>
      </w:r>
      <w:r w:rsidR="67AF9727">
        <w:t>e</w:t>
      </w:r>
      <w:r w:rsidR="0BEE3CBE">
        <w:t xml:space="preserve"> recommended practice improvements to better align with the </w:t>
      </w:r>
      <w:r w:rsidR="643ECD6A">
        <w:t>f</w:t>
      </w:r>
      <w:r w:rsidR="0BEE3CBE">
        <w:t>ramework</w:t>
      </w:r>
      <w:r w:rsidR="74C1CA3F">
        <w:t xml:space="preserve"> to improve the pathway of care</w:t>
      </w:r>
      <w:r w:rsidR="0BEE3CBE">
        <w:t>.</w:t>
      </w:r>
      <w:r w:rsidR="0DFFF8D0">
        <w:br w:type="page"/>
      </w:r>
    </w:p>
    <w:p w14:paraId="7239C795" w14:textId="1C269AE3" w:rsidR="003D17F9" w:rsidRPr="00844691" w:rsidRDefault="32948053" w:rsidP="00735DBF">
      <w:pPr>
        <w:pStyle w:val="Heading2"/>
        <w:spacing w:before="160" w:after="0" w:line="276" w:lineRule="auto"/>
        <w:rPr>
          <w:color w:val="007586" w:themeColor="text2"/>
          <w:sz w:val="24"/>
          <w:szCs w:val="24"/>
        </w:rPr>
      </w:pPr>
      <w:bookmarkStart w:id="28" w:name="_Ref229402883"/>
      <w:bookmarkStart w:id="29" w:name="_Toc238026643"/>
      <w:r w:rsidRPr="00844691">
        <w:rPr>
          <w:color w:val="007586" w:themeColor="text2"/>
        </w:rPr>
        <w:lastRenderedPageBreak/>
        <w:t>4. Sentinel</w:t>
      </w:r>
      <w:r w:rsidRPr="00844691">
        <w:rPr>
          <w:color w:val="007586" w:themeColor="text2"/>
          <w:sz w:val="24"/>
          <w:szCs w:val="24"/>
        </w:rPr>
        <w:t xml:space="preserve"> </w:t>
      </w:r>
      <w:r w:rsidRPr="00844691">
        <w:rPr>
          <w:color w:val="007586" w:themeColor="text2"/>
        </w:rPr>
        <w:t>events related to medication errors</w:t>
      </w:r>
      <w:bookmarkEnd w:id="28"/>
      <w:bookmarkEnd w:id="29"/>
    </w:p>
    <w:p w14:paraId="2DAA87F4" w14:textId="30065E1A" w:rsidR="003D17F9" w:rsidRDefault="421B127D" w:rsidP="00575F42">
      <w:pPr>
        <w:pStyle w:val="SCVbody"/>
      </w:pPr>
      <w:r>
        <w:t xml:space="preserve">Medication errors are the most frequently reported </w:t>
      </w:r>
      <w:r w:rsidR="5E3A86BC">
        <w:t xml:space="preserve">of the category 1–10 </w:t>
      </w:r>
      <w:r>
        <w:t>sentinel events across all states and territories</w:t>
      </w:r>
      <w:r w:rsidR="0191DC53">
        <w:t xml:space="preserve">. </w:t>
      </w:r>
      <w:r w:rsidR="4884A71C">
        <w:t xml:space="preserve">In 2024–25 </w:t>
      </w:r>
      <w:r w:rsidR="2DA26A52">
        <w:t xml:space="preserve">there were </w:t>
      </w:r>
      <w:r w:rsidR="2DA26A52" w:rsidRPr="509B18F9">
        <w:rPr>
          <w:b/>
          <w:bCs/>
        </w:rPr>
        <w:t>12</w:t>
      </w:r>
      <w:r w:rsidR="2DA26A52">
        <w:t xml:space="preserve"> </w:t>
      </w:r>
      <w:r w:rsidR="4884A71C">
        <w:t>medication error sentinel events</w:t>
      </w:r>
      <w:r w:rsidR="2DA26A52">
        <w:t xml:space="preserve"> (</w:t>
      </w:r>
      <w:r w:rsidR="4884A71C">
        <w:t>category 7</w:t>
      </w:r>
      <w:r w:rsidR="03BE7017">
        <w:t>)</w:t>
      </w:r>
      <w:r w:rsidR="4884A71C">
        <w:t xml:space="preserve"> in Victoria</w:t>
      </w:r>
      <w:r w:rsidR="194FEE48">
        <w:t>.</w:t>
      </w:r>
      <w:r w:rsidR="1FAEECAE">
        <w:t xml:space="preserve"> </w:t>
      </w:r>
      <w:r w:rsidR="251F5324">
        <w:t>While t</w:t>
      </w:r>
      <w:r w:rsidR="610D86EA">
        <w:t>h</w:t>
      </w:r>
      <w:r w:rsidR="296458C0">
        <w:t>is is a</w:t>
      </w:r>
      <w:r w:rsidR="610D86EA">
        <w:t xml:space="preserve"> decrease </w:t>
      </w:r>
      <w:r w:rsidR="6C35A4CC">
        <w:t>from</w:t>
      </w:r>
      <w:r w:rsidR="610D86EA">
        <w:t xml:space="preserve"> 2022</w:t>
      </w:r>
      <w:r w:rsidR="5D1C8312">
        <w:t>–</w:t>
      </w:r>
      <w:r w:rsidR="610D86EA">
        <w:t>23</w:t>
      </w:r>
      <w:r w:rsidR="2EFB2B8E">
        <w:t>,</w:t>
      </w:r>
      <w:r w:rsidR="610D86EA">
        <w:t xml:space="preserve"> where 22 events were recorded</w:t>
      </w:r>
      <w:r w:rsidR="63C78F6F">
        <w:t xml:space="preserve">, this </w:t>
      </w:r>
      <w:r w:rsidR="296458C0">
        <w:t>decrease must be viewed</w:t>
      </w:r>
      <w:r w:rsidR="6756E87B">
        <w:t xml:space="preserve"> </w:t>
      </w:r>
      <w:r w:rsidR="63C78F6F">
        <w:t>with caution due to the varying factors that may influence reporting across the health system.</w:t>
      </w:r>
    </w:p>
    <w:p w14:paraId="5F3993A8" w14:textId="0949A0AE" w:rsidR="00186FC2" w:rsidRDefault="78E05299" w:rsidP="0098665E">
      <w:pPr>
        <w:pStyle w:val="SCVbody"/>
      </w:pPr>
      <w:r>
        <w:t>In 2024</w:t>
      </w:r>
      <w:r w:rsidR="2419D034">
        <w:t>–</w:t>
      </w:r>
      <w:r>
        <w:t>25 a</w:t>
      </w:r>
      <w:r w:rsidR="24737CD4">
        <w:t xml:space="preserve"> further </w:t>
      </w:r>
      <w:r w:rsidR="43AC8C58" w:rsidRPr="509B18F9">
        <w:rPr>
          <w:b/>
          <w:bCs/>
        </w:rPr>
        <w:t>three</w:t>
      </w:r>
      <w:r w:rsidR="24737CD4">
        <w:t xml:space="preserve"> cases, under </w:t>
      </w:r>
      <w:r w:rsidR="74218719">
        <w:t xml:space="preserve">category 11, </w:t>
      </w:r>
      <w:r w:rsidR="24737CD4">
        <w:t>subcategory 3</w:t>
      </w:r>
      <w:r w:rsidR="23D81840">
        <w:t>:</w:t>
      </w:r>
      <w:r w:rsidR="24737CD4">
        <w:t xml:space="preserve"> ‘deteriorating patient’, had a clear link with medications and were </w:t>
      </w:r>
      <w:r w:rsidR="55431C2F">
        <w:t xml:space="preserve">attributed </w:t>
      </w:r>
      <w:r w:rsidR="24737CD4">
        <w:t>to opioid</w:t>
      </w:r>
      <w:r w:rsidR="645EBC55">
        <w:t xml:space="preserve"> use</w:t>
      </w:r>
      <w:r w:rsidR="24737CD4">
        <w:t>, with or without other sedatives.</w:t>
      </w:r>
      <w:r w:rsidR="6D7D915D">
        <w:t xml:space="preserve"> </w:t>
      </w:r>
    </w:p>
    <w:p w14:paraId="509F1A14" w14:textId="25225312" w:rsidR="5CF1C35C" w:rsidRDefault="5CFDE701" w:rsidP="0098665E">
      <w:pPr>
        <w:pStyle w:val="SCVbody"/>
        <w:rPr>
          <w:rStyle w:val="eop"/>
          <w:rFonts w:ascii="Arial" w:eastAsiaTheme="minorEastAsia" w:hAnsi="Arial" w:cs="Arial"/>
          <w:sz w:val="20"/>
          <w:szCs w:val="20"/>
        </w:rPr>
      </w:pPr>
      <w:r w:rsidRPr="5CF1C35C">
        <w:rPr>
          <w:rStyle w:val="normaltextrun"/>
          <w:rFonts w:ascii="Arial" w:hAnsi="Arial" w:cs="Arial"/>
        </w:rPr>
        <w:t>Patient safety events involving medication and intravenous fluids were the third most common type of event recorded in the Victorian Health Incident Management System, with most events reported as near misses or causing no harm.</w:t>
      </w:r>
    </w:p>
    <w:p w14:paraId="7E17940E" w14:textId="77777777" w:rsidR="002C12FF" w:rsidRDefault="002C12FF" w:rsidP="0098665E">
      <w:pPr>
        <w:pStyle w:val="SCVbody"/>
        <w:rPr>
          <w:rStyle w:val="eop"/>
          <w:rFonts w:ascii="Arial" w:hAnsi="Arial" w:cs="Arial"/>
        </w:rPr>
      </w:pPr>
      <w:r w:rsidRPr="5EAC5C8C">
        <w:rPr>
          <w:rStyle w:val="normaltextrun"/>
          <w:rFonts w:ascii="Arial" w:hAnsi="Arial" w:cs="Arial"/>
        </w:rPr>
        <w:t>These findings are consistent with previous years.</w:t>
      </w:r>
      <w:r w:rsidRPr="5EAC5C8C">
        <w:rPr>
          <w:rStyle w:val="eop"/>
          <w:rFonts w:ascii="Arial" w:hAnsi="Arial" w:cs="Arial"/>
        </w:rPr>
        <w:t> </w:t>
      </w:r>
    </w:p>
    <w:p w14:paraId="6997D665" w14:textId="30D991A9" w:rsidR="002C12FF" w:rsidRDefault="002C12FF" w:rsidP="003D76A5">
      <w:pPr>
        <w:pStyle w:val="Heading3"/>
        <w:rPr>
          <w:rFonts w:ascii="Segoe UI" w:hAnsi="Segoe UI" w:cs="Segoe UI"/>
          <w:sz w:val="18"/>
          <w:szCs w:val="18"/>
        </w:rPr>
      </w:pPr>
      <w:r>
        <w:rPr>
          <w:rStyle w:val="normaltextrun"/>
          <w:rFonts w:ascii="Arial" w:hAnsi="Arial" w:cs="Arial"/>
          <w:color w:val="007586"/>
        </w:rPr>
        <w:t>Type of medications involved in sentinel events</w:t>
      </w:r>
      <w:r>
        <w:rPr>
          <w:rStyle w:val="eop"/>
          <w:rFonts w:ascii="Arial" w:hAnsi="Arial" w:cs="Arial"/>
          <w:color w:val="007586"/>
        </w:rPr>
        <w:t> </w:t>
      </w:r>
    </w:p>
    <w:p w14:paraId="0108BD88" w14:textId="77777777" w:rsidR="002C12FF" w:rsidRDefault="4FA6AD83" w:rsidP="0098665E">
      <w:pPr>
        <w:pStyle w:val="SCVbullet1"/>
      </w:pPr>
      <w:r w:rsidRPr="509B18F9">
        <w:rPr>
          <w:rStyle w:val="normaltextrun"/>
          <w:rFonts w:ascii="Arial" w:hAnsi="Arial" w:cs="Arial"/>
        </w:rPr>
        <w:t xml:space="preserve">Heparin and other anticoagulants: </w:t>
      </w:r>
      <w:r w:rsidRPr="509B18F9">
        <w:rPr>
          <w:rStyle w:val="normaltextrun"/>
          <w:rFonts w:ascii="Arial" w:hAnsi="Arial" w:cs="Arial"/>
          <w:b/>
          <w:bCs/>
        </w:rPr>
        <w:t>6 (40%)</w:t>
      </w:r>
      <w:r w:rsidRPr="509B18F9">
        <w:rPr>
          <w:rStyle w:val="eop"/>
          <w:rFonts w:ascii="Arial" w:hAnsi="Arial" w:cs="Arial"/>
          <w:b/>
          <w:bCs/>
        </w:rPr>
        <w:t> </w:t>
      </w:r>
    </w:p>
    <w:p w14:paraId="475BBFE8" w14:textId="77777777" w:rsidR="002C12FF" w:rsidRDefault="4FA6AD83" w:rsidP="0098665E">
      <w:pPr>
        <w:pStyle w:val="SCVbullet1"/>
      </w:pPr>
      <w:r w:rsidRPr="509B18F9">
        <w:rPr>
          <w:rStyle w:val="normaltextrun"/>
          <w:rFonts w:ascii="Arial" w:hAnsi="Arial" w:cs="Arial"/>
        </w:rPr>
        <w:t xml:space="preserve">Sedatives including narcotics: </w:t>
      </w:r>
      <w:r w:rsidRPr="509B18F9">
        <w:rPr>
          <w:rStyle w:val="normaltextrun"/>
          <w:rFonts w:ascii="Arial" w:hAnsi="Arial" w:cs="Arial"/>
          <w:b/>
          <w:bCs/>
        </w:rPr>
        <w:t>5 (33%)</w:t>
      </w:r>
      <w:r w:rsidRPr="509B18F9">
        <w:rPr>
          <w:rStyle w:val="eop"/>
          <w:rFonts w:ascii="Arial" w:hAnsi="Arial" w:cs="Arial"/>
        </w:rPr>
        <w:t> </w:t>
      </w:r>
    </w:p>
    <w:p w14:paraId="25DDF549" w14:textId="16EBEB5D" w:rsidR="002C12FF" w:rsidRDefault="4FA6AD83" w:rsidP="0098665E">
      <w:pPr>
        <w:pStyle w:val="SCVbullet1"/>
      </w:pPr>
      <w:r>
        <w:rPr>
          <w:rStyle w:val="normaltextrun"/>
          <w:rFonts w:ascii="Arial" w:hAnsi="Arial" w:cs="Arial"/>
        </w:rPr>
        <w:t>Non-APINCH</w:t>
      </w:r>
      <w:r w:rsidR="00E217D6">
        <w:rPr>
          <w:rStyle w:val="FootnoteReference"/>
          <w:rFonts w:ascii="Arial" w:hAnsi="Arial" w:cs="Arial"/>
        </w:rPr>
        <w:footnoteReference w:id="5"/>
      </w:r>
      <w:r>
        <w:rPr>
          <w:rStyle w:val="normaltextrun"/>
          <w:rFonts w:ascii="Arial" w:hAnsi="Arial" w:cs="Arial"/>
        </w:rPr>
        <w:t xml:space="preserve"> medication: </w:t>
      </w:r>
      <w:r w:rsidRPr="1D8ABA5E">
        <w:rPr>
          <w:rStyle w:val="normaltextrun"/>
          <w:rFonts w:ascii="Arial" w:hAnsi="Arial" w:cs="Arial"/>
          <w:b/>
          <w:bCs/>
        </w:rPr>
        <w:t>3 (20%)</w:t>
      </w:r>
      <w:r w:rsidRPr="1D8ABA5E">
        <w:rPr>
          <w:rStyle w:val="eop"/>
          <w:rFonts w:ascii="Arial" w:hAnsi="Arial" w:cs="Arial"/>
          <w:b/>
          <w:bCs/>
        </w:rPr>
        <w:t> </w:t>
      </w:r>
    </w:p>
    <w:p w14:paraId="4F17B3D5" w14:textId="77777777" w:rsidR="002C12FF" w:rsidRDefault="4FA6AD83" w:rsidP="1D8ABA5E">
      <w:pPr>
        <w:pStyle w:val="SCVbullet1"/>
        <w:rPr>
          <w:rStyle w:val="eop"/>
          <w:rFonts w:ascii="Arial" w:hAnsi="Arial" w:cs="Arial"/>
          <w:b/>
          <w:bCs/>
        </w:rPr>
      </w:pPr>
      <w:r w:rsidRPr="509B18F9">
        <w:rPr>
          <w:rStyle w:val="normaltextrun"/>
          <w:rFonts w:ascii="Arial" w:hAnsi="Arial" w:cs="Arial"/>
        </w:rPr>
        <w:t xml:space="preserve">Anti-infective: </w:t>
      </w:r>
      <w:r w:rsidRPr="509B18F9">
        <w:rPr>
          <w:rStyle w:val="normaltextrun"/>
          <w:rFonts w:ascii="Arial" w:hAnsi="Arial" w:cs="Arial"/>
          <w:b/>
          <w:bCs/>
        </w:rPr>
        <w:t>1 (7%)</w:t>
      </w:r>
      <w:r w:rsidRPr="509B18F9">
        <w:rPr>
          <w:rStyle w:val="eop"/>
          <w:rFonts w:ascii="Arial" w:hAnsi="Arial" w:cs="Arial"/>
          <w:b/>
          <w:bCs/>
        </w:rPr>
        <w:t> </w:t>
      </w:r>
    </w:p>
    <w:p w14:paraId="5B5AC2B3" w14:textId="77777777" w:rsidR="002C12FF" w:rsidRDefault="002C12FF" w:rsidP="003D76A5">
      <w:pPr>
        <w:pStyle w:val="Heading3"/>
        <w:rPr>
          <w:rFonts w:ascii="Segoe UI" w:hAnsi="Segoe UI" w:cs="Segoe UI"/>
          <w:sz w:val="18"/>
          <w:szCs w:val="18"/>
        </w:rPr>
      </w:pPr>
      <w:r>
        <w:rPr>
          <w:rStyle w:val="normaltextrun"/>
          <w:rFonts w:ascii="Arial" w:hAnsi="Arial" w:cs="Arial"/>
          <w:color w:val="007586"/>
        </w:rPr>
        <w:t>Type of medication chart used</w:t>
      </w:r>
      <w:r>
        <w:rPr>
          <w:rStyle w:val="eop"/>
          <w:rFonts w:ascii="Arial" w:hAnsi="Arial" w:cs="Arial"/>
          <w:color w:val="007586"/>
        </w:rPr>
        <w:t> </w:t>
      </w:r>
    </w:p>
    <w:p w14:paraId="43EC4271" w14:textId="77777777" w:rsidR="002C12FF" w:rsidRDefault="4FA6AD83" w:rsidP="0098665E">
      <w:pPr>
        <w:pStyle w:val="SCVbullet1"/>
      </w:pPr>
      <w:r w:rsidRPr="509B18F9">
        <w:rPr>
          <w:rStyle w:val="normaltextrun"/>
          <w:rFonts w:ascii="Arial" w:hAnsi="Arial" w:cs="Arial"/>
        </w:rPr>
        <w:t xml:space="preserve">Electronic medical record: </w:t>
      </w:r>
      <w:r w:rsidRPr="509B18F9">
        <w:rPr>
          <w:rStyle w:val="normaltextrun"/>
          <w:rFonts w:ascii="Arial" w:hAnsi="Arial" w:cs="Arial"/>
          <w:b/>
          <w:bCs/>
        </w:rPr>
        <w:t>5</w:t>
      </w:r>
      <w:r w:rsidRPr="509B18F9">
        <w:rPr>
          <w:rStyle w:val="eop"/>
          <w:rFonts w:ascii="Arial" w:hAnsi="Arial" w:cs="Arial"/>
        </w:rPr>
        <w:t> </w:t>
      </w:r>
    </w:p>
    <w:p w14:paraId="59BDB4BA" w14:textId="77777777" w:rsidR="002C12FF" w:rsidRDefault="4FA6AD83" w:rsidP="0098665E">
      <w:pPr>
        <w:pStyle w:val="SCVbullet1"/>
      </w:pPr>
      <w:r w:rsidRPr="509B18F9">
        <w:rPr>
          <w:rStyle w:val="normaltextrun"/>
          <w:rFonts w:ascii="Arial" w:hAnsi="Arial" w:cs="Arial"/>
        </w:rPr>
        <w:t xml:space="preserve">Paper: </w:t>
      </w:r>
      <w:r w:rsidRPr="509B18F9">
        <w:rPr>
          <w:rStyle w:val="normaltextrun"/>
          <w:rFonts w:ascii="Arial" w:hAnsi="Arial" w:cs="Arial"/>
          <w:b/>
          <w:bCs/>
        </w:rPr>
        <w:t>7</w:t>
      </w:r>
      <w:r w:rsidRPr="509B18F9">
        <w:rPr>
          <w:rStyle w:val="eop"/>
          <w:rFonts w:ascii="Arial" w:hAnsi="Arial" w:cs="Arial"/>
        </w:rPr>
        <w:t> </w:t>
      </w:r>
    </w:p>
    <w:p w14:paraId="5DCB2EF1" w14:textId="77777777" w:rsidR="002C12FF" w:rsidRDefault="4FA6AD83" w:rsidP="1D8ABA5E">
      <w:pPr>
        <w:pStyle w:val="SCVbullet1"/>
        <w:rPr>
          <w:rStyle w:val="eop"/>
          <w:rFonts w:ascii="Arial" w:hAnsi="Arial" w:cs="Arial"/>
          <w:b/>
          <w:bCs/>
        </w:rPr>
      </w:pPr>
      <w:r w:rsidRPr="509B18F9">
        <w:rPr>
          <w:rStyle w:val="normaltextrun"/>
          <w:rFonts w:ascii="Arial" w:hAnsi="Arial" w:cs="Arial"/>
        </w:rPr>
        <w:t xml:space="preserve">Not described: </w:t>
      </w:r>
      <w:r w:rsidRPr="509B18F9">
        <w:rPr>
          <w:rStyle w:val="normaltextrun"/>
          <w:rFonts w:ascii="Arial" w:hAnsi="Arial" w:cs="Arial"/>
          <w:b/>
          <w:bCs/>
        </w:rPr>
        <w:t>3</w:t>
      </w:r>
      <w:r w:rsidRPr="509B18F9">
        <w:rPr>
          <w:rStyle w:val="eop"/>
          <w:rFonts w:ascii="Arial" w:hAnsi="Arial" w:cs="Arial"/>
          <w:b/>
          <w:bCs/>
        </w:rPr>
        <w:t> </w:t>
      </w:r>
    </w:p>
    <w:p w14:paraId="2743B6D7" w14:textId="43665CCF" w:rsidR="00300924" w:rsidRPr="001E2446" w:rsidRDefault="00300924" w:rsidP="003D76A5">
      <w:pPr>
        <w:pStyle w:val="Heading3"/>
        <w:rPr>
          <w:color w:val="auto"/>
        </w:rPr>
      </w:pPr>
      <w:r w:rsidRPr="001E2446">
        <w:rPr>
          <w:color w:val="auto"/>
        </w:rPr>
        <w:t>Key themes</w:t>
      </w:r>
    </w:p>
    <w:p w14:paraId="12F3E37E" w14:textId="63EE9920" w:rsidR="00965DE8" w:rsidRDefault="455EE108" w:rsidP="00112146">
      <w:pPr>
        <w:pStyle w:val="SCVbody"/>
      </w:pPr>
      <w:r>
        <w:t xml:space="preserve">Anticoagulants, or the lack of anticoagulants causing a thrombotic event, continue to be the leading medication related to sentinel events, with </w:t>
      </w:r>
      <w:r w:rsidR="212101F6">
        <w:t>six</w:t>
      </w:r>
      <w:r>
        <w:t xml:space="preserve"> cases reported in 2024–25. Anticoagulants contribute to sentinel events in </w:t>
      </w:r>
      <w:r w:rsidR="43B76EC9">
        <w:t>two</w:t>
      </w:r>
      <w:r>
        <w:t xml:space="preserve"> main ways: </w:t>
      </w:r>
    </w:p>
    <w:p w14:paraId="59453811" w14:textId="77777777" w:rsidR="00965DE8" w:rsidRDefault="00AB12C4" w:rsidP="00965DE8">
      <w:pPr>
        <w:pStyle w:val="SCVbullet1"/>
      </w:pPr>
      <w:r w:rsidRPr="00AB12C4">
        <w:t>where levels are too high and result in haemorrhage</w:t>
      </w:r>
    </w:p>
    <w:p w14:paraId="40872164" w14:textId="6F645F42" w:rsidR="00965DE8" w:rsidRDefault="00AB12C4" w:rsidP="00FE5178">
      <w:pPr>
        <w:pStyle w:val="SCVbullet1"/>
      </w:pPr>
      <w:r w:rsidRPr="00AB12C4">
        <w:lastRenderedPageBreak/>
        <w:t>where an anticoagulant has been omitted,</w:t>
      </w:r>
      <w:r w:rsidRPr="00AB12C4" w:rsidDel="00714998">
        <w:t xml:space="preserve"> </w:t>
      </w:r>
      <w:r w:rsidRPr="00AB12C4">
        <w:t>delayed or incorrectly prescribed, leading to a thrombotic event.</w:t>
      </w:r>
      <w:r w:rsidR="00E81335">
        <w:t xml:space="preserve"> </w:t>
      </w:r>
    </w:p>
    <w:p w14:paraId="0DCDCE6E" w14:textId="2E0A23AE" w:rsidR="00965DE8" w:rsidRDefault="0A4DE071" w:rsidP="00965DE8">
      <w:pPr>
        <w:pStyle w:val="SCVbodyafterheading"/>
      </w:pPr>
      <w:r>
        <w:t>Acute venous thromboembolism (VTE) is the third most common cardiovascular disease after stroke and myocardial infarction. Pulmonary embolism (PE)</w:t>
      </w:r>
      <w:r w:rsidR="1F9A0671">
        <w:t xml:space="preserve"> is</w:t>
      </w:r>
      <w:r>
        <w:t xml:space="preserve"> the most critical manifestation of VTE, requir</w:t>
      </w:r>
      <w:r w:rsidR="1F9A0671">
        <w:t>ing</w:t>
      </w:r>
      <w:r>
        <w:t xml:space="preserve"> timely diagnosis and treatment to prevent morbidity and mortality.</w:t>
      </w:r>
    </w:p>
    <w:p w14:paraId="653463B5" w14:textId="51C98AFC" w:rsidR="00965DE8" w:rsidRDefault="0A4DE071" w:rsidP="00965DE8">
      <w:pPr>
        <w:pStyle w:val="SCVbodyafterheading"/>
      </w:pPr>
      <w:r>
        <w:t xml:space="preserve">In the 2024–25 sentinel event notifications, there were </w:t>
      </w:r>
      <w:r w:rsidR="7D1A8DA3">
        <w:t>five</w:t>
      </w:r>
      <w:r w:rsidR="1F9A0671">
        <w:t xml:space="preserve"> </w:t>
      </w:r>
      <w:r>
        <w:t>cases related to PE</w:t>
      </w:r>
      <w:r w:rsidR="1F9A0671">
        <w:t>. These fell into</w:t>
      </w:r>
      <w:r>
        <w:t xml:space="preserve"> category 11 under the subcategories of</w:t>
      </w:r>
      <w:r w:rsidR="1F9A0671">
        <w:t>:</w:t>
      </w:r>
      <w:r>
        <w:t xml:space="preserve"> </w:t>
      </w:r>
    </w:p>
    <w:p w14:paraId="790848F3" w14:textId="27CE59E9" w:rsidR="00965DE8" w:rsidRDefault="00E81335" w:rsidP="00965DE8">
      <w:pPr>
        <w:pStyle w:val="SCVbullet1"/>
      </w:pPr>
      <w:r>
        <w:t xml:space="preserve">clinical process and procedure </w:t>
      </w:r>
    </w:p>
    <w:p w14:paraId="55DD0AF5" w14:textId="60500623" w:rsidR="00E81335" w:rsidRPr="00785D07" w:rsidRDefault="00E81335" w:rsidP="006A5F31">
      <w:pPr>
        <w:pStyle w:val="SCVbullet1"/>
      </w:pPr>
      <w:r>
        <w:t xml:space="preserve">deteriorating patient. </w:t>
      </w:r>
    </w:p>
    <w:p w14:paraId="696EDFDB" w14:textId="616CBC08" w:rsidR="009A0A39" w:rsidRPr="009A0A39" w:rsidRDefault="67E48B59" w:rsidP="006A5F31">
      <w:pPr>
        <w:pStyle w:val="SCVbodyafterheading"/>
      </w:pPr>
      <w:r w:rsidRPr="509B18F9">
        <w:rPr>
          <w:rFonts w:eastAsia="Times New Roman"/>
        </w:rPr>
        <w:t xml:space="preserve">Opioids and other sedatives were </w:t>
      </w:r>
      <w:r w:rsidR="0DD8E071" w:rsidRPr="509B18F9">
        <w:rPr>
          <w:rFonts w:eastAsia="Times New Roman"/>
        </w:rPr>
        <w:t xml:space="preserve">associated </w:t>
      </w:r>
      <w:r w:rsidRPr="509B18F9">
        <w:rPr>
          <w:rFonts w:eastAsia="Times New Roman"/>
        </w:rPr>
        <w:t xml:space="preserve">with </w:t>
      </w:r>
      <w:r w:rsidR="074F1AC8" w:rsidRPr="509B18F9">
        <w:rPr>
          <w:rFonts w:eastAsia="Times New Roman"/>
        </w:rPr>
        <w:t>five</w:t>
      </w:r>
      <w:r w:rsidRPr="509B18F9">
        <w:rPr>
          <w:rFonts w:eastAsia="Times New Roman"/>
        </w:rPr>
        <w:t xml:space="preserve"> </w:t>
      </w:r>
      <w:r w:rsidR="51D15612" w:rsidRPr="509B18F9">
        <w:rPr>
          <w:rFonts w:eastAsia="Times New Roman"/>
        </w:rPr>
        <w:t>sentinel eve</w:t>
      </w:r>
      <w:r w:rsidR="0DD8E071" w:rsidRPr="509B18F9">
        <w:rPr>
          <w:rFonts w:eastAsia="Times New Roman"/>
        </w:rPr>
        <w:t>nts</w:t>
      </w:r>
      <w:r w:rsidR="1F9A0671" w:rsidRPr="509B18F9">
        <w:rPr>
          <w:rFonts w:eastAsia="Times New Roman"/>
        </w:rPr>
        <w:t xml:space="preserve">, and </w:t>
      </w:r>
      <w:r w:rsidR="1F9A0671">
        <w:t>r</w:t>
      </w:r>
      <w:r w:rsidR="2B06D5EF">
        <w:t>eview panels identified several key findings from the</w:t>
      </w:r>
      <w:r w:rsidR="56ABCB5F">
        <w:t xml:space="preserve">se. </w:t>
      </w:r>
      <w:r w:rsidR="2B06D5EF">
        <w:t>One was the heightened risk associated with methadone use for any indication when combined with other sedatives, highlighting the need for improved clinician awareness around its use. Another was the lack of clear requirements for monitoring patients receiving combined opioids and sedatives, particularly those who are medication naïve, have sleep apnoea or have other respiratory comorbidities.</w:t>
      </w:r>
    </w:p>
    <w:p w14:paraId="737D1EAB" w14:textId="156AB14B" w:rsidR="009A0A39" w:rsidRPr="00AB12C4" w:rsidRDefault="00CA4F7B" w:rsidP="00722B1E">
      <w:pPr>
        <w:pStyle w:val="SCVbody"/>
      </w:pPr>
      <w:r w:rsidRPr="00CA4F7B">
        <w:t>For non-APINCH medications, these sentinel events occurred where a wrong medication was given to a patient, be it through a wrong route,</w:t>
      </w:r>
      <w:r w:rsidRPr="00CA4F7B" w:rsidDel="004976E9">
        <w:t xml:space="preserve"> </w:t>
      </w:r>
      <w:r w:rsidRPr="00CA4F7B">
        <w:t>to the wrong patient or where a patient was allergic to the medication. These events show the importance of always following the ‘7 rights of medication administration’, namely</w:t>
      </w:r>
      <w:r w:rsidR="00722B1E">
        <w:t xml:space="preserve"> </w:t>
      </w:r>
      <w:r w:rsidRPr="00CA4F7B">
        <w:t>right patient</w:t>
      </w:r>
      <w:r w:rsidR="00722B1E">
        <w:t>,</w:t>
      </w:r>
      <w:r w:rsidRPr="00CA4F7B">
        <w:t xml:space="preserve"> drug</w:t>
      </w:r>
      <w:r w:rsidR="00722B1E">
        <w:t>,</w:t>
      </w:r>
      <w:r w:rsidRPr="00CA4F7B">
        <w:t xml:space="preserve"> dose</w:t>
      </w:r>
      <w:r w:rsidR="00722B1E">
        <w:t>,</w:t>
      </w:r>
      <w:r w:rsidRPr="00CA4F7B">
        <w:t xml:space="preserve"> route</w:t>
      </w:r>
      <w:r w:rsidR="00722B1E">
        <w:t>,</w:t>
      </w:r>
      <w:r w:rsidRPr="00CA4F7B">
        <w:t xml:space="preserve"> time</w:t>
      </w:r>
      <w:r w:rsidR="00722B1E">
        <w:t>,</w:t>
      </w:r>
      <w:r w:rsidRPr="00CA4F7B">
        <w:t xml:space="preserve"> documentation</w:t>
      </w:r>
      <w:r w:rsidR="00722B1E">
        <w:t xml:space="preserve"> and</w:t>
      </w:r>
      <w:r w:rsidRPr="00CA4F7B">
        <w:t xml:space="preserve"> reason.</w:t>
      </w:r>
    </w:p>
    <w:p w14:paraId="2FF2FDC7" w14:textId="5013EBA3" w:rsidR="008E76F6" w:rsidRPr="001E2446" w:rsidRDefault="008E76F6" w:rsidP="008E76F6">
      <w:pPr>
        <w:pStyle w:val="Heading3"/>
        <w:spacing w:before="160" w:after="0" w:line="276" w:lineRule="auto"/>
        <w:rPr>
          <w:color w:val="004C97" w:themeColor="accent4"/>
          <w:bdr w:val="none" w:sz="0" w:space="0" w:color="auto" w:frame="1"/>
          <w:shd w:val="clear" w:color="auto" w:fill="C6C6C6"/>
        </w:rPr>
      </w:pPr>
      <w:r w:rsidRPr="001E2446">
        <w:rPr>
          <w:color w:val="004C97" w:themeColor="accent4"/>
        </w:rPr>
        <w:t>Review process and lessons learnt</w:t>
      </w:r>
    </w:p>
    <w:p w14:paraId="17FE870C" w14:textId="39A203D5" w:rsidR="008E76F6" w:rsidRDefault="6A3DD99F" w:rsidP="0098665E">
      <w:pPr>
        <w:pStyle w:val="SCVbody"/>
      </w:pPr>
      <w:r>
        <w:t>H</w:t>
      </w:r>
      <w:r w:rsidR="1923D902">
        <w:t>ealth service</w:t>
      </w:r>
      <w:r>
        <w:t xml:space="preserve"> sentinel event panels</w:t>
      </w:r>
      <w:r w:rsidR="1923D902">
        <w:t xml:space="preserve"> review these events using either the London Protocol or root cause analysis methodology (RCA/RCA2). Of the 15 reviews, 11 (73%) used RCA/RCA</w:t>
      </w:r>
      <w:r>
        <w:t>2</w:t>
      </w:r>
      <w:r w:rsidR="10C553D9">
        <w:t>,</w:t>
      </w:r>
      <w:r w:rsidR="1923D902">
        <w:t xml:space="preserve"> while </w:t>
      </w:r>
      <w:r w:rsidR="199B376E">
        <w:t>four</w:t>
      </w:r>
      <w:r w:rsidR="1923D902">
        <w:t xml:space="preserve"> (27%) used the London Protocol.</w:t>
      </w:r>
    </w:p>
    <w:p w14:paraId="791493FF" w14:textId="7774CB3F" w:rsidR="00E36143" w:rsidRPr="0002145B" w:rsidRDefault="68E6030E" w:rsidP="0098665E">
      <w:pPr>
        <w:pStyle w:val="SCVbody"/>
        <w:rPr>
          <w:color w:val="D13438"/>
          <w:bdr w:val="none" w:sz="0" w:space="0" w:color="auto" w:frame="1"/>
          <w:shd w:val="clear" w:color="auto" w:fill="C6C6C6"/>
        </w:rPr>
      </w:pPr>
      <w:r>
        <w:t xml:space="preserve">Table </w:t>
      </w:r>
      <w:r w:rsidR="453A0A95">
        <w:t>10</w:t>
      </w:r>
      <w:r>
        <w:t xml:space="preserve"> lists the top </w:t>
      </w:r>
      <w:r w:rsidR="00040801">
        <w:t>six</w:t>
      </w:r>
      <w:r>
        <w:t xml:space="preserve"> lessons learnt from medication error events.</w:t>
      </w:r>
    </w:p>
    <w:p w14:paraId="1379FB21" w14:textId="46E4C16D" w:rsidR="008E76F6" w:rsidRPr="004972D9" w:rsidRDefault="15D5BAD3" w:rsidP="57EA0190">
      <w:pPr>
        <w:pStyle w:val="SCVtablecaption"/>
        <w:rPr>
          <w:rFonts w:ascii="Arial" w:hAnsi="Arial" w:cs="Arial"/>
        </w:rPr>
      </w:pPr>
      <w:r w:rsidRPr="509B18F9">
        <w:rPr>
          <w:rFonts w:ascii="Arial" w:hAnsi="Arial" w:cs="Arial"/>
        </w:rPr>
        <w:t xml:space="preserve">Table </w:t>
      </w:r>
      <w:r w:rsidR="45EFA52C" w:rsidRPr="509B18F9">
        <w:rPr>
          <w:rFonts w:ascii="Arial" w:hAnsi="Arial" w:cs="Arial"/>
        </w:rPr>
        <w:t>10</w:t>
      </w:r>
      <w:r w:rsidRPr="509B18F9">
        <w:rPr>
          <w:rFonts w:ascii="Arial" w:hAnsi="Arial" w:cs="Arial"/>
        </w:rPr>
        <w:t xml:space="preserve">: </w:t>
      </w:r>
      <w:r>
        <w:t xml:space="preserve">Top </w:t>
      </w:r>
      <w:r w:rsidR="4C0AC114">
        <w:t>six</w:t>
      </w:r>
      <w:r>
        <w:t xml:space="preserve"> </w:t>
      </w:r>
      <w:r w:rsidR="14C48FED">
        <w:t>causes identified</w:t>
      </w:r>
      <w:r>
        <w:t xml:space="preserve"> f</w:t>
      </w:r>
      <w:r w:rsidR="68E6030E">
        <w:t>rom</w:t>
      </w:r>
      <w:r>
        <w:t xml:space="preserve"> medication error events, 2024–25</w:t>
      </w:r>
    </w:p>
    <w:tbl>
      <w:tblPr>
        <w:tblStyle w:val="TableGrid"/>
        <w:tblW w:w="10092" w:type="dxa"/>
        <w:tblLook w:val="04A0" w:firstRow="1" w:lastRow="0" w:firstColumn="1" w:lastColumn="0" w:noHBand="0" w:noVBand="1"/>
      </w:tblPr>
      <w:tblGrid>
        <w:gridCol w:w="6917"/>
        <w:gridCol w:w="3175"/>
      </w:tblGrid>
      <w:tr w:rsidR="008E76F6" w:rsidRPr="001947FB" w14:paraId="5D93DB12" w14:textId="77777777" w:rsidTr="00070865">
        <w:trPr>
          <w:cnfStyle w:val="100000000000" w:firstRow="1" w:lastRow="0" w:firstColumn="0" w:lastColumn="0" w:oddVBand="0" w:evenVBand="0" w:oddHBand="0" w:evenHBand="0" w:firstRowFirstColumn="0" w:firstRowLastColumn="0" w:lastRowFirstColumn="0" w:lastRowLastColumn="0"/>
          <w:trHeight w:val="300"/>
        </w:trPr>
        <w:tc>
          <w:tcPr>
            <w:tcW w:w="6917" w:type="dxa"/>
            <w:vAlign w:val="center"/>
          </w:tcPr>
          <w:p w14:paraId="49A3CF25" w14:textId="44D3EA1B" w:rsidR="008E76F6" w:rsidRPr="001947FB" w:rsidRDefault="00267384">
            <w:pPr>
              <w:pStyle w:val="SCVtablecolhead"/>
              <w:rPr>
                <w:sz w:val="24"/>
                <w:szCs w:val="20"/>
              </w:rPr>
            </w:pPr>
            <w:r w:rsidRPr="001947FB">
              <w:rPr>
                <w:sz w:val="24"/>
                <w:szCs w:val="20"/>
              </w:rPr>
              <w:t>L</w:t>
            </w:r>
            <w:r w:rsidR="1923D902" w:rsidRPr="001947FB">
              <w:rPr>
                <w:sz w:val="24"/>
                <w:szCs w:val="20"/>
              </w:rPr>
              <w:t>esson learnt</w:t>
            </w:r>
          </w:p>
        </w:tc>
        <w:tc>
          <w:tcPr>
            <w:tcW w:w="3175" w:type="dxa"/>
            <w:vAlign w:val="center"/>
          </w:tcPr>
          <w:p w14:paraId="2C4E9416" w14:textId="3E11FA2C" w:rsidR="008E76F6" w:rsidRPr="001947FB" w:rsidRDefault="034A5319" w:rsidP="00DB6A5E">
            <w:pPr>
              <w:pStyle w:val="SCVtablecolhead"/>
              <w:jc w:val="right"/>
              <w:rPr>
                <w:sz w:val="24"/>
                <w:szCs w:val="20"/>
              </w:rPr>
            </w:pPr>
            <w:r w:rsidRPr="001947FB">
              <w:rPr>
                <w:sz w:val="24"/>
                <w:szCs w:val="20"/>
              </w:rPr>
              <w:t>Percentage (</w:t>
            </w:r>
            <w:r w:rsidR="534CC185" w:rsidRPr="001947FB">
              <w:rPr>
                <w:sz w:val="24"/>
                <w:szCs w:val="20"/>
              </w:rPr>
              <w:t>%</w:t>
            </w:r>
            <w:r w:rsidR="1F1FA4F4" w:rsidRPr="001947FB">
              <w:rPr>
                <w:sz w:val="24"/>
                <w:szCs w:val="20"/>
              </w:rPr>
              <w:t>)</w:t>
            </w:r>
          </w:p>
        </w:tc>
      </w:tr>
      <w:tr w:rsidR="008E76F6" w:rsidRPr="001947FB" w14:paraId="65947CD0" w14:textId="77777777" w:rsidTr="00070865">
        <w:trPr>
          <w:trHeight w:val="300"/>
        </w:trPr>
        <w:tc>
          <w:tcPr>
            <w:tcW w:w="6917" w:type="dxa"/>
            <w:vAlign w:val="center"/>
          </w:tcPr>
          <w:p w14:paraId="0C481B88" w14:textId="77777777" w:rsidR="008E76F6" w:rsidRPr="00DB6A5E" w:rsidRDefault="008E76F6">
            <w:pPr>
              <w:pStyle w:val="SCVtablebody"/>
              <w:rPr>
                <w:b/>
                <w:bCs/>
                <w:color w:val="007586" w:themeColor="text2"/>
                <w:sz w:val="24"/>
                <w:szCs w:val="20"/>
              </w:rPr>
            </w:pPr>
            <w:r w:rsidRPr="00DB6A5E">
              <w:rPr>
                <w:b/>
                <w:bCs/>
                <w:color w:val="007586" w:themeColor="text2"/>
                <w:sz w:val="24"/>
                <w:szCs w:val="20"/>
              </w:rPr>
              <w:t xml:space="preserve">Procedures and guidelines </w:t>
            </w:r>
          </w:p>
        </w:tc>
        <w:tc>
          <w:tcPr>
            <w:tcW w:w="3175" w:type="dxa"/>
            <w:vAlign w:val="center"/>
          </w:tcPr>
          <w:p w14:paraId="4554E9A7" w14:textId="77777777" w:rsidR="008E76F6" w:rsidRPr="001947FB" w:rsidRDefault="008E76F6" w:rsidP="00DB6A5E">
            <w:pPr>
              <w:pStyle w:val="SCVtablebody"/>
              <w:jc w:val="right"/>
              <w:rPr>
                <w:sz w:val="24"/>
                <w:szCs w:val="20"/>
              </w:rPr>
            </w:pPr>
            <w:r w:rsidRPr="001947FB">
              <w:rPr>
                <w:sz w:val="24"/>
                <w:szCs w:val="20"/>
              </w:rPr>
              <w:t>19</w:t>
            </w:r>
          </w:p>
        </w:tc>
      </w:tr>
      <w:tr w:rsidR="008E76F6" w:rsidRPr="001947FB" w14:paraId="7DF30F9D" w14:textId="77777777" w:rsidTr="00070865">
        <w:trPr>
          <w:trHeight w:val="300"/>
        </w:trPr>
        <w:tc>
          <w:tcPr>
            <w:tcW w:w="6917" w:type="dxa"/>
            <w:vAlign w:val="center"/>
          </w:tcPr>
          <w:p w14:paraId="0C852CE7" w14:textId="30CF2258" w:rsidR="008E76F6" w:rsidRPr="00DB6A5E" w:rsidRDefault="15D5BAD3">
            <w:pPr>
              <w:pStyle w:val="SCVtablebody"/>
              <w:rPr>
                <w:b/>
                <w:bCs/>
                <w:color w:val="007586" w:themeColor="text2"/>
                <w:sz w:val="24"/>
                <w:szCs w:val="20"/>
              </w:rPr>
            </w:pPr>
            <w:r w:rsidRPr="00DB6A5E">
              <w:rPr>
                <w:b/>
                <w:bCs/>
                <w:color w:val="007586" w:themeColor="text2"/>
                <w:sz w:val="24"/>
                <w:szCs w:val="20"/>
              </w:rPr>
              <w:t>Documentation, assessment and decision</w:t>
            </w:r>
            <w:r w:rsidR="37C257C6" w:rsidRPr="00DB6A5E">
              <w:rPr>
                <w:b/>
                <w:bCs/>
                <w:color w:val="007586" w:themeColor="text2"/>
                <w:sz w:val="24"/>
                <w:szCs w:val="20"/>
              </w:rPr>
              <w:t xml:space="preserve"> </w:t>
            </w:r>
            <w:r w:rsidRPr="00DB6A5E">
              <w:rPr>
                <w:b/>
                <w:bCs/>
                <w:color w:val="007586" w:themeColor="text2"/>
                <w:sz w:val="24"/>
                <w:szCs w:val="20"/>
              </w:rPr>
              <w:t>support</w:t>
            </w:r>
          </w:p>
        </w:tc>
        <w:tc>
          <w:tcPr>
            <w:tcW w:w="3175" w:type="dxa"/>
            <w:vAlign w:val="center"/>
          </w:tcPr>
          <w:p w14:paraId="6C185EA0" w14:textId="77777777" w:rsidR="008E76F6" w:rsidRPr="001947FB" w:rsidRDefault="008E76F6" w:rsidP="00DB6A5E">
            <w:pPr>
              <w:pStyle w:val="SCVtablebody"/>
              <w:jc w:val="right"/>
              <w:rPr>
                <w:sz w:val="24"/>
                <w:szCs w:val="20"/>
              </w:rPr>
            </w:pPr>
            <w:r w:rsidRPr="001947FB">
              <w:rPr>
                <w:sz w:val="24"/>
                <w:szCs w:val="20"/>
              </w:rPr>
              <w:t>19</w:t>
            </w:r>
          </w:p>
        </w:tc>
      </w:tr>
      <w:tr w:rsidR="008E76F6" w:rsidRPr="001947FB" w14:paraId="72F37FF7" w14:textId="77777777" w:rsidTr="00070865">
        <w:trPr>
          <w:trHeight w:val="300"/>
        </w:trPr>
        <w:tc>
          <w:tcPr>
            <w:tcW w:w="6917" w:type="dxa"/>
            <w:vAlign w:val="center"/>
          </w:tcPr>
          <w:p w14:paraId="70AB0506" w14:textId="77777777" w:rsidR="008E76F6" w:rsidRPr="00DB6A5E" w:rsidRDefault="008E76F6">
            <w:pPr>
              <w:pStyle w:val="SCVtablebody"/>
              <w:rPr>
                <w:b/>
                <w:bCs/>
                <w:color w:val="007586" w:themeColor="text2"/>
                <w:sz w:val="24"/>
                <w:szCs w:val="20"/>
              </w:rPr>
            </w:pPr>
            <w:r w:rsidRPr="00DB6A5E">
              <w:rPr>
                <w:b/>
                <w:bCs/>
                <w:color w:val="007586" w:themeColor="text2"/>
                <w:sz w:val="24"/>
                <w:szCs w:val="20"/>
              </w:rPr>
              <w:t>Teamwork factors</w:t>
            </w:r>
          </w:p>
        </w:tc>
        <w:tc>
          <w:tcPr>
            <w:tcW w:w="3175" w:type="dxa"/>
            <w:vAlign w:val="center"/>
          </w:tcPr>
          <w:p w14:paraId="6BECB548" w14:textId="77777777" w:rsidR="008E76F6" w:rsidRPr="001947FB" w:rsidRDefault="008E76F6" w:rsidP="00DB6A5E">
            <w:pPr>
              <w:pStyle w:val="SCVtablebody"/>
              <w:jc w:val="right"/>
              <w:rPr>
                <w:sz w:val="24"/>
                <w:szCs w:val="20"/>
              </w:rPr>
            </w:pPr>
            <w:r w:rsidRPr="001947FB">
              <w:rPr>
                <w:sz w:val="24"/>
                <w:szCs w:val="20"/>
              </w:rPr>
              <w:t>13</w:t>
            </w:r>
          </w:p>
        </w:tc>
      </w:tr>
      <w:tr w:rsidR="008E76F6" w:rsidRPr="001947FB" w14:paraId="7F9C7F56" w14:textId="77777777" w:rsidTr="00070865">
        <w:trPr>
          <w:trHeight w:val="300"/>
        </w:trPr>
        <w:tc>
          <w:tcPr>
            <w:tcW w:w="6917" w:type="dxa"/>
            <w:vAlign w:val="center"/>
          </w:tcPr>
          <w:p w14:paraId="02812DD5" w14:textId="77777777" w:rsidR="008E76F6" w:rsidRPr="00DB6A5E" w:rsidRDefault="008E76F6">
            <w:pPr>
              <w:pStyle w:val="SCVtablebody"/>
              <w:rPr>
                <w:b/>
                <w:bCs/>
                <w:color w:val="007586" w:themeColor="text2"/>
                <w:sz w:val="24"/>
                <w:szCs w:val="20"/>
                <w:highlight w:val="yellow"/>
              </w:rPr>
            </w:pPr>
            <w:r w:rsidRPr="00DB6A5E">
              <w:rPr>
                <w:b/>
                <w:bCs/>
                <w:color w:val="007586" w:themeColor="text2"/>
                <w:sz w:val="24"/>
                <w:szCs w:val="20"/>
              </w:rPr>
              <w:t>Staff factors</w:t>
            </w:r>
          </w:p>
        </w:tc>
        <w:tc>
          <w:tcPr>
            <w:tcW w:w="3175" w:type="dxa"/>
            <w:vAlign w:val="center"/>
          </w:tcPr>
          <w:p w14:paraId="30C7E4AD" w14:textId="77777777" w:rsidR="008E76F6" w:rsidRPr="001947FB" w:rsidRDefault="008E76F6" w:rsidP="00DB6A5E">
            <w:pPr>
              <w:pStyle w:val="SCVtablebody"/>
              <w:jc w:val="right"/>
              <w:rPr>
                <w:sz w:val="24"/>
                <w:szCs w:val="20"/>
              </w:rPr>
            </w:pPr>
            <w:r w:rsidRPr="001947FB">
              <w:rPr>
                <w:sz w:val="24"/>
                <w:szCs w:val="20"/>
              </w:rPr>
              <w:t>12</w:t>
            </w:r>
          </w:p>
        </w:tc>
      </w:tr>
      <w:tr w:rsidR="008E76F6" w:rsidRPr="001947FB" w14:paraId="76C86375" w14:textId="77777777" w:rsidTr="00070865">
        <w:trPr>
          <w:trHeight w:val="397"/>
        </w:trPr>
        <w:tc>
          <w:tcPr>
            <w:tcW w:w="6917" w:type="dxa"/>
            <w:vAlign w:val="center"/>
          </w:tcPr>
          <w:p w14:paraId="31CE09D1" w14:textId="77777777" w:rsidR="008E76F6" w:rsidRPr="00DB6A5E" w:rsidRDefault="008E76F6">
            <w:pPr>
              <w:pStyle w:val="SCVtablebody"/>
              <w:rPr>
                <w:b/>
                <w:bCs/>
                <w:color w:val="007586" w:themeColor="text2"/>
                <w:sz w:val="24"/>
                <w:szCs w:val="20"/>
                <w:highlight w:val="yellow"/>
              </w:rPr>
            </w:pPr>
            <w:r w:rsidRPr="00DB6A5E">
              <w:rPr>
                <w:b/>
                <w:bCs/>
                <w:color w:val="007586" w:themeColor="text2"/>
                <w:sz w:val="24"/>
                <w:szCs w:val="20"/>
              </w:rPr>
              <w:lastRenderedPageBreak/>
              <w:t>Organisation and management factors</w:t>
            </w:r>
          </w:p>
        </w:tc>
        <w:tc>
          <w:tcPr>
            <w:tcW w:w="3175" w:type="dxa"/>
            <w:vAlign w:val="center"/>
          </w:tcPr>
          <w:p w14:paraId="485B6F44" w14:textId="77777777" w:rsidR="008E76F6" w:rsidRPr="001947FB" w:rsidRDefault="008E76F6" w:rsidP="00DB6A5E">
            <w:pPr>
              <w:pStyle w:val="SCVtablebody"/>
              <w:jc w:val="right"/>
              <w:rPr>
                <w:sz w:val="24"/>
                <w:szCs w:val="20"/>
              </w:rPr>
            </w:pPr>
            <w:r w:rsidRPr="001947FB">
              <w:rPr>
                <w:sz w:val="24"/>
                <w:szCs w:val="20"/>
              </w:rPr>
              <w:t>11</w:t>
            </w:r>
          </w:p>
        </w:tc>
      </w:tr>
      <w:tr w:rsidR="008E76F6" w:rsidRPr="001947FB" w14:paraId="534C4734" w14:textId="77777777" w:rsidTr="00070865">
        <w:trPr>
          <w:trHeight w:val="419"/>
        </w:trPr>
        <w:tc>
          <w:tcPr>
            <w:tcW w:w="6917" w:type="dxa"/>
            <w:vAlign w:val="center"/>
          </w:tcPr>
          <w:p w14:paraId="009C84F5" w14:textId="77777777" w:rsidR="008E76F6" w:rsidRPr="00DB6A5E" w:rsidRDefault="008E76F6">
            <w:pPr>
              <w:pStyle w:val="SCVtablebody"/>
              <w:rPr>
                <w:b/>
                <w:bCs/>
                <w:color w:val="007586" w:themeColor="text2"/>
                <w:sz w:val="24"/>
                <w:szCs w:val="20"/>
              </w:rPr>
            </w:pPr>
            <w:r w:rsidRPr="00DB6A5E">
              <w:rPr>
                <w:b/>
                <w:bCs/>
                <w:color w:val="007586" w:themeColor="text2"/>
                <w:sz w:val="24"/>
                <w:szCs w:val="20"/>
              </w:rPr>
              <w:t xml:space="preserve">Systems and processes </w:t>
            </w:r>
          </w:p>
        </w:tc>
        <w:tc>
          <w:tcPr>
            <w:tcW w:w="3175" w:type="dxa"/>
            <w:vAlign w:val="center"/>
          </w:tcPr>
          <w:p w14:paraId="0FA54B73" w14:textId="77777777" w:rsidR="008E76F6" w:rsidRPr="001947FB" w:rsidRDefault="008E76F6" w:rsidP="00DB6A5E">
            <w:pPr>
              <w:pStyle w:val="SCVtablebody"/>
              <w:jc w:val="right"/>
              <w:rPr>
                <w:sz w:val="24"/>
                <w:szCs w:val="20"/>
              </w:rPr>
            </w:pPr>
            <w:r w:rsidRPr="001947FB">
              <w:rPr>
                <w:sz w:val="24"/>
                <w:szCs w:val="20"/>
              </w:rPr>
              <w:t>11</w:t>
            </w:r>
          </w:p>
        </w:tc>
      </w:tr>
    </w:tbl>
    <w:p w14:paraId="6E144AA7" w14:textId="4D720AA2" w:rsidR="00B328D7" w:rsidRPr="0002145B" w:rsidRDefault="7EA369EE" w:rsidP="00B328D7">
      <w:pPr>
        <w:pStyle w:val="Heading3"/>
        <w:spacing w:before="160" w:after="0" w:line="276" w:lineRule="auto"/>
      </w:pPr>
      <w:r>
        <w:t xml:space="preserve">Comparison to </w:t>
      </w:r>
      <w:r w:rsidR="6A3DD99F">
        <w:t xml:space="preserve">analysis in </w:t>
      </w:r>
      <w:r>
        <w:t xml:space="preserve">previous </w:t>
      </w:r>
      <w:r w:rsidR="6A3DD99F">
        <w:t>years</w:t>
      </w:r>
    </w:p>
    <w:p w14:paraId="3A810F9F" w14:textId="5FA0031D" w:rsidR="00B328D7" w:rsidRPr="0002145B" w:rsidRDefault="4B2C23F7" w:rsidP="00B328D7">
      <w:pPr>
        <w:pStyle w:val="SCVbullet1"/>
      </w:pPr>
      <w:r>
        <w:t xml:space="preserve">The number of category 7 medication errors resulting in serious harm or death decreased this year to </w:t>
      </w:r>
      <w:r w:rsidRPr="509B18F9">
        <w:rPr>
          <w:b/>
          <w:bCs/>
        </w:rPr>
        <w:t>12 events</w:t>
      </w:r>
      <w:r>
        <w:t>, from 13 events in 2023–24 and 22 events in 2022–23.</w:t>
      </w:r>
    </w:p>
    <w:p w14:paraId="04412806" w14:textId="77777777" w:rsidR="00B328D7" w:rsidRPr="0002145B" w:rsidRDefault="29843141" w:rsidP="00B328D7">
      <w:pPr>
        <w:pStyle w:val="SCVbullet1"/>
      </w:pPr>
      <w:r w:rsidRPr="509B18F9">
        <w:rPr>
          <w:b/>
          <w:bCs/>
        </w:rPr>
        <w:t xml:space="preserve">Anticoagulants were the </w:t>
      </w:r>
      <w:proofErr w:type="gramStart"/>
      <w:r w:rsidRPr="509B18F9">
        <w:rPr>
          <w:b/>
          <w:bCs/>
        </w:rPr>
        <w:t>most commonly involved</w:t>
      </w:r>
      <w:proofErr w:type="gramEnd"/>
      <w:r>
        <w:t xml:space="preserve"> medications in sentinel events across both 2022–23 and 2024–25.</w:t>
      </w:r>
    </w:p>
    <w:p w14:paraId="52A918D0" w14:textId="50478407" w:rsidR="00B328D7" w:rsidRDefault="29843141" w:rsidP="00B328D7">
      <w:pPr>
        <w:pStyle w:val="SCVbullet1"/>
      </w:pPr>
      <w:r w:rsidRPr="509B18F9">
        <w:rPr>
          <w:b/>
          <w:bCs/>
        </w:rPr>
        <w:t>8</w:t>
      </w:r>
      <w:r w:rsidR="76F1B8EA" w:rsidRPr="509B18F9">
        <w:rPr>
          <w:b/>
          <w:bCs/>
        </w:rPr>
        <w:t>6</w:t>
      </w:r>
      <w:r w:rsidRPr="509B18F9">
        <w:rPr>
          <w:b/>
          <w:bCs/>
        </w:rPr>
        <w:t>%</w:t>
      </w:r>
      <w:r>
        <w:t xml:space="preserve"> of recommendations </w:t>
      </w:r>
      <w:r w:rsidR="5C27C102">
        <w:t>applied</w:t>
      </w:r>
      <w:r>
        <w:t xml:space="preserve"> SMART principles – a decrease from 87% in 2022–23.</w:t>
      </w:r>
    </w:p>
    <w:p w14:paraId="4C13E2A2" w14:textId="44625A26" w:rsidR="0060153E" w:rsidRDefault="29843141" w:rsidP="007D4052">
      <w:pPr>
        <w:pStyle w:val="SCVbullet1"/>
      </w:pPr>
      <w:r>
        <w:t xml:space="preserve">Recommendations that are considered moderate or strong have increased from 13% in 2019–20 to 51% in 2023–24 and are relatively consistent at </w:t>
      </w:r>
      <w:r w:rsidRPr="509B18F9">
        <w:rPr>
          <w:b/>
          <w:bCs/>
        </w:rPr>
        <w:t>49%</w:t>
      </w:r>
      <w:r>
        <w:t xml:space="preserve"> in 2024–25, indicating room for improvement in this area.</w:t>
      </w:r>
    </w:p>
    <w:p w14:paraId="4A777D23" w14:textId="77777777" w:rsidR="00CF7761" w:rsidRDefault="00CF7761" w:rsidP="00CF7761">
      <w:pPr>
        <w:pStyle w:val="Heading3"/>
      </w:pPr>
      <w:r>
        <w:t>Guidance for health services to inform continuous improvement</w:t>
      </w:r>
      <w:r w:rsidRPr="00851E15">
        <w:t xml:space="preserve"> </w:t>
      </w:r>
    </w:p>
    <w:p w14:paraId="65089735" w14:textId="77777777" w:rsidR="00CF7761" w:rsidRPr="00CF7761" w:rsidRDefault="00CF7761" w:rsidP="00CF7761">
      <w:pPr>
        <w:pStyle w:val="Heading4"/>
        <w:spacing w:before="120" w:after="120"/>
        <w:rPr>
          <w:color w:val="004C97" w:themeColor="accent4"/>
        </w:rPr>
      </w:pPr>
      <w:r w:rsidRPr="00CF7761">
        <w:rPr>
          <w:color w:val="004C97" w:themeColor="accent4"/>
        </w:rPr>
        <w:t>Allergies</w:t>
      </w:r>
    </w:p>
    <w:p w14:paraId="159DB0E3" w14:textId="77777777" w:rsidR="00CF7761" w:rsidRPr="00A9169D" w:rsidRDefault="00CF7761" w:rsidP="00CF7761">
      <w:pPr>
        <w:pStyle w:val="paragraph"/>
        <w:numPr>
          <w:ilvl w:val="0"/>
          <w:numId w:val="106"/>
        </w:numPr>
        <w:spacing w:before="120" w:beforeAutospacing="0" w:after="120" w:afterAutospacing="0"/>
        <w:textAlignment w:val="baseline"/>
        <w:rPr>
          <w:rStyle w:val="normaltextrun"/>
          <w:rFonts w:asciiTheme="minorHAnsi" w:eastAsiaTheme="majorEastAsia" w:hAnsiTheme="minorHAnsi" w:cstheme="minorBidi"/>
          <w:b/>
          <w:bCs/>
          <w:color w:val="007586" w:themeColor="text2"/>
          <w:lang w:eastAsia="en-US"/>
        </w:rPr>
      </w:pPr>
      <w:r w:rsidRPr="509B18F9">
        <w:rPr>
          <w:rStyle w:val="normaltextrun"/>
          <w:rFonts w:asciiTheme="minorHAnsi" w:hAnsiTheme="minorHAnsi" w:cstheme="minorBidi"/>
        </w:rPr>
        <w:t>Allergies should be confirmed and reconfirmed at each step of the consumer journey in a health service – at admission, during medication reconciliation and review, at medication administration and at discharge.</w:t>
      </w:r>
    </w:p>
    <w:p w14:paraId="5D97A5C4" w14:textId="77777777" w:rsidR="00CF7761" w:rsidRPr="00A9169D" w:rsidRDefault="00CF7761" w:rsidP="00CF7761">
      <w:pPr>
        <w:pStyle w:val="paragraph"/>
        <w:numPr>
          <w:ilvl w:val="0"/>
          <w:numId w:val="106"/>
        </w:numPr>
        <w:spacing w:before="120" w:beforeAutospacing="0" w:after="120" w:afterAutospacing="0"/>
        <w:textAlignment w:val="baseline"/>
        <w:rPr>
          <w:rStyle w:val="normaltextrun"/>
          <w:rFonts w:asciiTheme="minorHAnsi" w:hAnsiTheme="minorHAnsi" w:cstheme="minorHAnsi"/>
          <w:szCs w:val="22"/>
          <w:lang w:eastAsia="en-US"/>
        </w:rPr>
      </w:pPr>
      <w:r w:rsidRPr="00A9169D">
        <w:rPr>
          <w:rStyle w:val="normaltextrun"/>
          <w:rFonts w:asciiTheme="minorHAnsi" w:hAnsiTheme="minorHAnsi" w:cstheme="minorHAnsi"/>
        </w:rPr>
        <w:t>All allergies must be clearly documented and the type and severity of reaction identified.</w:t>
      </w:r>
    </w:p>
    <w:p w14:paraId="1DBF3DFA" w14:textId="77777777" w:rsidR="00CF7761" w:rsidRPr="00A9169D" w:rsidRDefault="00CF7761" w:rsidP="00CF7761">
      <w:pPr>
        <w:pStyle w:val="paragraph"/>
        <w:numPr>
          <w:ilvl w:val="0"/>
          <w:numId w:val="106"/>
        </w:numPr>
        <w:spacing w:before="120" w:beforeAutospacing="0" w:after="120" w:afterAutospacing="0"/>
        <w:textAlignment w:val="baseline"/>
        <w:rPr>
          <w:rStyle w:val="normaltextrun"/>
          <w:rFonts w:asciiTheme="minorHAnsi" w:hAnsiTheme="minorHAnsi" w:cstheme="minorHAnsi"/>
          <w:szCs w:val="22"/>
          <w:lang w:eastAsia="en-US"/>
        </w:rPr>
      </w:pPr>
      <w:r w:rsidRPr="00A9169D">
        <w:rPr>
          <w:rStyle w:val="normaltextrun"/>
          <w:rFonts w:asciiTheme="minorHAnsi" w:hAnsiTheme="minorHAnsi" w:cstheme="minorHAnsi"/>
        </w:rPr>
        <w:t>Staff must ensure the consumer has the correct colour identification band if allergies are present.</w:t>
      </w:r>
    </w:p>
    <w:p w14:paraId="4CB95744" w14:textId="77777777" w:rsidR="00CF7761" w:rsidRPr="00A9169D" w:rsidRDefault="00CF7761" w:rsidP="00CF7761">
      <w:pPr>
        <w:pStyle w:val="paragraph"/>
        <w:numPr>
          <w:ilvl w:val="0"/>
          <w:numId w:val="106"/>
        </w:numPr>
        <w:spacing w:before="120" w:beforeAutospacing="0" w:after="120" w:afterAutospacing="0"/>
        <w:textAlignment w:val="baseline"/>
        <w:rPr>
          <w:rStyle w:val="normaltextrun"/>
          <w:rFonts w:asciiTheme="minorHAnsi" w:hAnsiTheme="minorHAnsi" w:cstheme="minorHAnsi"/>
          <w:szCs w:val="22"/>
          <w:lang w:eastAsia="en-US"/>
        </w:rPr>
      </w:pPr>
      <w:r w:rsidRPr="00A9169D">
        <w:rPr>
          <w:rStyle w:val="normaltextrun"/>
          <w:rFonts w:asciiTheme="minorHAnsi" w:hAnsiTheme="minorHAnsi" w:cstheme="minorHAnsi"/>
        </w:rPr>
        <w:t>Allergies should be double-checked every time a medication is given.</w:t>
      </w:r>
    </w:p>
    <w:p w14:paraId="7D55B56C" w14:textId="77777777" w:rsidR="00CF7761" w:rsidRPr="003D76A5" w:rsidRDefault="00CF7761" w:rsidP="00CF7761">
      <w:pPr>
        <w:pStyle w:val="paragraph"/>
        <w:numPr>
          <w:ilvl w:val="0"/>
          <w:numId w:val="106"/>
        </w:numPr>
        <w:spacing w:before="120" w:beforeAutospacing="0" w:after="120" w:afterAutospacing="0"/>
        <w:textAlignment w:val="baseline"/>
        <w:rPr>
          <w:rStyle w:val="normaltextrun"/>
        </w:rPr>
      </w:pPr>
      <w:r w:rsidRPr="00A9169D">
        <w:rPr>
          <w:rStyle w:val="normaltextrun"/>
          <w:rFonts w:asciiTheme="minorHAnsi" w:hAnsiTheme="minorHAnsi" w:cstheme="minorHAnsi"/>
        </w:rPr>
        <w:t>Extra care should be taken with documenting allergies on consumer information where paper charts are used.</w:t>
      </w:r>
    </w:p>
    <w:p w14:paraId="5C1DFBC0" w14:textId="77777777" w:rsidR="00CF7761" w:rsidRPr="00CF7761" w:rsidRDefault="00CF7761" w:rsidP="00CF7761">
      <w:pPr>
        <w:pStyle w:val="Heading4"/>
        <w:rPr>
          <w:rStyle w:val="normaltextrun"/>
          <w:rFonts w:asciiTheme="minorHAnsi" w:hAnsiTheme="minorHAnsi" w:cstheme="minorHAnsi"/>
          <w:color w:val="004C97" w:themeColor="accent4"/>
          <w:szCs w:val="22"/>
          <w:lang w:eastAsia="en-US"/>
        </w:rPr>
      </w:pPr>
      <w:r w:rsidRPr="00CF7761">
        <w:rPr>
          <w:rStyle w:val="normaltextrun"/>
          <w:rFonts w:cstheme="minorHAnsi"/>
          <w:color w:val="004C97" w:themeColor="accent4"/>
        </w:rPr>
        <w:t xml:space="preserve">Labelling of </w:t>
      </w:r>
      <w:r w:rsidRPr="00CF7761">
        <w:rPr>
          <w:rStyle w:val="normaltextrun"/>
          <w:color w:val="004C97" w:themeColor="accent4"/>
        </w:rPr>
        <w:t>medication</w:t>
      </w:r>
    </w:p>
    <w:p w14:paraId="054FD6FC" w14:textId="77777777" w:rsidR="00CF7761" w:rsidRPr="0052066E" w:rsidRDefault="00CF7761" w:rsidP="00CF7761">
      <w:pPr>
        <w:pStyle w:val="paragraph"/>
        <w:numPr>
          <w:ilvl w:val="0"/>
          <w:numId w:val="106"/>
        </w:numPr>
        <w:spacing w:before="120" w:beforeAutospacing="0" w:after="120" w:afterAutospacing="0"/>
        <w:textAlignment w:val="baseline"/>
        <w:rPr>
          <w:rFonts w:asciiTheme="minorHAnsi" w:hAnsiTheme="minorHAnsi" w:cstheme="minorHAnsi"/>
        </w:rPr>
      </w:pPr>
      <w:r w:rsidRPr="0052066E">
        <w:rPr>
          <w:rStyle w:val="normaltextrun"/>
          <w:rFonts w:asciiTheme="minorHAnsi" w:hAnsiTheme="minorHAnsi" w:cstheme="minorHAnsi"/>
        </w:rPr>
        <w:t>Incomplete or inaccurate labelling of injectable medicines, fluids and their devices</w:t>
      </w:r>
      <w:r>
        <w:rPr>
          <w:rStyle w:val="normaltextrun"/>
          <w:rFonts w:asciiTheme="minorHAnsi" w:hAnsiTheme="minorHAnsi" w:cstheme="minorHAnsi"/>
        </w:rPr>
        <w:t xml:space="preserve"> </w:t>
      </w:r>
      <w:r w:rsidRPr="0052066E">
        <w:rPr>
          <w:rStyle w:val="normaltextrun"/>
          <w:rFonts w:asciiTheme="minorHAnsi" w:hAnsiTheme="minorHAnsi" w:cstheme="minorHAnsi"/>
        </w:rPr>
        <w:t>is an ongoing</w:t>
      </w:r>
      <w:r>
        <w:rPr>
          <w:rStyle w:val="normaltextrun"/>
          <w:rFonts w:asciiTheme="minorHAnsi" w:hAnsiTheme="minorHAnsi" w:cstheme="minorHAnsi"/>
        </w:rPr>
        <w:t xml:space="preserve"> </w:t>
      </w:r>
      <w:r w:rsidRPr="0052066E">
        <w:rPr>
          <w:rStyle w:val="normaltextrun"/>
          <w:rFonts w:asciiTheme="minorHAnsi" w:hAnsiTheme="minorHAnsi" w:cstheme="minorHAnsi"/>
        </w:rPr>
        <w:t>risk to safe</w:t>
      </w:r>
      <w:r>
        <w:rPr>
          <w:rStyle w:val="normaltextrun"/>
          <w:rFonts w:asciiTheme="minorHAnsi" w:hAnsiTheme="minorHAnsi" w:cstheme="minorHAnsi"/>
        </w:rPr>
        <w:t>l</w:t>
      </w:r>
      <w:r w:rsidRPr="002A409B">
        <w:rPr>
          <w:rStyle w:val="normaltextrun"/>
          <w:rFonts w:asciiTheme="minorHAnsi" w:hAnsiTheme="minorHAnsi" w:cstheme="minorHAnsi"/>
        </w:rPr>
        <w:t>y</w:t>
      </w:r>
      <w:r w:rsidRPr="0052066E">
        <w:rPr>
          <w:rStyle w:val="normaltextrun"/>
          <w:rFonts w:asciiTheme="minorHAnsi" w:hAnsiTheme="minorHAnsi" w:cstheme="minorHAnsi"/>
        </w:rPr>
        <w:t xml:space="preserve"> administ</w:t>
      </w:r>
      <w:r>
        <w:rPr>
          <w:rStyle w:val="normaltextrun"/>
          <w:rFonts w:asciiTheme="minorHAnsi" w:hAnsiTheme="minorHAnsi" w:cstheme="minorHAnsi"/>
        </w:rPr>
        <w:t>e</w:t>
      </w:r>
      <w:r w:rsidRPr="00834EF2">
        <w:rPr>
          <w:rStyle w:val="normaltextrun"/>
          <w:rFonts w:asciiTheme="minorHAnsi" w:hAnsiTheme="minorHAnsi" w:cstheme="minorHAnsi"/>
        </w:rPr>
        <w:t>ring</w:t>
      </w:r>
      <w:r w:rsidRPr="0052066E">
        <w:rPr>
          <w:rStyle w:val="normaltextrun"/>
          <w:rFonts w:asciiTheme="minorHAnsi" w:hAnsiTheme="minorHAnsi" w:cstheme="minorHAnsi"/>
        </w:rPr>
        <w:t xml:space="preserve"> medicines.</w:t>
      </w:r>
    </w:p>
    <w:p w14:paraId="62F73A0A" w14:textId="77777777" w:rsidR="00CF7761" w:rsidRPr="0052066E" w:rsidRDefault="00CF7761" w:rsidP="00CF7761">
      <w:pPr>
        <w:pStyle w:val="paragraph"/>
        <w:numPr>
          <w:ilvl w:val="0"/>
          <w:numId w:val="106"/>
        </w:numPr>
        <w:spacing w:before="120" w:beforeAutospacing="0" w:after="120" w:afterAutospacing="0"/>
        <w:textAlignment w:val="baseline"/>
        <w:rPr>
          <w:rFonts w:asciiTheme="minorHAnsi" w:hAnsiTheme="minorHAnsi" w:cstheme="minorHAnsi"/>
        </w:rPr>
      </w:pPr>
      <w:r w:rsidRPr="0052066E">
        <w:rPr>
          <w:rStyle w:val="normaltextrun"/>
          <w:rFonts w:asciiTheme="minorHAnsi" w:hAnsiTheme="minorHAnsi" w:cstheme="minorHAnsi"/>
        </w:rPr>
        <w:t>It is important to implement a</w:t>
      </w:r>
      <w:r>
        <w:rPr>
          <w:rStyle w:val="normaltextrun"/>
          <w:rFonts w:asciiTheme="minorHAnsi" w:hAnsiTheme="minorHAnsi" w:cstheme="minorHAnsi"/>
        </w:rPr>
        <w:t xml:space="preserve"> </w:t>
      </w:r>
      <w:r w:rsidRPr="0052066E">
        <w:rPr>
          <w:rStyle w:val="normaltextrun"/>
          <w:rFonts w:asciiTheme="minorHAnsi" w:hAnsiTheme="minorHAnsi" w:cstheme="minorHAnsi"/>
        </w:rPr>
        <w:t>standardised user-applied labelling</w:t>
      </w:r>
      <w:r>
        <w:rPr>
          <w:rStyle w:val="normaltextrun"/>
          <w:rFonts w:asciiTheme="minorHAnsi" w:hAnsiTheme="minorHAnsi" w:cstheme="minorHAnsi"/>
        </w:rPr>
        <w:t xml:space="preserve"> </w:t>
      </w:r>
      <w:r w:rsidRPr="0052066E">
        <w:rPr>
          <w:rStyle w:val="normaltextrun"/>
          <w:rFonts w:asciiTheme="minorHAnsi" w:hAnsiTheme="minorHAnsi" w:cstheme="minorHAnsi"/>
        </w:rPr>
        <w:t xml:space="preserve">system. </w:t>
      </w:r>
      <w:r>
        <w:rPr>
          <w:rStyle w:val="normaltextrun"/>
          <w:rFonts w:asciiTheme="minorHAnsi" w:hAnsiTheme="minorHAnsi" w:cstheme="minorHAnsi"/>
        </w:rPr>
        <w:t xml:space="preserve">View the </w:t>
      </w:r>
      <w:hyperlink r:id="rId65" w:tgtFrame="_blank" w:history="1">
        <w:r w:rsidRPr="0044528C">
          <w:rPr>
            <w:rStyle w:val="normaltextrun"/>
            <w:rFonts w:asciiTheme="minorHAnsi" w:hAnsiTheme="minorHAnsi" w:cstheme="minorHAnsi"/>
            <w:color w:val="004C97" w:themeColor="accent4"/>
            <w:u w:val="single"/>
          </w:rPr>
          <w:t>National standard for user-applied labelling of injectable medicines, fluids and lines</w:t>
        </w:r>
      </w:hyperlink>
      <w:r>
        <w:t xml:space="preserve"> </w:t>
      </w:r>
      <w:r w:rsidRPr="00834EF2">
        <w:rPr>
          <w:rFonts w:asciiTheme="majorHAnsi" w:hAnsiTheme="majorHAnsi" w:cstheme="majorHAnsi"/>
        </w:rPr>
        <w:t>&lt;https://www.safetyandquality.gov.au/sites/default/files/migrated/National-Standard-for-User-Applied-Labelling-Aug-2015.pdf&gt;</w:t>
      </w:r>
      <w:r>
        <w:rPr>
          <w:rFonts w:asciiTheme="majorHAnsi" w:hAnsiTheme="majorHAnsi" w:cstheme="majorHAnsi"/>
        </w:rPr>
        <w:t>.</w:t>
      </w:r>
    </w:p>
    <w:p w14:paraId="417A9030" w14:textId="77777777" w:rsidR="00CF7761" w:rsidRDefault="00CF7761" w:rsidP="00CF7761">
      <w:pPr>
        <w:pStyle w:val="paragraph"/>
        <w:numPr>
          <w:ilvl w:val="0"/>
          <w:numId w:val="106"/>
        </w:numPr>
        <w:spacing w:before="120" w:beforeAutospacing="0" w:after="120" w:afterAutospacing="0"/>
        <w:textAlignment w:val="baseline"/>
        <w:rPr>
          <w:rStyle w:val="normaltextrun"/>
          <w:rFonts w:asciiTheme="minorHAnsi" w:hAnsiTheme="minorHAnsi" w:cstheme="minorHAnsi"/>
        </w:rPr>
      </w:pPr>
      <w:r w:rsidRPr="0052066E">
        <w:rPr>
          <w:rStyle w:val="normaltextrun"/>
          <w:rFonts w:asciiTheme="minorHAnsi" w:hAnsiTheme="minorHAnsi" w:cstheme="minorHAnsi"/>
        </w:rPr>
        <w:t>Th</w:t>
      </w:r>
      <w:r>
        <w:rPr>
          <w:rStyle w:val="normaltextrun"/>
          <w:rFonts w:asciiTheme="minorHAnsi" w:hAnsiTheme="minorHAnsi" w:cstheme="minorHAnsi"/>
        </w:rPr>
        <w:t>e</w:t>
      </w:r>
      <w:r w:rsidRPr="005E7DE4">
        <w:rPr>
          <w:rStyle w:val="normaltextrun"/>
          <w:rFonts w:asciiTheme="minorHAnsi" w:hAnsiTheme="minorHAnsi" w:cstheme="minorHAnsi"/>
        </w:rPr>
        <w:t xml:space="preserve"> national s</w:t>
      </w:r>
      <w:r w:rsidRPr="0052066E">
        <w:rPr>
          <w:rStyle w:val="normaltextrun"/>
          <w:rFonts w:asciiTheme="minorHAnsi" w:hAnsiTheme="minorHAnsi" w:cstheme="minorHAnsi"/>
        </w:rPr>
        <w:t>tandard outline</w:t>
      </w:r>
      <w:r>
        <w:rPr>
          <w:rStyle w:val="normaltextrun"/>
          <w:rFonts w:asciiTheme="minorHAnsi" w:hAnsiTheme="minorHAnsi" w:cstheme="minorHAnsi"/>
        </w:rPr>
        <w:t>s</w:t>
      </w:r>
      <w:r w:rsidRPr="0052066E">
        <w:rPr>
          <w:rStyle w:val="normaltextrun"/>
          <w:rFonts w:asciiTheme="minorHAnsi" w:hAnsiTheme="minorHAnsi" w:cstheme="minorHAnsi"/>
        </w:rPr>
        <w:t xml:space="preserve"> the various requirements for labels including the colour</w:t>
      </w:r>
      <w:r>
        <w:rPr>
          <w:rStyle w:val="normaltextrun"/>
          <w:rFonts w:asciiTheme="minorHAnsi" w:hAnsiTheme="minorHAnsi" w:cstheme="minorHAnsi"/>
        </w:rPr>
        <w:t>-</w:t>
      </w:r>
      <w:r w:rsidRPr="0052066E">
        <w:rPr>
          <w:rStyle w:val="normaltextrun"/>
          <w:rFonts w:asciiTheme="minorHAnsi" w:hAnsiTheme="minorHAnsi" w:cstheme="minorHAnsi"/>
        </w:rPr>
        <w:t>coding system for labels.</w:t>
      </w:r>
    </w:p>
    <w:p w14:paraId="73C742D9" w14:textId="15FA5343" w:rsidR="00CF7761" w:rsidRPr="0060153E" w:rsidRDefault="00CF7761" w:rsidP="00CF7761">
      <w:pPr>
        <w:pStyle w:val="SCVbullet1"/>
        <w:numPr>
          <w:ilvl w:val="0"/>
          <w:numId w:val="0"/>
        </w:numPr>
      </w:pPr>
      <w:r w:rsidRPr="0052066E">
        <w:rPr>
          <w:rStyle w:val="normaltextrun"/>
          <w:rFonts w:cstheme="minorHAnsi"/>
        </w:rPr>
        <w:lastRenderedPageBreak/>
        <w:t>A key point in th</w:t>
      </w:r>
      <w:r>
        <w:rPr>
          <w:rStyle w:val="normaltextrun"/>
          <w:rFonts w:cstheme="minorHAnsi"/>
        </w:rPr>
        <w:t>e s</w:t>
      </w:r>
      <w:r w:rsidRPr="0052066E">
        <w:rPr>
          <w:rStyle w:val="normaltextrun"/>
          <w:rFonts w:cstheme="minorHAnsi"/>
        </w:rPr>
        <w:t xml:space="preserve">tandard is that all injectable medicines drawn up in a syringe that will leave the hand of the person filling it should be labelled </w:t>
      </w:r>
      <w:r w:rsidRPr="00CF7761">
        <w:rPr>
          <w:rStyle w:val="normaltextrun"/>
          <w:rFonts w:cstheme="minorHAnsi"/>
          <w:b/>
          <w:bCs/>
          <w:color w:val="007586" w:themeColor="text2"/>
        </w:rPr>
        <w:t>immediately</w:t>
      </w:r>
      <w:r w:rsidRPr="00CF7761">
        <w:rPr>
          <w:rStyle w:val="normaltextrun"/>
          <w:rFonts w:cstheme="minorHAnsi"/>
          <w:color w:val="007586" w:themeColor="text2"/>
        </w:rPr>
        <w:t>.</w:t>
      </w:r>
    </w:p>
    <w:p w14:paraId="21B455E9" w14:textId="093BD40F" w:rsidR="1CC5E24B" w:rsidRDefault="1CC5E24B" w:rsidP="57EA0190">
      <w:pPr>
        <w:pStyle w:val="Heading3"/>
        <w:spacing w:line="276" w:lineRule="auto"/>
      </w:pPr>
      <w:r w:rsidRPr="57EA0190">
        <w:rPr>
          <w:rFonts w:ascii="Arial" w:eastAsia="Arial" w:hAnsi="Arial" w:cs="Arial"/>
          <w:color w:val="007586" w:themeColor="accent2"/>
          <w:szCs w:val="24"/>
        </w:rPr>
        <w:t>System-wide improvement initiatives and resources</w:t>
      </w:r>
      <w:r w:rsidR="22F72AC4" w:rsidRPr="57EA0190">
        <w:rPr>
          <w:rFonts w:ascii="Arial" w:eastAsia="Arial" w:hAnsi="Arial" w:cs="Arial"/>
          <w:color w:val="007586" w:themeColor="accent2"/>
          <w:szCs w:val="24"/>
        </w:rPr>
        <w:t xml:space="preserve"> </w:t>
      </w:r>
    </w:p>
    <w:p w14:paraId="5CC06819" w14:textId="62B21D05" w:rsidR="1CC5E24B" w:rsidRDefault="48C31F6F" w:rsidP="1D8ABA5E">
      <w:pPr>
        <w:spacing w:after="0" w:line="276" w:lineRule="auto"/>
        <w:rPr>
          <w:rFonts w:ascii="Arial" w:eastAsia="Arial" w:hAnsi="Arial" w:cs="Arial"/>
          <w:sz w:val="24"/>
          <w:szCs w:val="24"/>
        </w:rPr>
      </w:pPr>
      <w:hyperlink r:id="rId66">
        <w:r w:rsidRPr="509B18F9">
          <w:rPr>
            <w:rStyle w:val="Hyperlink"/>
            <w:color w:val="004B97"/>
            <w:sz w:val="24"/>
            <w:szCs w:val="24"/>
          </w:rPr>
          <w:t>SCV’s Safer Medicines at Transitions of Care (SMTC) Collaborative</w:t>
        </w:r>
      </w:hyperlink>
      <w:r w:rsidRPr="509B18F9">
        <w:rPr>
          <w:rFonts w:ascii="Arial" w:eastAsia="Arial" w:hAnsi="Arial" w:cs="Arial"/>
          <w:sz w:val="24"/>
          <w:szCs w:val="24"/>
        </w:rPr>
        <w:t xml:space="preserve"> </w:t>
      </w:r>
      <w:r w:rsidR="0925DA11" w:rsidRPr="509B18F9">
        <w:rPr>
          <w:sz w:val="24"/>
          <w:szCs w:val="24"/>
        </w:rPr>
        <w:t>&lt;https://www.safercare.vic.gov.au/improvement/projects/safer-medicines-at-transitions-of-care&gt;</w:t>
      </w:r>
      <w:r w:rsidRPr="509B18F9">
        <w:rPr>
          <w:sz w:val="24"/>
          <w:szCs w:val="24"/>
        </w:rPr>
        <w:t>,</w:t>
      </w:r>
      <w:r w:rsidRPr="509B18F9">
        <w:rPr>
          <w:color w:val="004B97"/>
          <w:sz w:val="24"/>
          <w:szCs w:val="24"/>
        </w:rPr>
        <w:t xml:space="preserve"> </w:t>
      </w:r>
      <w:r w:rsidRPr="509B18F9">
        <w:rPr>
          <w:sz w:val="24"/>
          <w:szCs w:val="24"/>
        </w:rPr>
        <w:t>was a key Safer Together initiative that concluded as of 30 June 2026.</w:t>
      </w:r>
      <w:r w:rsidR="316489CC" w:rsidRPr="509B18F9">
        <w:rPr>
          <w:rFonts w:ascii="Arial" w:eastAsia="Arial" w:hAnsi="Arial" w:cs="Arial"/>
          <w:sz w:val="24"/>
          <w:szCs w:val="24"/>
        </w:rPr>
        <w:t xml:space="preserve"> </w:t>
      </w:r>
    </w:p>
    <w:p w14:paraId="3A12219A" w14:textId="0A9E3F9E" w:rsidR="1CC5E24B" w:rsidRDefault="1CC5E24B" w:rsidP="57EA0190">
      <w:pPr>
        <w:spacing w:after="0" w:line="276" w:lineRule="auto"/>
      </w:pPr>
      <w:r w:rsidRPr="57EA0190">
        <w:rPr>
          <w:rFonts w:ascii="Arial" w:eastAsia="Arial" w:hAnsi="Arial" w:cs="Arial"/>
          <w:sz w:val="24"/>
          <w:szCs w:val="24"/>
        </w:rPr>
        <w:t>Safer Together is our statewide safety improvement program. It aims to establish a continuously improving learning health system that is safer, more person-centred, sustainable, and delivers better outcomes for Victorians.</w:t>
      </w:r>
    </w:p>
    <w:p w14:paraId="3CCBC22E" w14:textId="7BB9BCEB" w:rsidR="4C03643F" w:rsidRDefault="4C03643F" w:rsidP="57EA0190">
      <w:pPr>
        <w:spacing w:line="276" w:lineRule="auto"/>
      </w:pPr>
      <w:r w:rsidRPr="57EA0190">
        <w:rPr>
          <w:rFonts w:ascii="Arial" w:eastAsia="Arial" w:hAnsi="Arial" w:cs="Arial"/>
          <w:sz w:val="24"/>
          <w:szCs w:val="24"/>
        </w:rPr>
        <w:t xml:space="preserve">Find out more about the </w:t>
      </w:r>
      <w:hyperlink r:id="rId67">
        <w:r w:rsidRPr="57EA0190">
          <w:rPr>
            <w:rStyle w:val="Hyperlink"/>
            <w:color w:val="004C97" w:themeColor="accent4"/>
            <w:sz w:val="24"/>
            <w:szCs w:val="24"/>
          </w:rPr>
          <w:t>National medication management plan</w:t>
        </w:r>
      </w:hyperlink>
      <w:r w:rsidRPr="57EA0190">
        <w:rPr>
          <w:rFonts w:ascii="Arial" w:eastAsia="Arial" w:hAnsi="Arial" w:cs="Arial"/>
          <w:sz w:val="24"/>
          <w:szCs w:val="24"/>
        </w:rPr>
        <w:t xml:space="preserve"> &lt;https://www.safetyandquality.gov.au/our-work/medicines-safety-and-quality/medication-reconciliation/national-medication-management-plan&gt;.</w:t>
      </w:r>
    </w:p>
    <w:p w14:paraId="7DC8D6F1" w14:textId="78642D33" w:rsidR="009B1226" w:rsidRDefault="007550F6" w:rsidP="00F7634B">
      <w:pPr>
        <w:pStyle w:val="SCVbody"/>
        <w:rPr>
          <w:szCs w:val="24"/>
        </w:rPr>
      </w:pPr>
      <w:r>
        <w:t xml:space="preserve">The </w:t>
      </w:r>
      <w:r w:rsidR="0040069E" w:rsidRPr="00851E15">
        <w:t>Department of Health</w:t>
      </w:r>
      <w:r w:rsidR="0040069E">
        <w:t>’s</w:t>
      </w:r>
      <w:r w:rsidR="0040069E" w:rsidRPr="00851E15">
        <w:t xml:space="preserve"> </w:t>
      </w:r>
      <w:hyperlink r:id="rId68" w:history="1">
        <w:r w:rsidR="0040069E" w:rsidRPr="00A318F9">
          <w:rPr>
            <w:rStyle w:val="Hyperlink"/>
          </w:rPr>
          <w:t>SafeScript program</w:t>
        </w:r>
      </w:hyperlink>
      <w:r w:rsidR="0040069E">
        <w:t xml:space="preserve"> </w:t>
      </w:r>
      <w:r w:rsidR="00195FDD">
        <w:t>&lt;</w:t>
      </w:r>
      <w:r w:rsidR="00960881" w:rsidRPr="00960881">
        <w:t>https://www.safescript.vic.gov.au/</w:t>
      </w:r>
      <w:r w:rsidR="00195FDD">
        <w:t>&gt;</w:t>
      </w:r>
      <w:r w:rsidR="00960881" w:rsidRPr="00960881">
        <w:t xml:space="preserve"> </w:t>
      </w:r>
      <w:r>
        <w:t>helps</w:t>
      </w:r>
      <w:r w:rsidR="0040069E" w:rsidRPr="00851E15">
        <w:t xml:space="preserve"> ensure clear and precise monitoring of many medications. </w:t>
      </w:r>
      <w:proofErr w:type="spellStart"/>
      <w:r w:rsidR="0040069E" w:rsidRPr="00851E15">
        <w:t>SafeScript</w:t>
      </w:r>
      <w:proofErr w:type="spellEnd"/>
      <w:r w:rsidR="0040069E" w:rsidRPr="00851E15">
        <w:t xml:space="preserve"> is computer software that allows prescribing and dispensing records for certain high-risk medicines to be transmitted in real</w:t>
      </w:r>
      <w:r w:rsidR="0040069E">
        <w:t xml:space="preserve"> </w:t>
      </w:r>
      <w:r w:rsidR="0040069E" w:rsidRPr="00851E15">
        <w:t xml:space="preserve">time to a centralised database </w:t>
      </w:r>
      <w:r w:rsidR="0040069E">
        <w:t>that</w:t>
      </w:r>
      <w:r w:rsidR="0040069E" w:rsidRPr="00851E15">
        <w:t xml:space="preserve"> can then be accessed by doctors and pharmacists during a consultation.</w:t>
      </w:r>
      <w:r>
        <w:t xml:space="preserve"> Find more information for</w:t>
      </w:r>
      <w:r w:rsidR="0040069E" w:rsidRPr="00851E15">
        <w:t xml:space="preserve"> </w:t>
      </w:r>
      <w:hyperlink r:id="rId69" w:tgtFrame="_blank" w:history="1">
        <w:r w:rsidR="002517D9" w:rsidRPr="00670F61">
          <w:rPr>
            <w:rFonts w:eastAsia="Times New Roman" w:cstheme="minorHAnsi"/>
            <w:color w:val="004C97" w:themeColor="accent4"/>
            <w:szCs w:val="24"/>
            <w:u w:val="single"/>
          </w:rPr>
          <w:t>prescribers and pharmacists</w:t>
        </w:r>
      </w:hyperlink>
      <w:r w:rsidR="0040069E">
        <w:t xml:space="preserve"> </w:t>
      </w:r>
      <w:r w:rsidR="0040069E" w:rsidRPr="00834EF2">
        <w:rPr>
          <w:szCs w:val="24"/>
        </w:rPr>
        <w:t>&lt;https://www.health.vic.gov.au/safescript/safescript-for-prescribers-and-pharmacists&gt;.</w:t>
      </w:r>
    </w:p>
    <w:p w14:paraId="7AB6EE2A" w14:textId="22ECED81" w:rsidR="007550F6" w:rsidRDefault="007550F6" w:rsidP="00F7634B">
      <w:pPr>
        <w:pStyle w:val="SCVbody"/>
        <w:rPr>
          <w:szCs w:val="24"/>
        </w:rPr>
      </w:pPr>
      <w:r>
        <w:rPr>
          <w:szCs w:val="24"/>
        </w:rPr>
        <w:t>Other useful resources include:</w:t>
      </w:r>
    </w:p>
    <w:p w14:paraId="0C1549EB" w14:textId="64325EFA" w:rsidR="00902FFE" w:rsidRPr="0002145B" w:rsidRDefault="00902FFE" w:rsidP="005E7DE4">
      <w:pPr>
        <w:pStyle w:val="SCVbullet1"/>
        <w:rPr>
          <w:bdr w:val="none" w:sz="0" w:space="0" w:color="auto" w:frame="1"/>
          <w:shd w:val="clear" w:color="auto" w:fill="C6C6C6"/>
        </w:rPr>
      </w:pPr>
      <w:hyperlink r:id="rId70" w:tgtFrame="_blank" w:history="1">
        <w:r w:rsidRPr="00670F61">
          <w:rPr>
            <w:color w:val="004C97" w:themeColor="accent4"/>
            <w:u w:val="single"/>
          </w:rPr>
          <w:t>Methadone use in the postoperative setting</w:t>
        </w:r>
      </w:hyperlink>
      <w:r w:rsidRPr="00670F61">
        <w:rPr>
          <w:color w:val="004C97" w:themeColor="accent4"/>
        </w:rPr>
        <w:t xml:space="preserve"> </w:t>
      </w:r>
      <w:r w:rsidRPr="00834EF2">
        <w:t>&lt;https://www.safercare.vic.gov.au/publications/methadone-use-in-the-postoperative-setting-clinical-practice-point&gt;</w:t>
      </w:r>
    </w:p>
    <w:p w14:paraId="27C18128" w14:textId="4FB25D54" w:rsidR="00902FFE" w:rsidRDefault="00902FFE" w:rsidP="005E7DE4">
      <w:pPr>
        <w:pStyle w:val="SCVbullet1"/>
        <w:rPr>
          <w:bdr w:val="none" w:sz="0" w:space="0" w:color="auto" w:frame="1"/>
          <w:shd w:val="clear" w:color="auto" w:fill="C6C6C6"/>
        </w:rPr>
      </w:pPr>
      <w:hyperlink r:id="rId71" w:tgtFrame="_blank" w:history="1">
        <w:r w:rsidRPr="00670F61">
          <w:rPr>
            <w:color w:val="004C97" w:themeColor="accent4"/>
            <w:u w:val="single"/>
          </w:rPr>
          <w:t>Analgesic Stewardship Toolkit</w:t>
        </w:r>
      </w:hyperlink>
      <w:r>
        <w:t xml:space="preserve"> </w:t>
      </w:r>
      <w:r w:rsidRPr="00834EF2">
        <w:t>&lt;https://www.safercare.vic.gov.au/publications/analgesic-stewardship-toolkit&gt;.</w:t>
      </w:r>
    </w:p>
    <w:p w14:paraId="24034419" w14:textId="72F3EF68" w:rsidR="00902FFE" w:rsidRDefault="00902FFE" w:rsidP="005E7DE4">
      <w:pPr>
        <w:pStyle w:val="SCVbullet1"/>
      </w:pPr>
      <w:hyperlink r:id="rId72" w:tgtFrame="_blank" w:history="1">
        <w:r w:rsidRPr="00670F61">
          <w:rPr>
            <w:color w:val="004C97" w:themeColor="accent4"/>
            <w:u w:val="single"/>
          </w:rPr>
          <w:t>Victorian guideline for the prevention of venous thromboembolism in adult hospitalised patients</w:t>
        </w:r>
      </w:hyperlink>
      <w:r w:rsidRPr="00E81335">
        <w:t xml:space="preserve"> &lt;</w:t>
      </w:r>
      <w:r w:rsidRPr="00B958E3">
        <w:t>https://www.safercare.vic.gov.au/best-practice-improvement/clinical-guidance/venous-thromboembolism/victorian-guideline</w:t>
      </w:r>
      <w:r w:rsidRPr="00834EF2">
        <w:t>&gt;</w:t>
      </w:r>
    </w:p>
    <w:p w14:paraId="6D18B106" w14:textId="13345C19" w:rsidR="00902FFE" w:rsidRPr="0002145B" w:rsidRDefault="008708FA" w:rsidP="005E7DE4">
      <w:pPr>
        <w:pStyle w:val="SCVbullet1"/>
        <w:rPr>
          <w:bdr w:val="none" w:sz="0" w:space="0" w:color="auto" w:frame="1"/>
          <w:shd w:val="clear" w:color="auto" w:fill="C6C6C6"/>
        </w:rPr>
      </w:pPr>
      <w:hyperlink r:id="rId73" w:history="1">
        <w:r>
          <w:rPr>
            <w:rStyle w:val="Hyperlink"/>
            <w:rFonts w:eastAsia="Times New Roman" w:cstheme="minorHAnsi"/>
            <w:szCs w:val="24"/>
          </w:rPr>
          <w:t>Practice points for pulmonary embolism</w:t>
        </w:r>
      </w:hyperlink>
      <w:r w:rsidR="00902FFE">
        <w:t xml:space="preserve"> &lt;</w:t>
      </w:r>
      <w:r w:rsidR="00902FFE" w:rsidRPr="00B958E3">
        <w:t>https://www.safercare.vic.gov.au/publications/pulmonary-embolism-pe-practice-points</w:t>
      </w:r>
      <w:r w:rsidR="00902FFE">
        <w:t>&gt;</w:t>
      </w:r>
    </w:p>
    <w:p w14:paraId="4B5B86EB" w14:textId="586252D3" w:rsidR="00902FFE" w:rsidRPr="002A409B" w:rsidRDefault="2DCCC36F" w:rsidP="005E7DE4">
      <w:pPr>
        <w:pStyle w:val="SCVbullet1"/>
      </w:pPr>
      <w:hyperlink r:id="rId74">
        <w:r w:rsidRPr="00670F61">
          <w:rPr>
            <w:color w:val="004C97" w:themeColor="accent4"/>
            <w:u w:val="single"/>
          </w:rPr>
          <w:t>Preventing venous thromboembolism and supporting anticoagulation management</w:t>
        </w:r>
      </w:hyperlink>
      <w:r w:rsidR="48F174DD" w:rsidRPr="00670F61">
        <w:rPr>
          <w:color w:val="004C97" w:themeColor="accent4"/>
        </w:rPr>
        <w:t xml:space="preserve"> </w:t>
      </w:r>
      <w:r w:rsidR="48F174DD">
        <w:t>&lt;https://www.safercare.vic.gov.au/improvement/projects/preventing-venous-thromboembolism&gt;.</w:t>
      </w:r>
    </w:p>
    <w:p w14:paraId="73629883" w14:textId="0480899B" w:rsidR="00845AF9" w:rsidRPr="00357AFB" w:rsidRDefault="22E22DEA" w:rsidP="57EA0190">
      <w:pPr>
        <w:pStyle w:val="Heading1"/>
        <w:rPr>
          <w:rStyle w:val="normaltextrun"/>
        </w:rPr>
      </w:pPr>
      <w:bookmarkStart w:id="30" w:name="_Toc238026644"/>
      <w:r w:rsidRPr="5EAC5C8C">
        <w:rPr>
          <w:rStyle w:val="normaltextrun"/>
        </w:rPr>
        <w:lastRenderedPageBreak/>
        <w:t>Recommendations from sentinel event reviews</w:t>
      </w:r>
      <w:bookmarkEnd w:id="30"/>
    </w:p>
    <w:p w14:paraId="79A8481C" w14:textId="294CD41B" w:rsidR="00845AF9" w:rsidRPr="005959A8" w:rsidRDefault="22E22DEA" w:rsidP="57EA0190">
      <w:pPr>
        <w:pStyle w:val="Heading2"/>
        <w:spacing w:line="276" w:lineRule="auto"/>
        <w:rPr>
          <w:color w:val="007586" w:themeColor="text2"/>
        </w:rPr>
      </w:pPr>
      <w:bookmarkStart w:id="31" w:name="_Toc238026645"/>
      <w:r w:rsidRPr="005959A8">
        <w:rPr>
          <w:color w:val="007586" w:themeColor="text2"/>
        </w:rPr>
        <w:t>Developing recommendations</w:t>
      </w:r>
      <w:bookmarkEnd w:id="31"/>
      <w:r w:rsidRPr="005959A8">
        <w:rPr>
          <w:color w:val="007586" w:themeColor="text2"/>
        </w:rPr>
        <w:t xml:space="preserve"> </w:t>
      </w:r>
    </w:p>
    <w:p w14:paraId="33307AF5" w14:textId="6C618E9B" w:rsidR="00845AF9" w:rsidRPr="00357AFB" w:rsidRDefault="22E22DEA" w:rsidP="57EA0190">
      <w:pPr>
        <w:pStyle w:val="SCVbody"/>
      </w:pPr>
      <w:r>
        <w:t>After each sentinel event review, health service panels develop recommendations and set out an action plan for implementing these recommendations. Recommendations are developed to address findings and lessons from the review. They aim to reduce the risk of similar events recurring, ultimately improving the quality and safety of patient care. In alignment with systems thinking and just culture, these recommendations should prioritise addressing systemic issues rather than focusing on individual fault.</w:t>
      </w:r>
    </w:p>
    <w:p w14:paraId="15D468FF" w14:textId="2E71750C" w:rsidR="00845AF9" w:rsidRPr="005959A8" w:rsidRDefault="22E22DEA" w:rsidP="57EA0190">
      <w:pPr>
        <w:pStyle w:val="Heading2"/>
        <w:spacing w:line="276" w:lineRule="auto"/>
        <w:rPr>
          <w:color w:val="007586" w:themeColor="text2"/>
        </w:rPr>
      </w:pPr>
      <w:bookmarkStart w:id="32" w:name="_Toc238026646"/>
      <w:r w:rsidRPr="005959A8">
        <w:rPr>
          <w:color w:val="007586" w:themeColor="text2"/>
        </w:rPr>
        <w:t>Writing recommendations</w:t>
      </w:r>
      <w:bookmarkEnd w:id="32"/>
      <w:r w:rsidRPr="005959A8">
        <w:rPr>
          <w:color w:val="007586" w:themeColor="text2"/>
        </w:rPr>
        <w:t xml:space="preserve"> </w:t>
      </w:r>
    </w:p>
    <w:p w14:paraId="4FEA49DF" w14:textId="424734A3" w:rsidR="00845AF9" w:rsidRPr="00357AFB" w:rsidRDefault="22E22DEA" w:rsidP="57EA0190">
      <w:pPr>
        <w:pStyle w:val="SCVbody"/>
      </w:pPr>
      <w:r>
        <w:t>Recommendations should be written and developed in line with SMART principles.</w:t>
      </w:r>
    </w:p>
    <w:p w14:paraId="5A024757" w14:textId="06BA6AA2" w:rsidR="00845AF9" w:rsidRPr="00D42DEC" w:rsidRDefault="22E22DEA" w:rsidP="57EA0190">
      <w:pPr>
        <w:pStyle w:val="Heading2"/>
        <w:spacing w:line="276" w:lineRule="auto"/>
        <w:rPr>
          <w:rFonts w:asciiTheme="minorHAnsi" w:hAnsiTheme="minorHAnsi" w:cstheme="minorBidi"/>
          <w:color w:val="007586" w:themeColor="accent2"/>
          <w:szCs w:val="28"/>
        </w:rPr>
      </w:pPr>
      <w:bookmarkStart w:id="33" w:name="_Toc238026647"/>
      <w:r w:rsidRPr="00D42DEC">
        <w:rPr>
          <w:rFonts w:asciiTheme="minorHAnsi" w:hAnsiTheme="minorHAnsi" w:cstheme="minorBidi"/>
          <w:color w:val="007586" w:themeColor="accent2"/>
          <w:szCs w:val="28"/>
        </w:rPr>
        <w:t>Recommendation strength</w:t>
      </w:r>
      <w:bookmarkEnd w:id="33"/>
      <w:r w:rsidRPr="00D42DEC">
        <w:rPr>
          <w:rFonts w:asciiTheme="minorHAnsi" w:hAnsiTheme="minorHAnsi" w:cstheme="minorBidi"/>
          <w:color w:val="007586" w:themeColor="accent2"/>
          <w:szCs w:val="28"/>
        </w:rPr>
        <w:t xml:space="preserve"> </w:t>
      </w:r>
    </w:p>
    <w:p w14:paraId="187DBB1D" w14:textId="5EDAC426" w:rsidR="00845AF9" w:rsidRPr="00357AFB" w:rsidRDefault="2BD8380E" w:rsidP="57EA0190">
      <w:pPr>
        <w:pStyle w:val="SCVbody"/>
      </w:pPr>
      <w:r>
        <w:t xml:space="preserve">Recommendations are classified according to the level of tangible impact that the actions outlined in the recommendation will have in the health service. Moderate and strong recommendations focus on changing the design of systems to better support human performance (Table </w:t>
      </w:r>
      <w:r w:rsidR="45514644">
        <w:t>11</w:t>
      </w:r>
      <w:r>
        <w:t xml:space="preserve">). </w:t>
      </w:r>
    </w:p>
    <w:p w14:paraId="21A9F934" w14:textId="740B6CAA" w:rsidR="00845AF9" w:rsidRPr="00357AFB" w:rsidRDefault="2BD8380E" w:rsidP="57EA0190">
      <w:pPr>
        <w:pStyle w:val="SCVbody"/>
      </w:pPr>
      <w:r>
        <w:t>For more information, refer to</w:t>
      </w:r>
      <w:r w:rsidR="1C8B3B47">
        <w:t xml:space="preserve"> Appendix 3: Guide to recommendation strength.</w:t>
      </w:r>
    </w:p>
    <w:p w14:paraId="65AF2EF6" w14:textId="70D5731F" w:rsidR="00845AF9" w:rsidRPr="00357AFB" w:rsidRDefault="2BD8380E" w:rsidP="509B18F9">
      <w:pPr>
        <w:pStyle w:val="SCVbody"/>
        <w:rPr>
          <w:b/>
          <w:bCs/>
          <w:color w:val="007586" w:themeColor="accent2"/>
        </w:rPr>
      </w:pPr>
      <w:r w:rsidRPr="509B18F9">
        <w:rPr>
          <w:b/>
          <w:bCs/>
          <w:color w:val="007586" w:themeColor="accent2"/>
        </w:rPr>
        <w:t xml:space="preserve">Table </w:t>
      </w:r>
      <w:r w:rsidR="216C8A0F" w:rsidRPr="509B18F9">
        <w:rPr>
          <w:b/>
          <w:bCs/>
          <w:color w:val="007586" w:themeColor="accent2"/>
        </w:rPr>
        <w:t>11</w:t>
      </w:r>
      <w:r w:rsidRPr="509B18F9">
        <w:rPr>
          <w:b/>
          <w:bCs/>
          <w:color w:val="007586" w:themeColor="accent2"/>
        </w:rPr>
        <w:t>: Strength of recommendations from the review of sentinel events, 2021–22 to 2024–25</w:t>
      </w:r>
    </w:p>
    <w:tbl>
      <w:tblPr>
        <w:tblStyle w:val="TableGrid"/>
        <w:tblW w:w="10008" w:type="dxa"/>
        <w:tblLook w:val="04A0" w:firstRow="1" w:lastRow="0" w:firstColumn="1" w:lastColumn="0" w:noHBand="0" w:noVBand="1"/>
      </w:tblPr>
      <w:tblGrid>
        <w:gridCol w:w="3660"/>
        <w:gridCol w:w="1587"/>
        <w:gridCol w:w="1587"/>
        <w:gridCol w:w="1587"/>
        <w:gridCol w:w="1587"/>
      </w:tblGrid>
      <w:tr w:rsidR="57EA0190" w14:paraId="49C75B47" w14:textId="77777777" w:rsidTr="00DB6A5E">
        <w:trPr>
          <w:cnfStyle w:val="100000000000" w:firstRow="1" w:lastRow="0" w:firstColumn="0" w:lastColumn="0" w:oddVBand="0" w:evenVBand="0" w:oddHBand="0" w:evenHBand="0" w:firstRowFirstColumn="0" w:firstRowLastColumn="0" w:lastRowFirstColumn="0" w:lastRowLastColumn="0"/>
          <w:trHeight w:val="300"/>
        </w:trPr>
        <w:tc>
          <w:tcPr>
            <w:tcW w:w="3660" w:type="dxa"/>
          </w:tcPr>
          <w:p w14:paraId="724E8197" w14:textId="389F25E9" w:rsidR="57EA0190" w:rsidRDefault="57EA0190" w:rsidP="57EA0190">
            <w:pPr>
              <w:pStyle w:val="SCVtablecolhead"/>
              <w:rPr>
                <w:sz w:val="24"/>
                <w:szCs w:val="24"/>
              </w:rPr>
            </w:pPr>
            <w:r w:rsidRPr="57EA0190">
              <w:rPr>
                <w:sz w:val="24"/>
                <w:szCs w:val="24"/>
              </w:rPr>
              <w:t xml:space="preserve">Strength  </w:t>
            </w:r>
          </w:p>
        </w:tc>
        <w:tc>
          <w:tcPr>
            <w:tcW w:w="1587" w:type="dxa"/>
            <w:vAlign w:val="center"/>
          </w:tcPr>
          <w:p w14:paraId="680BEC60" w14:textId="36F6318A" w:rsidR="57EA0190" w:rsidRDefault="57EA0190" w:rsidP="00DB6A5E">
            <w:pPr>
              <w:pStyle w:val="SCVtablecolhead"/>
              <w:jc w:val="right"/>
              <w:rPr>
                <w:sz w:val="24"/>
                <w:szCs w:val="24"/>
              </w:rPr>
            </w:pPr>
            <w:r w:rsidRPr="57EA0190">
              <w:rPr>
                <w:sz w:val="24"/>
                <w:szCs w:val="24"/>
              </w:rPr>
              <w:t>2021–22 </w:t>
            </w:r>
          </w:p>
        </w:tc>
        <w:tc>
          <w:tcPr>
            <w:tcW w:w="1587" w:type="dxa"/>
            <w:vAlign w:val="center"/>
          </w:tcPr>
          <w:p w14:paraId="31B91738" w14:textId="390F4437" w:rsidR="57EA0190" w:rsidRDefault="57EA0190" w:rsidP="00DB6A5E">
            <w:pPr>
              <w:pStyle w:val="SCVtablecolhead"/>
              <w:jc w:val="right"/>
              <w:rPr>
                <w:sz w:val="24"/>
                <w:szCs w:val="24"/>
              </w:rPr>
            </w:pPr>
            <w:r w:rsidRPr="57EA0190">
              <w:rPr>
                <w:sz w:val="24"/>
                <w:szCs w:val="24"/>
              </w:rPr>
              <w:t>2022–23</w:t>
            </w:r>
          </w:p>
        </w:tc>
        <w:tc>
          <w:tcPr>
            <w:tcW w:w="1587" w:type="dxa"/>
            <w:vAlign w:val="center"/>
          </w:tcPr>
          <w:p w14:paraId="0A08A137" w14:textId="4E4FFBB2" w:rsidR="57EA0190" w:rsidRDefault="57EA0190" w:rsidP="00DB6A5E">
            <w:pPr>
              <w:pStyle w:val="SCVtablecolhead"/>
              <w:jc w:val="right"/>
              <w:rPr>
                <w:sz w:val="24"/>
                <w:szCs w:val="24"/>
              </w:rPr>
            </w:pPr>
            <w:r w:rsidRPr="57EA0190">
              <w:rPr>
                <w:sz w:val="24"/>
                <w:szCs w:val="24"/>
              </w:rPr>
              <w:t>2023–24</w:t>
            </w:r>
          </w:p>
        </w:tc>
        <w:tc>
          <w:tcPr>
            <w:tcW w:w="1587" w:type="dxa"/>
            <w:vAlign w:val="center"/>
          </w:tcPr>
          <w:p w14:paraId="0C892102" w14:textId="51525FA3" w:rsidR="57EA0190" w:rsidRDefault="57EA0190" w:rsidP="00DB6A5E">
            <w:pPr>
              <w:pStyle w:val="SCVtablecolhead"/>
              <w:jc w:val="right"/>
              <w:rPr>
                <w:sz w:val="24"/>
                <w:szCs w:val="24"/>
              </w:rPr>
            </w:pPr>
            <w:r w:rsidRPr="57EA0190">
              <w:rPr>
                <w:sz w:val="24"/>
                <w:szCs w:val="24"/>
              </w:rPr>
              <w:t>2024–25</w:t>
            </w:r>
          </w:p>
        </w:tc>
      </w:tr>
      <w:tr w:rsidR="57EA0190" w14:paraId="551F3C29" w14:textId="77777777" w:rsidTr="00DB6A5E">
        <w:trPr>
          <w:trHeight w:val="300"/>
        </w:trPr>
        <w:tc>
          <w:tcPr>
            <w:tcW w:w="3660" w:type="dxa"/>
          </w:tcPr>
          <w:p w14:paraId="7916E6D7" w14:textId="0428E330" w:rsidR="57EA0190" w:rsidRPr="00DB6A5E" w:rsidRDefault="34166338" w:rsidP="1D8ABA5E">
            <w:pPr>
              <w:pStyle w:val="SCVtablebody"/>
              <w:rPr>
                <w:b/>
                <w:bCs/>
                <w:color w:val="007586" w:themeColor="text2"/>
                <w:sz w:val="24"/>
                <w:szCs w:val="24"/>
              </w:rPr>
            </w:pPr>
            <w:r w:rsidRPr="00DB6A5E">
              <w:rPr>
                <w:b/>
                <w:bCs/>
                <w:color w:val="007586" w:themeColor="text2"/>
                <w:sz w:val="24"/>
                <w:szCs w:val="24"/>
              </w:rPr>
              <w:t>Total recommendations</w:t>
            </w:r>
          </w:p>
        </w:tc>
        <w:tc>
          <w:tcPr>
            <w:tcW w:w="1587" w:type="dxa"/>
            <w:vAlign w:val="center"/>
          </w:tcPr>
          <w:p w14:paraId="7054E7A6" w14:textId="1C098CD7" w:rsidR="57EA0190" w:rsidRDefault="34166338" w:rsidP="00DB6A5E">
            <w:pPr>
              <w:pStyle w:val="SCVtablebody"/>
              <w:jc w:val="right"/>
              <w:rPr>
                <w:b/>
                <w:bCs/>
                <w:sz w:val="24"/>
                <w:szCs w:val="24"/>
              </w:rPr>
            </w:pPr>
            <w:r w:rsidRPr="509B18F9">
              <w:rPr>
                <w:b/>
                <w:bCs/>
                <w:sz w:val="24"/>
                <w:szCs w:val="24"/>
              </w:rPr>
              <w:t xml:space="preserve">1,149  </w:t>
            </w:r>
          </w:p>
        </w:tc>
        <w:tc>
          <w:tcPr>
            <w:tcW w:w="1587" w:type="dxa"/>
            <w:vAlign w:val="center"/>
          </w:tcPr>
          <w:p w14:paraId="09A19283" w14:textId="2333B9E7" w:rsidR="57EA0190" w:rsidRDefault="34166338" w:rsidP="00DB6A5E">
            <w:pPr>
              <w:pStyle w:val="SCVtablebody"/>
              <w:jc w:val="right"/>
              <w:rPr>
                <w:b/>
                <w:bCs/>
                <w:sz w:val="24"/>
                <w:szCs w:val="24"/>
              </w:rPr>
            </w:pPr>
            <w:r w:rsidRPr="509B18F9">
              <w:rPr>
                <w:b/>
                <w:bCs/>
                <w:sz w:val="24"/>
                <w:szCs w:val="24"/>
              </w:rPr>
              <w:t xml:space="preserve">1,159  </w:t>
            </w:r>
          </w:p>
        </w:tc>
        <w:tc>
          <w:tcPr>
            <w:tcW w:w="1587" w:type="dxa"/>
            <w:vAlign w:val="center"/>
          </w:tcPr>
          <w:p w14:paraId="22CE7D57" w14:textId="2491E681" w:rsidR="57EA0190" w:rsidRDefault="34166338" w:rsidP="00DB6A5E">
            <w:pPr>
              <w:pStyle w:val="SCVtablebody"/>
              <w:jc w:val="right"/>
              <w:rPr>
                <w:b/>
                <w:bCs/>
                <w:sz w:val="24"/>
                <w:szCs w:val="24"/>
              </w:rPr>
            </w:pPr>
            <w:r w:rsidRPr="509B18F9">
              <w:rPr>
                <w:b/>
                <w:bCs/>
                <w:sz w:val="24"/>
                <w:szCs w:val="24"/>
              </w:rPr>
              <w:t>758</w:t>
            </w:r>
          </w:p>
        </w:tc>
        <w:tc>
          <w:tcPr>
            <w:tcW w:w="1587" w:type="dxa"/>
            <w:vAlign w:val="center"/>
          </w:tcPr>
          <w:p w14:paraId="16102F4C" w14:textId="6F8AD37B" w:rsidR="57EA0190" w:rsidRDefault="34166338" w:rsidP="00DB6A5E">
            <w:pPr>
              <w:pStyle w:val="SCVtablebody"/>
              <w:jc w:val="right"/>
              <w:rPr>
                <w:b/>
                <w:bCs/>
                <w:sz w:val="24"/>
                <w:szCs w:val="24"/>
              </w:rPr>
            </w:pPr>
            <w:r w:rsidRPr="509B18F9">
              <w:rPr>
                <w:b/>
                <w:bCs/>
                <w:sz w:val="24"/>
                <w:szCs w:val="24"/>
              </w:rPr>
              <w:t>915</w:t>
            </w:r>
          </w:p>
        </w:tc>
      </w:tr>
      <w:tr w:rsidR="57EA0190" w14:paraId="0E06AC18" w14:textId="77777777" w:rsidTr="00DB6A5E">
        <w:trPr>
          <w:trHeight w:val="300"/>
        </w:trPr>
        <w:tc>
          <w:tcPr>
            <w:tcW w:w="3660" w:type="dxa"/>
          </w:tcPr>
          <w:p w14:paraId="74D921DE" w14:textId="4CA9A44C" w:rsidR="57EA0190" w:rsidRPr="00DB6A5E" w:rsidRDefault="34166338" w:rsidP="1D8ABA5E">
            <w:pPr>
              <w:pStyle w:val="SCVtablebody"/>
              <w:rPr>
                <w:b/>
                <w:bCs/>
                <w:color w:val="007586" w:themeColor="text2"/>
                <w:sz w:val="24"/>
                <w:szCs w:val="24"/>
              </w:rPr>
            </w:pPr>
            <w:r w:rsidRPr="00DB6A5E">
              <w:rPr>
                <w:b/>
                <w:bCs/>
                <w:color w:val="007586" w:themeColor="text2"/>
                <w:sz w:val="24"/>
                <w:szCs w:val="24"/>
              </w:rPr>
              <w:t xml:space="preserve">Weak  </w:t>
            </w:r>
          </w:p>
        </w:tc>
        <w:tc>
          <w:tcPr>
            <w:tcW w:w="1587" w:type="dxa"/>
            <w:vAlign w:val="center"/>
          </w:tcPr>
          <w:p w14:paraId="5465ECB0" w14:textId="59006646" w:rsidR="57EA0190" w:rsidRDefault="57EA0190" w:rsidP="00DB6A5E">
            <w:pPr>
              <w:pStyle w:val="SCVtablebody"/>
              <w:jc w:val="right"/>
              <w:rPr>
                <w:sz w:val="24"/>
                <w:szCs w:val="24"/>
              </w:rPr>
            </w:pPr>
            <w:r w:rsidRPr="57EA0190">
              <w:rPr>
                <w:sz w:val="24"/>
                <w:szCs w:val="24"/>
              </w:rPr>
              <w:t xml:space="preserve">41%  </w:t>
            </w:r>
          </w:p>
        </w:tc>
        <w:tc>
          <w:tcPr>
            <w:tcW w:w="1587" w:type="dxa"/>
            <w:vAlign w:val="center"/>
          </w:tcPr>
          <w:p w14:paraId="47E53BFE" w14:textId="316D0A7B" w:rsidR="57EA0190" w:rsidRDefault="57EA0190" w:rsidP="00DB6A5E">
            <w:pPr>
              <w:pStyle w:val="SCVtablebody"/>
              <w:jc w:val="right"/>
              <w:rPr>
                <w:sz w:val="24"/>
                <w:szCs w:val="24"/>
              </w:rPr>
            </w:pPr>
            <w:r w:rsidRPr="57EA0190">
              <w:rPr>
                <w:sz w:val="24"/>
                <w:szCs w:val="24"/>
              </w:rPr>
              <w:t xml:space="preserve">48%  </w:t>
            </w:r>
          </w:p>
        </w:tc>
        <w:tc>
          <w:tcPr>
            <w:tcW w:w="1587" w:type="dxa"/>
            <w:vAlign w:val="center"/>
          </w:tcPr>
          <w:p w14:paraId="55DE5649" w14:textId="3F0BD07C" w:rsidR="57EA0190" w:rsidRDefault="57EA0190" w:rsidP="00DB6A5E">
            <w:pPr>
              <w:pStyle w:val="SCVtablebody"/>
              <w:jc w:val="right"/>
              <w:rPr>
                <w:sz w:val="24"/>
                <w:szCs w:val="24"/>
              </w:rPr>
            </w:pPr>
            <w:r w:rsidRPr="57EA0190">
              <w:rPr>
                <w:sz w:val="24"/>
                <w:szCs w:val="24"/>
              </w:rPr>
              <w:t xml:space="preserve">50%  </w:t>
            </w:r>
          </w:p>
        </w:tc>
        <w:tc>
          <w:tcPr>
            <w:tcW w:w="1587" w:type="dxa"/>
            <w:vAlign w:val="center"/>
          </w:tcPr>
          <w:p w14:paraId="119E654C" w14:textId="677D8F21" w:rsidR="57EA0190" w:rsidRDefault="57EA0190" w:rsidP="00DB6A5E">
            <w:pPr>
              <w:pStyle w:val="SCVtablebody"/>
              <w:jc w:val="right"/>
              <w:rPr>
                <w:sz w:val="24"/>
                <w:szCs w:val="24"/>
              </w:rPr>
            </w:pPr>
            <w:r w:rsidRPr="57EA0190">
              <w:rPr>
                <w:sz w:val="24"/>
                <w:szCs w:val="24"/>
              </w:rPr>
              <w:t>46%</w:t>
            </w:r>
          </w:p>
        </w:tc>
      </w:tr>
      <w:tr w:rsidR="57EA0190" w14:paraId="20E580A4" w14:textId="77777777" w:rsidTr="00DB6A5E">
        <w:trPr>
          <w:trHeight w:val="300"/>
        </w:trPr>
        <w:tc>
          <w:tcPr>
            <w:tcW w:w="3660" w:type="dxa"/>
          </w:tcPr>
          <w:p w14:paraId="56B82878" w14:textId="4D0138D8" w:rsidR="57EA0190" w:rsidRPr="00DB6A5E" w:rsidRDefault="34166338" w:rsidP="1D8ABA5E">
            <w:pPr>
              <w:pStyle w:val="SCVtablebody"/>
              <w:rPr>
                <w:b/>
                <w:bCs/>
                <w:color w:val="007586" w:themeColor="text2"/>
                <w:sz w:val="24"/>
                <w:szCs w:val="24"/>
              </w:rPr>
            </w:pPr>
            <w:r w:rsidRPr="00DB6A5E">
              <w:rPr>
                <w:b/>
                <w:bCs/>
                <w:color w:val="007586" w:themeColor="text2"/>
                <w:sz w:val="24"/>
                <w:szCs w:val="24"/>
              </w:rPr>
              <w:t xml:space="preserve">Moderate   </w:t>
            </w:r>
          </w:p>
        </w:tc>
        <w:tc>
          <w:tcPr>
            <w:tcW w:w="1587" w:type="dxa"/>
            <w:vAlign w:val="center"/>
          </w:tcPr>
          <w:p w14:paraId="2AC8DECC" w14:textId="54D27BFE" w:rsidR="57EA0190" w:rsidRDefault="57EA0190" w:rsidP="00DB6A5E">
            <w:pPr>
              <w:pStyle w:val="SCVtablebody"/>
              <w:jc w:val="right"/>
              <w:rPr>
                <w:sz w:val="24"/>
                <w:szCs w:val="24"/>
              </w:rPr>
            </w:pPr>
            <w:r w:rsidRPr="57EA0190">
              <w:rPr>
                <w:sz w:val="24"/>
                <w:szCs w:val="24"/>
              </w:rPr>
              <w:t xml:space="preserve">44%  </w:t>
            </w:r>
          </w:p>
        </w:tc>
        <w:tc>
          <w:tcPr>
            <w:tcW w:w="1587" w:type="dxa"/>
            <w:vAlign w:val="center"/>
          </w:tcPr>
          <w:p w14:paraId="09CD5DFF" w14:textId="1F7567EB" w:rsidR="57EA0190" w:rsidRDefault="57EA0190" w:rsidP="00DB6A5E">
            <w:pPr>
              <w:pStyle w:val="SCVtablebody"/>
              <w:jc w:val="right"/>
              <w:rPr>
                <w:sz w:val="24"/>
                <w:szCs w:val="24"/>
              </w:rPr>
            </w:pPr>
            <w:r w:rsidRPr="57EA0190">
              <w:rPr>
                <w:sz w:val="24"/>
                <w:szCs w:val="24"/>
              </w:rPr>
              <w:t xml:space="preserve">40% </w:t>
            </w:r>
          </w:p>
        </w:tc>
        <w:tc>
          <w:tcPr>
            <w:tcW w:w="1587" w:type="dxa"/>
            <w:vAlign w:val="center"/>
          </w:tcPr>
          <w:p w14:paraId="64B4A14D" w14:textId="6E792C39" w:rsidR="57EA0190" w:rsidRDefault="57EA0190" w:rsidP="00DB6A5E">
            <w:pPr>
              <w:pStyle w:val="SCVtablebody"/>
              <w:jc w:val="right"/>
              <w:rPr>
                <w:sz w:val="24"/>
                <w:szCs w:val="24"/>
              </w:rPr>
            </w:pPr>
            <w:r w:rsidRPr="57EA0190">
              <w:rPr>
                <w:sz w:val="24"/>
                <w:szCs w:val="24"/>
              </w:rPr>
              <w:t xml:space="preserve">38% </w:t>
            </w:r>
          </w:p>
        </w:tc>
        <w:tc>
          <w:tcPr>
            <w:tcW w:w="1587" w:type="dxa"/>
            <w:vAlign w:val="center"/>
          </w:tcPr>
          <w:p w14:paraId="7A7B3E80" w14:textId="6CA35442" w:rsidR="57EA0190" w:rsidRDefault="57EA0190" w:rsidP="00DB6A5E">
            <w:pPr>
              <w:pStyle w:val="SCVtablebody"/>
              <w:jc w:val="right"/>
              <w:rPr>
                <w:sz w:val="24"/>
                <w:szCs w:val="24"/>
              </w:rPr>
            </w:pPr>
            <w:r w:rsidRPr="57EA0190">
              <w:rPr>
                <w:sz w:val="24"/>
                <w:szCs w:val="24"/>
              </w:rPr>
              <w:t>43%</w:t>
            </w:r>
          </w:p>
        </w:tc>
      </w:tr>
      <w:tr w:rsidR="57EA0190" w14:paraId="0D046D4F" w14:textId="77777777" w:rsidTr="00DB6A5E">
        <w:trPr>
          <w:trHeight w:val="300"/>
        </w:trPr>
        <w:tc>
          <w:tcPr>
            <w:tcW w:w="3660" w:type="dxa"/>
          </w:tcPr>
          <w:p w14:paraId="57D6F7CC" w14:textId="0ED37B0B" w:rsidR="57EA0190" w:rsidRPr="00DB6A5E" w:rsidRDefault="34166338" w:rsidP="1D8ABA5E">
            <w:pPr>
              <w:pStyle w:val="SCVtablebody"/>
              <w:rPr>
                <w:b/>
                <w:bCs/>
                <w:color w:val="007586" w:themeColor="text2"/>
                <w:sz w:val="24"/>
                <w:szCs w:val="24"/>
              </w:rPr>
            </w:pPr>
            <w:r w:rsidRPr="00DB6A5E">
              <w:rPr>
                <w:b/>
                <w:bCs/>
                <w:color w:val="007586" w:themeColor="text2"/>
                <w:sz w:val="24"/>
                <w:szCs w:val="24"/>
              </w:rPr>
              <w:t xml:space="preserve">Strong  </w:t>
            </w:r>
          </w:p>
        </w:tc>
        <w:tc>
          <w:tcPr>
            <w:tcW w:w="1587" w:type="dxa"/>
            <w:vAlign w:val="center"/>
          </w:tcPr>
          <w:p w14:paraId="3CC280C7" w14:textId="1BE46171" w:rsidR="57EA0190" w:rsidRDefault="57EA0190" w:rsidP="00DB6A5E">
            <w:pPr>
              <w:pStyle w:val="SCVtablebody"/>
              <w:jc w:val="right"/>
              <w:rPr>
                <w:sz w:val="24"/>
                <w:szCs w:val="24"/>
              </w:rPr>
            </w:pPr>
            <w:r w:rsidRPr="57EA0190">
              <w:rPr>
                <w:sz w:val="24"/>
                <w:szCs w:val="24"/>
              </w:rPr>
              <w:t xml:space="preserve">15%  </w:t>
            </w:r>
          </w:p>
        </w:tc>
        <w:tc>
          <w:tcPr>
            <w:tcW w:w="1587" w:type="dxa"/>
            <w:vAlign w:val="center"/>
          </w:tcPr>
          <w:p w14:paraId="3C2479F5" w14:textId="3F8FC52B" w:rsidR="57EA0190" w:rsidRDefault="57EA0190" w:rsidP="00DB6A5E">
            <w:pPr>
              <w:pStyle w:val="SCVtablebody"/>
              <w:jc w:val="right"/>
              <w:rPr>
                <w:sz w:val="24"/>
                <w:szCs w:val="24"/>
              </w:rPr>
            </w:pPr>
            <w:r w:rsidRPr="57EA0190">
              <w:rPr>
                <w:sz w:val="24"/>
                <w:szCs w:val="24"/>
              </w:rPr>
              <w:t xml:space="preserve">12 % </w:t>
            </w:r>
          </w:p>
        </w:tc>
        <w:tc>
          <w:tcPr>
            <w:tcW w:w="1587" w:type="dxa"/>
            <w:vAlign w:val="center"/>
          </w:tcPr>
          <w:p w14:paraId="71CF13B3" w14:textId="188ECD30" w:rsidR="57EA0190" w:rsidRDefault="57EA0190" w:rsidP="00DB6A5E">
            <w:pPr>
              <w:pStyle w:val="SCVtablebody"/>
              <w:jc w:val="right"/>
              <w:rPr>
                <w:sz w:val="24"/>
                <w:szCs w:val="24"/>
              </w:rPr>
            </w:pPr>
            <w:r w:rsidRPr="57EA0190">
              <w:rPr>
                <w:sz w:val="24"/>
                <w:szCs w:val="24"/>
              </w:rPr>
              <w:t xml:space="preserve">12% </w:t>
            </w:r>
          </w:p>
        </w:tc>
        <w:tc>
          <w:tcPr>
            <w:tcW w:w="1587" w:type="dxa"/>
            <w:vAlign w:val="center"/>
          </w:tcPr>
          <w:p w14:paraId="75AB1C54" w14:textId="2BE5963C" w:rsidR="57EA0190" w:rsidRDefault="57EA0190" w:rsidP="00DB6A5E">
            <w:pPr>
              <w:pStyle w:val="SCVtablebody"/>
              <w:jc w:val="right"/>
              <w:rPr>
                <w:sz w:val="24"/>
                <w:szCs w:val="24"/>
              </w:rPr>
            </w:pPr>
            <w:r w:rsidRPr="57EA0190">
              <w:rPr>
                <w:sz w:val="24"/>
                <w:szCs w:val="24"/>
              </w:rPr>
              <w:t>11%</w:t>
            </w:r>
          </w:p>
        </w:tc>
      </w:tr>
      <w:tr w:rsidR="57EA0190" w14:paraId="3D0933E1" w14:textId="77777777" w:rsidTr="00DB6A5E">
        <w:trPr>
          <w:trHeight w:val="300"/>
        </w:trPr>
        <w:tc>
          <w:tcPr>
            <w:tcW w:w="3660" w:type="dxa"/>
          </w:tcPr>
          <w:p w14:paraId="6EC4DD66" w14:textId="07A4682F" w:rsidR="57EA0190" w:rsidRPr="00DB6A5E" w:rsidRDefault="34166338" w:rsidP="1D8ABA5E">
            <w:pPr>
              <w:pStyle w:val="SCVtablebody"/>
              <w:rPr>
                <w:b/>
                <w:bCs/>
                <w:color w:val="007586" w:themeColor="text2"/>
                <w:sz w:val="24"/>
                <w:szCs w:val="24"/>
              </w:rPr>
            </w:pPr>
            <w:r w:rsidRPr="00DB6A5E">
              <w:rPr>
                <w:b/>
                <w:bCs/>
                <w:color w:val="007586" w:themeColor="text2"/>
                <w:sz w:val="24"/>
                <w:szCs w:val="24"/>
              </w:rPr>
              <w:t xml:space="preserve">Rated SMART  </w:t>
            </w:r>
          </w:p>
        </w:tc>
        <w:tc>
          <w:tcPr>
            <w:tcW w:w="1587" w:type="dxa"/>
            <w:vAlign w:val="center"/>
          </w:tcPr>
          <w:p w14:paraId="6B5E92D4" w14:textId="5A5C6A01" w:rsidR="57EA0190" w:rsidRDefault="57EA0190" w:rsidP="00DB6A5E">
            <w:pPr>
              <w:pStyle w:val="SCVtablebody"/>
              <w:jc w:val="right"/>
              <w:rPr>
                <w:sz w:val="24"/>
                <w:szCs w:val="24"/>
              </w:rPr>
            </w:pPr>
            <w:r w:rsidRPr="57EA0190">
              <w:rPr>
                <w:sz w:val="24"/>
                <w:szCs w:val="24"/>
              </w:rPr>
              <w:t xml:space="preserve">61%  </w:t>
            </w:r>
          </w:p>
        </w:tc>
        <w:tc>
          <w:tcPr>
            <w:tcW w:w="1587" w:type="dxa"/>
            <w:vAlign w:val="center"/>
          </w:tcPr>
          <w:p w14:paraId="5660B54E" w14:textId="1F79783F" w:rsidR="57EA0190" w:rsidRDefault="57EA0190" w:rsidP="00DB6A5E">
            <w:pPr>
              <w:pStyle w:val="SCVtablebody"/>
              <w:jc w:val="right"/>
              <w:rPr>
                <w:sz w:val="24"/>
                <w:szCs w:val="24"/>
              </w:rPr>
            </w:pPr>
            <w:r w:rsidRPr="57EA0190">
              <w:rPr>
                <w:sz w:val="24"/>
                <w:szCs w:val="24"/>
              </w:rPr>
              <w:t xml:space="preserve">83%  </w:t>
            </w:r>
          </w:p>
        </w:tc>
        <w:tc>
          <w:tcPr>
            <w:tcW w:w="1587" w:type="dxa"/>
            <w:vAlign w:val="center"/>
          </w:tcPr>
          <w:p w14:paraId="70D12297" w14:textId="5AD76258" w:rsidR="57EA0190" w:rsidRDefault="57EA0190" w:rsidP="00DB6A5E">
            <w:pPr>
              <w:pStyle w:val="SCVtablebody"/>
              <w:jc w:val="right"/>
              <w:rPr>
                <w:sz w:val="24"/>
                <w:szCs w:val="24"/>
              </w:rPr>
            </w:pPr>
            <w:r w:rsidRPr="57EA0190">
              <w:rPr>
                <w:sz w:val="24"/>
                <w:szCs w:val="24"/>
              </w:rPr>
              <w:t xml:space="preserve">85%  </w:t>
            </w:r>
          </w:p>
        </w:tc>
        <w:tc>
          <w:tcPr>
            <w:tcW w:w="1587" w:type="dxa"/>
            <w:vAlign w:val="center"/>
          </w:tcPr>
          <w:p w14:paraId="7454B359" w14:textId="3B43473A" w:rsidR="57EA0190" w:rsidRDefault="57EA0190" w:rsidP="00DB6A5E">
            <w:pPr>
              <w:pStyle w:val="SCVtablebody"/>
              <w:jc w:val="right"/>
              <w:rPr>
                <w:sz w:val="24"/>
                <w:szCs w:val="24"/>
              </w:rPr>
            </w:pPr>
            <w:r w:rsidRPr="57EA0190">
              <w:rPr>
                <w:sz w:val="24"/>
                <w:szCs w:val="24"/>
              </w:rPr>
              <w:t>81%</w:t>
            </w:r>
          </w:p>
        </w:tc>
      </w:tr>
    </w:tbl>
    <w:p w14:paraId="60FF1791" w14:textId="602BD6CA" w:rsidR="00845AF9" w:rsidRPr="00357AFB" w:rsidRDefault="22E22DEA" w:rsidP="57EA0190">
      <w:pPr>
        <w:pStyle w:val="SCVtablefigurenote"/>
      </w:pPr>
      <w:r>
        <w:t>Note that the ‘total recommendations’ of 2024–25 data is incomplete due to reporting timeframes. This will be reported in the 2025–26 annual report.</w:t>
      </w:r>
    </w:p>
    <w:p w14:paraId="50164A2C" w14:textId="49BEE502" w:rsidR="00845AF9" w:rsidRPr="00357AFB" w:rsidRDefault="2BD8380E" w:rsidP="57EA0190">
      <w:pPr>
        <w:pStyle w:val="SCVbody"/>
      </w:pPr>
      <w:r>
        <w:lastRenderedPageBreak/>
        <w:t xml:space="preserve">There were </w:t>
      </w:r>
      <w:r w:rsidRPr="509B18F9">
        <w:rPr>
          <w:b/>
          <w:bCs/>
        </w:rPr>
        <w:t xml:space="preserve">915 </w:t>
      </w:r>
      <w:r>
        <w:t>recommendations made for</w:t>
      </w:r>
      <w:r w:rsidRPr="509B18F9">
        <w:rPr>
          <w:b/>
          <w:bCs/>
        </w:rPr>
        <w:t xml:space="preserve"> 682</w:t>
      </w:r>
      <w:r>
        <w:t xml:space="preserve"> ﬁndings and </w:t>
      </w:r>
      <w:r w:rsidRPr="509B18F9">
        <w:rPr>
          <w:b/>
          <w:bCs/>
        </w:rPr>
        <w:t xml:space="preserve">436 </w:t>
      </w:r>
      <w:r>
        <w:t>lessons learnt during 2024–25</w:t>
      </w:r>
      <w:r w:rsidR="22BAD49D">
        <w:t xml:space="preserve"> (Table </w:t>
      </w:r>
      <w:r w:rsidR="7414A37F">
        <w:t>1</w:t>
      </w:r>
      <w:r w:rsidR="50B269F6">
        <w:t>2</w:t>
      </w:r>
      <w:r w:rsidR="22BAD49D">
        <w:t>)</w:t>
      </w:r>
      <w:r>
        <w:t>.</w:t>
      </w:r>
    </w:p>
    <w:p w14:paraId="23EDA960" w14:textId="50224ACF" w:rsidR="00845AF9" w:rsidRDefault="2BD8380E" w:rsidP="57EA0190">
      <w:pPr>
        <w:pStyle w:val="SCVbody"/>
      </w:pPr>
      <w:r>
        <w:t>The percentage of recommendations using SMART principles has increased from 61% in 2021–22 to 81% in 2024–25, showing a more concerted effort to make recommendations more relevant and capable of implementation (Table 1</w:t>
      </w:r>
      <w:r w:rsidR="76F3855B">
        <w:t>2</w:t>
      </w:r>
      <w:r w:rsidR="3E315844">
        <w:t>)</w:t>
      </w:r>
      <w:r>
        <w:t xml:space="preserve">. The strength of recommendations has remained relatively stable over the previous </w:t>
      </w:r>
      <w:r w:rsidR="79626DF2">
        <w:t>four</w:t>
      </w:r>
      <w:r>
        <w:t xml:space="preserve"> years, indicating room for improvement.</w:t>
      </w:r>
    </w:p>
    <w:p w14:paraId="329357DF" w14:textId="7C95E71A" w:rsidR="005E7DE4" w:rsidRDefault="0DCC7851" w:rsidP="005E7DE4">
      <w:pPr>
        <w:pStyle w:val="SCVtablecaption"/>
      </w:pPr>
      <w:r>
        <w:t xml:space="preserve">Table </w:t>
      </w:r>
      <w:r w:rsidR="7414A37F">
        <w:t>1</w:t>
      </w:r>
      <w:r w:rsidR="09147ED2">
        <w:t>2</w:t>
      </w:r>
      <w:r>
        <w:t>: Health service recommendations by area and strength of recommendations</w:t>
      </w:r>
    </w:p>
    <w:tbl>
      <w:tblPr>
        <w:tblStyle w:val="TableGrid"/>
        <w:tblW w:w="10045" w:type="dxa"/>
        <w:tblLook w:val="04A0" w:firstRow="1" w:lastRow="0" w:firstColumn="1" w:lastColumn="0" w:noHBand="0" w:noVBand="1"/>
      </w:tblPr>
      <w:tblGrid>
        <w:gridCol w:w="1869"/>
        <w:gridCol w:w="1334"/>
        <w:gridCol w:w="1316"/>
        <w:gridCol w:w="1510"/>
        <w:gridCol w:w="1325"/>
        <w:gridCol w:w="1356"/>
        <w:gridCol w:w="1335"/>
      </w:tblGrid>
      <w:tr w:rsidR="005E7DE4" w:rsidRPr="00DB7831" w14:paraId="42D48147" w14:textId="77777777" w:rsidTr="00DB6A5E">
        <w:trPr>
          <w:cnfStyle w:val="100000000000" w:firstRow="1" w:lastRow="0" w:firstColumn="0" w:lastColumn="0" w:oddVBand="0" w:evenVBand="0" w:oddHBand="0" w:evenHBand="0" w:firstRowFirstColumn="0" w:firstRowLastColumn="0" w:lastRowFirstColumn="0" w:lastRowLastColumn="0"/>
        </w:trPr>
        <w:tc>
          <w:tcPr>
            <w:tcW w:w="1879" w:type="dxa"/>
          </w:tcPr>
          <w:p w14:paraId="50EFDB52" w14:textId="1080EC70" w:rsidR="005E7DE4" w:rsidRPr="00DB7831" w:rsidRDefault="005E7DE4" w:rsidP="005E7DE4">
            <w:pPr>
              <w:pStyle w:val="SCVtablecolhead"/>
              <w:rPr>
                <w:sz w:val="24"/>
                <w:szCs w:val="20"/>
              </w:rPr>
            </w:pPr>
            <w:r w:rsidRPr="00DB7831">
              <w:rPr>
                <w:sz w:val="24"/>
                <w:szCs w:val="20"/>
              </w:rPr>
              <w:t>Sentinel event area</w:t>
            </w:r>
          </w:p>
        </w:tc>
        <w:tc>
          <w:tcPr>
            <w:tcW w:w="1361" w:type="dxa"/>
            <w:vAlign w:val="center"/>
          </w:tcPr>
          <w:p w14:paraId="1CBDAD29" w14:textId="7DE228FE" w:rsidR="005E7DE4" w:rsidRPr="00DB7831" w:rsidRDefault="005E7DE4" w:rsidP="00DB6A5E">
            <w:pPr>
              <w:pStyle w:val="SCVtablecolhead"/>
              <w:jc w:val="right"/>
              <w:rPr>
                <w:sz w:val="24"/>
                <w:szCs w:val="20"/>
              </w:rPr>
            </w:pPr>
            <w:r w:rsidRPr="00DB7831">
              <w:rPr>
                <w:sz w:val="24"/>
                <w:szCs w:val="20"/>
              </w:rPr>
              <w:t>No. of events</w:t>
            </w:r>
          </w:p>
        </w:tc>
        <w:tc>
          <w:tcPr>
            <w:tcW w:w="1361" w:type="dxa"/>
            <w:vAlign w:val="center"/>
          </w:tcPr>
          <w:p w14:paraId="33A8C59A" w14:textId="1B7ECE07" w:rsidR="005E7DE4" w:rsidRPr="00DB7831" w:rsidRDefault="005E7DE4" w:rsidP="00DB6A5E">
            <w:pPr>
              <w:pStyle w:val="SCVtablecolhead"/>
              <w:jc w:val="right"/>
              <w:rPr>
                <w:sz w:val="24"/>
                <w:szCs w:val="20"/>
              </w:rPr>
            </w:pPr>
            <w:r w:rsidRPr="00DB7831">
              <w:rPr>
                <w:sz w:val="24"/>
                <w:szCs w:val="20"/>
              </w:rPr>
              <w:t>No. of recs</w:t>
            </w:r>
          </w:p>
        </w:tc>
        <w:tc>
          <w:tcPr>
            <w:tcW w:w="1361" w:type="dxa"/>
            <w:vAlign w:val="center"/>
          </w:tcPr>
          <w:p w14:paraId="6CB17843" w14:textId="2DB2352F" w:rsidR="005E7DE4" w:rsidRPr="00DB7831" w:rsidRDefault="005E7DE4" w:rsidP="00DB6A5E">
            <w:pPr>
              <w:pStyle w:val="SCVtablecolhead"/>
              <w:jc w:val="right"/>
              <w:rPr>
                <w:sz w:val="24"/>
                <w:szCs w:val="20"/>
              </w:rPr>
            </w:pPr>
            <w:r w:rsidRPr="00DB7831">
              <w:rPr>
                <w:sz w:val="24"/>
                <w:szCs w:val="20"/>
              </w:rPr>
              <w:t>Percentage using SMART principles</w:t>
            </w:r>
          </w:p>
        </w:tc>
        <w:tc>
          <w:tcPr>
            <w:tcW w:w="1361" w:type="dxa"/>
            <w:vAlign w:val="center"/>
          </w:tcPr>
          <w:p w14:paraId="7B7DEF66" w14:textId="735E7BB7" w:rsidR="005E7DE4" w:rsidRPr="00DB7831" w:rsidRDefault="005E7DE4" w:rsidP="00DB6A5E">
            <w:pPr>
              <w:pStyle w:val="SCVtablecolhead"/>
              <w:jc w:val="right"/>
              <w:rPr>
                <w:sz w:val="24"/>
                <w:szCs w:val="20"/>
              </w:rPr>
            </w:pPr>
            <w:r w:rsidRPr="00DB7831">
              <w:rPr>
                <w:sz w:val="24"/>
                <w:szCs w:val="20"/>
              </w:rPr>
              <w:t>Weak</w:t>
            </w:r>
          </w:p>
        </w:tc>
        <w:tc>
          <w:tcPr>
            <w:tcW w:w="1361" w:type="dxa"/>
            <w:vAlign w:val="center"/>
          </w:tcPr>
          <w:p w14:paraId="29561C2F" w14:textId="545C8693" w:rsidR="005E7DE4" w:rsidRPr="00DB7831" w:rsidRDefault="005E7DE4" w:rsidP="00DB6A5E">
            <w:pPr>
              <w:pStyle w:val="SCVtablecolhead"/>
              <w:jc w:val="right"/>
              <w:rPr>
                <w:sz w:val="24"/>
                <w:szCs w:val="20"/>
              </w:rPr>
            </w:pPr>
            <w:r w:rsidRPr="00DB7831">
              <w:rPr>
                <w:sz w:val="24"/>
                <w:szCs w:val="20"/>
              </w:rPr>
              <w:t>Moderate</w:t>
            </w:r>
          </w:p>
        </w:tc>
        <w:tc>
          <w:tcPr>
            <w:tcW w:w="1361" w:type="dxa"/>
            <w:vAlign w:val="center"/>
          </w:tcPr>
          <w:p w14:paraId="6F5FA1F1" w14:textId="74A1D218" w:rsidR="005E7DE4" w:rsidRPr="00DB7831" w:rsidRDefault="005E7DE4" w:rsidP="00DB6A5E">
            <w:pPr>
              <w:pStyle w:val="SCVtablecolhead"/>
              <w:jc w:val="right"/>
              <w:rPr>
                <w:sz w:val="24"/>
                <w:szCs w:val="20"/>
              </w:rPr>
            </w:pPr>
            <w:r w:rsidRPr="00DB7831">
              <w:rPr>
                <w:sz w:val="24"/>
                <w:szCs w:val="20"/>
              </w:rPr>
              <w:t>Strong</w:t>
            </w:r>
          </w:p>
        </w:tc>
      </w:tr>
      <w:tr w:rsidR="005E7DE4" w:rsidRPr="00DB7831" w14:paraId="7A07A3E3" w14:textId="77777777" w:rsidTr="00DB6A5E">
        <w:trPr>
          <w:trHeight w:val="300"/>
        </w:trPr>
        <w:tc>
          <w:tcPr>
            <w:tcW w:w="1879" w:type="dxa"/>
          </w:tcPr>
          <w:p w14:paraId="6D705BD4" w14:textId="5945FB55" w:rsidR="005E7DE4" w:rsidRPr="00DB6A5E" w:rsidRDefault="22BAD49D" w:rsidP="1D8ABA5E">
            <w:pPr>
              <w:pStyle w:val="SCVtablebody"/>
              <w:rPr>
                <w:b/>
                <w:bCs/>
                <w:color w:val="007586" w:themeColor="text2"/>
                <w:sz w:val="24"/>
                <w:szCs w:val="20"/>
              </w:rPr>
            </w:pPr>
            <w:r w:rsidRPr="00DB6A5E">
              <w:rPr>
                <w:b/>
                <w:bCs/>
                <w:color w:val="007586" w:themeColor="text2"/>
                <w:sz w:val="24"/>
                <w:szCs w:val="20"/>
              </w:rPr>
              <w:t>Perioperative</w:t>
            </w:r>
          </w:p>
        </w:tc>
        <w:tc>
          <w:tcPr>
            <w:tcW w:w="1361" w:type="dxa"/>
            <w:vAlign w:val="center"/>
          </w:tcPr>
          <w:p w14:paraId="0A7FC875" w14:textId="715FE9CF" w:rsidR="005E7DE4" w:rsidRPr="00DB7831" w:rsidRDefault="0092751F" w:rsidP="00DB6A5E">
            <w:pPr>
              <w:pStyle w:val="SCVtablebody"/>
              <w:jc w:val="right"/>
              <w:rPr>
                <w:sz w:val="24"/>
                <w:szCs w:val="20"/>
              </w:rPr>
            </w:pPr>
            <w:r w:rsidRPr="00DB7831">
              <w:rPr>
                <w:sz w:val="24"/>
                <w:szCs w:val="20"/>
              </w:rPr>
              <w:t>65</w:t>
            </w:r>
          </w:p>
        </w:tc>
        <w:tc>
          <w:tcPr>
            <w:tcW w:w="1361" w:type="dxa"/>
            <w:vAlign w:val="center"/>
          </w:tcPr>
          <w:p w14:paraId="6339EE78" w14:textId="6898D7FD" w:rsidR="005E7DE4" w:rsidRPr="00DB7831" w:rsidRDefault="003C02B8" w:rsidP="00DB6A5E">
            <w:pPr>
              <w:pStyle w:val="SCVtablebody"/>
              <w:jc w:val="right"/>
              <w:rPr>
                <w:sz w:val="24"/>
                <w:szCs w:val="20"/>
              </w:rPr>
            </w:pPr>
            <w:r w:rsidRPr="00DB7831">
              <w:rPr>
                <w:sz w:val="24"/>
                <w:szCs w:val="20"/>
              </w:rPr>
              <w:t>276</w:t>
            </w:r>
          </w:p>
        </w:tc>
        <w:tc>
          <w:tcPr>
            <w:tcW w:w="1361" w:type="dxa"/>
            <w:vAlign w:val="center"/>
          </w:tcPr>
          <w:p w14:paraId="407E53C0" w14:textId="29B2138B" w:rsidR="005E7DE4" w:rsidRPr="00DB7831" w:rsidRDefault="003C02B8" w:rsidP="00DB6A5E">
            <w:pPr>
              <w:pStyle w:val="SCVtablebody"/>
              <w:jc w:val="right"/>
              <w:rPr>
                <w:sz w:val="24"/>
                <w:szCs w:val="20"/>
              </w:rPr>
            </w:pPr>
            <w:r w:rsidRPr="00DB7831">
              <w:rPr>
                <w:sz w:val="24"/>
                <w:szCs w:val="20"/>
              </w:rPr>
              <w:t>79%</w:t>
            </w:r>
          </w:p>
        </w:tc>
        <w:tc>
          <w:tcPr>
            <w:tcW w:w="1361" w:type="dxa"/>
            <w:vAlign w:val="center"/>
          </w:tcPr>
          <w:p w14:paraId="0CA542E5" w14:textId="5E1FDF46" w:rsidR="005E7DE4" w:rsidRPr="00DB7831" w:rsidRDefault="003C02B8" w:rsidP="00DB6A5E">
            <w:pPr>
              <w:pStyle w:val="SCVtablebody"/>
              <w:jc w:val="right"/>
              <w:rPr>
                <w:sz w:val="24"/>
                <w:szCs w:val="20"/>
              </w:rPr>
            </w:pPr>
            <w:r w:rsidRPr="00DB7831">
              <w:rPr>
                <w:sz w:val="24"/>
                <w:szCs w:val="20"/>
              </w:rPr>
              <w:t>48%</w:t>
            </w:r>
          </w:p>
        </w:tc>
        <w:tc>
          <w:tcPr>
            <w:tcW w:w="1361" w:type="dxa"/>
            <w:vAlign w:val="center"/>
          </w:tcPr>
          <w:p w14:paraId="3B03F2E7" w14:textId="5BDB4474" w:rsidR="005E7DE4" w:rsidRPr="00DB7831" w:rsidRDefault="003C02B8" w:rsidP="00DB6A5E">
            <w:pPr>
              <w:pStyle w:val="SCVtablebody"/>
              <w:jc w:val="right"/>
              <w:rPr>
                <w:sz w:val="24"/>
                <w:szCs w:val="20"/>
              </w:rPr>
            </w:pPr>
            <w:r w:rsidRPr="00DB7831">
              <w:rPr>
                <w:sz w:val="24"/>
                <w:szCs w:val="20"/>
              </w:rPr>
              <w:t>43%</w:t>
            </w:r>
          </w:p>
        </w:tc>
        <w:tc>
          <w:tcPr>
            <w:tcW w:w="1361" w:type="dxa"/>
            <w:vAlign w:val="center"/>
          </w:tcPr>
          <w:p w14:paraId="495FC4A4" w14:textId="311241EA" w:rsidR="005E7DE4" w:rsidRPr="00DB7831" w:rsidRDefault="003C02B8" w:rsidP="00DB6A5E">
            <w:pPr>
              <w:pStyle w:val="SCVtablebody"/>
              <w:jc w:val="right"/>
              <w:rPr>
                <w:sz w:val="24"/>
                <w:szCs w:val="20"/>
              </w:rPr>
            </w:pPr>
            <w:r w:rsidRPr="00DB7831">
              <w:rPr>
                <w:sz w:val="24"/>
                <w:szCs w:val="20"/>
              </w:rPr>
              <w:t>9%</w:t>
            </w:r>
          </w:p>
        </w:tc>
      </w:tr>
      <w:tr w:rsidR="0092751F" w:rsidRPr="00DB7831" w14:paraId="4E9D5829" w14:textId="77777777" w:rsidTr="00DB6A5E">
        <w:trPr>
          <w:trHeight w:val="300"/>
        </w:trPr>
        <w:tc>
          <w:tcPr>
            <w:tcW w:w="1879" w:type="dxa"/>
          </w:tcPr>
          <w:p w14:paraId="12273347" w14:textId="69F27C2B" w:rsidR="0092751F" w:rsidRPr="00DB6A5E" w:rsidRDefault="22BAD49D" w:rsidP="1D8ABA5E">
            <w:pPr>
              <w:pStyle w:val="SCVtablebody"/>
              <w:rPr>
                <w:b/>
                <w:bCs/>
                <w:color w:val="007586" w:themeColor="text2"/>
                <w:sz w:val="24"/>
                <w:szCs w:val="20"/>
              </w:rPr>
            </w:pPr>
            <w:r w:rsidRPr="00DB6A5E">
              <w:rPr>
                <w:b/>
                <w:bCs/>
                <w:color w:val="007586" w:themeColor="text2"/>
                <w:sz w:val="24"/>
                <w:szCs w:val="20"/>
              </w:rPr>
              <w:t>Maternity</w:t>
            </w:r>
          </w:p>
        </w:tc>
        <w:tc>
          <w:tcPr>
            <w:tcW w:w="1361" w:type="dxa"/>
            <w:vAlign w:val="center"/>
          </w:tcPr>
          <w:p w14:paraId="04E6EF5B" w14:textId="384F2410" w:rsidR="0092751F" w:rsidRPr="00DB7831" w:rsidRDefault="0092751F" w:rsidP="00DB6A5E">
            <w:pPr>
              <w:pStyle w:val="SCVtablebody"/>
              <w:jc w:val="right"/>
              <w:rPr>
                <w:sz w:val="24"/>
                <w:szCs w:val="20"/>
              </w:rPr>
            </w:pPr>
            <w:r w:rsidRPr="00DB7831">
              <w:rPr>
                <w:sz w:val="24"/>
                <w:szCs w:val="20"/>
              </w:rPr>
              <w:t>27</w:t>
            </w:r>
          </w:p>
        </w:tc>
        <w:tc>
          <w:tcPr>
            <w:tcW w:w="1361" w:type="dxa"/>
            <w:vAlign w:val="center"/>
          </w:tcPr>
          <w:p w14:paraId="2A793141" w14:textId="00B2B2E4" w:rsidR="0092751F" w:rsidRPr="00DB7831" w:rsidRDefault="0092751F" w:rsidP="00DB6A5E">
            <w:pPr>
              <w:pStyle w:val="SCVtablebody"/>
              <w:jc w:val="right"/>
              <w:rPr>
                <w:sz w:val="24"/>
                <w:szCs w:val="20"/>
              </w:rPr>
            </w:pPr>
            <w:r w:rsidRPr="00DB7831">
              <w:rPr>
                <w:sz w:val="24"/>
                <w:szCs w:val="20"/>
              </w:rPr>
              <w:t>154</w:t>
            </w:r>
          </w:p>
        </w:tc>
        <w:tc>
          <w:tcPr>
            <w:tcW w:w="1361" w:type="dxa"/>
            <w:vAlign w:val="center"/>
          </w:tcPr>
          <w:p w14:paraId="06635120" w14:textId="62EBF49F" w:rsidR="0092751F" w:rsidRPr="00DB7831" w:rsidRDefault="0092751F" w:rsidP="00DB6A5E">
            <w:pPr>
              <w:pStyle w:val="SCVtablebody"/>
              <w:jc w:val="right"/>
              <w:rPr>
                <w:sz w:val="24"/>
                <w:szCs w:val="20"/>
              </w:rPr>
            </w:pPr>
            <w:r w:rsidRPr="00DB7831">
              <w:rPr>
                <w:sz w:val="24"/>
                <w:szCs w:val="20"/>
              </w:rPr>
              <w:t>90%</w:t>
            </w:r>
          </w:p>
        </w:tc>
        <w:tc>
          <w:tcPr>
            <w:tcW w:w="1361" w:type="dxa"/>
            <w:vAlign w:val="center"/>
          </w:tcPr>
          <w:p w14:paraId="54A135EA" w14:textId="5AB30C19" w:rsidR="0092751F" w:rsidRPr="00DB7831" w:rsidRDefault="0092751F" w:rsidP="00DB6A5E">
            <w:pPr>
              <w:pStyle w:val="SCVtablebody"/>
              <w:jc w:val="right"/>
              <w:rPr>
                <w:sz w:val="24"/>
                <w:szCs w:val="20"/>
              </w:rPr>
            </w:pPr>
            <w:r w:rsidRPr="00DB7831">
              <w:rPr>
                <w:sz w:val="24"/>
                <w:szCs w:val="20"/>
              </w:rPr>
              <w:t>31%</w:t>
            </w:r>
          </w:p>
        </w:tc>
        <w:tc>
          <w:tcPr>
            <w:tcW w:w="1361" w:type="dxa"/>
            <w:vAlign w:val="center"/>
          </w:tcPr>
          <w:p w14:paraId="479E30F1" w14:textId="21E3F154" w:rsidR="0092751F" w:rsidRPr="00DB7831" w:rsidRDefault="0092751F" w:rsidP="00DB6A5E">
            <w:pPr>
              <w:pStyle w:val="SCVtablebody"/>
              <w:jc w:val="right"/>
              <w:rPr>
                <w:sz w:val="24"/>
                <w:szCs w:val="20"/>
              </w:rPr>
            </w:pPr>
            <w:r w:rsidRPr="00DB7831">
              <w:rPr>
                <w:sz w:val="24"/>
                <w:szCs w:val="20"/>
              </w:rPr>
              <w:t>51%</w:t>
            </w:r>
          </w:p>
        </w:tc>
        <w:tc>
          <w:tcPr>
            <w:tcW w:w="1361" w:type="dxa"/>
            <w:vAlign w:val="center"/>
          </w:tcPr>
          <w:p w14:paraId="2B2BE92E" w14:textId="40ADD99D" w:rsidR="0092751F" w:rsidRPr="00DB7831" w:rsidRDefault="0092751F" w:rsidP="00DB6A5E">
            <w:pPr>
              <w:pStyle w:val="SCVtablebody"/>
              <w:jc w:val="right"/>
              <w:rPr>
                <w:sz w:val="24"/>
                <w:szCs w:val="20"/>
              </w:rPr>
            </w:pPr>
            <w:r w:rsidRPr="00DB7831">
              <w:rPr>
                <w:sz w:val="24"/>
                <w:szCs w:val="20"/>
              </w:rPr>
              <w:t>18%</w:t>
            </w:r>
          </w:p>
        </w:tc>
      </w:tr>
      <w:tr w:rsidR="0092751F" w:rsidRPr="00DB7831" w14:paraId="3A03398A" w14:textId="77777777" w:rsidTr="00DB6A5E">
        <w:trPr>
          <w:trHeight w:val="300"/>
        </w:trPr>
        <w:tc>
          <w:tcPr>
            <w:tcW w:w="1879" w:type="dxa"/>
          </w:tcPr>
          <w:p w14:paraId="054BFD8E" w14:textId="2D7E6A39" w:rsidR="0092751F" w:rsidRPr="00DB6A5E" w:rsidRDefault="22BAD49D" w:rsidP="1D8ABA5E">
            <w:pPr>
              <w:pStyle w:val="SCVtablebody"/>
              <w:rPr>
                <w:b/>
                <w:bCs/>
                <w:color w:val="007586" w:themeColor="text2"/>
                <w:sz w:val="24"/>
                <w:szCs w:val="20"/>
              </w:rPr>
            </w:pPr>
            <w:r w:rsidRPr="00DB6A5E">
              <w:rPr>
                <w:b/>
                <w:bCs/>
                <w:color w:val="007586" w:themeColor="text2"/>
                <w:sz w:val="24"/>
                <w:szCs w:val="20"/>
              </w:rPr>
              <w:t>Paediatric</w:t>
            </w:r>
          </w:p>
        </w:tc>
        <w:tc>
          <w:tcPr>
            <w:tcW w:w="1361" w:type="dxa"/>
            <w:vAlign w:val="center"/>
          </w:tcPr>
          <w:p w14:paraId="4F4AF033" w14:textId="65BDD11D" w:rsidR="0092751F" w:rsidRPr="00DB7831" w:rsidRDefault="0092751F" w:rsidP="00DB6A5E">
            <w:pPr>
              <w:pStyle w:val="SCVtablebody"/>
              <w:jc w:val="right"/>
              <w:rPr>
                <w:sz w:val="24"/>
                <w:szCs w:val="20"/>
              </w:rPr>
            </w:pPr>
            <w:r w:rsidRPr="00DB7831">
              <w:rPr>
                <w:sz w:val="24"/>
                <w:szCs w:val="20"/>
              </w:rPr>
              <w:t>9</w:t>
            </w:r>
          </w:p>
        </w:tc>
        <w:tc>
          <w:tcPr>
            <w:tcW w:w="1361" w:type="dxa"/>
            <w:vAlign w:val="center"/>
          </w:tcPr>
          <w:p w14:paraId="08EDB68A" w14:textId="3E0C3F85" w:rsidR="0092751F" w:rsidRPr="00DB7831" w:rsidRDefault="0092751F" w:rsidP="00DB6A5E">
            <w:pPr>
              <w:pStyle w:val="SCVtablebody"/>
              <w:jc w:val="right"/>
              <w:rPr>
                <w:sz w:val="24"/>
                <w:szCs w:val="20"/>
              </w:rPr>
            </w:pPr>
            <w:r w:rsidRPr="00DB7831">
              <w:rPr>
                <w:sz w:val="24"/>
                <w:szCs w:val="20"/>
              </w:rPr>
              <w:t>41</w:t>
            </w:r>
          </w:p>
        </w:tc>
        <w:tc>
          <w:tcPr>
            <w:tcW w:w="1361" w:type="dxa"/>
            <w:vAlign w:val="center"/>
          </w:tcPr>
          <w:p w14:paraId="22806FBA" w14:textId="76EDA010" w:rsidR="0092751F" w:rsidRPr="00DB7831" w:rsidRDefault="0092751F" w:rsidP="00DB6A5E">
            <w:pPr>
              <w:pStyle w:val="SCVtablebody"/>
              <w:jc w:val="right"/>
              <w:rPr>
                <w:sz w:val="24"/>
                <w:szCs w:val="20"/>
              </w:rPr>
            </w:pPr>
            <w:r w:rsidRPr="00DB7831">
              <w:rPr>
                <w:sz w:val="24"/>
                <w:szCs w:val="20"/>
              </w:rPr>
              <w:t>78%</w:t>
            </w:r>
          </w:p>
        </w:tc>
        <w:tc>
          <w:tcPr>
            <w:tcW w:w="1361" w:type="dxa"/>
            <w:vAlign w:val="center"/>
          </w:tcPr>
          <w:p w14:paraId="7EC5DAF4" w14:textId="15228259" w:rsidR="0092751F" w:rsidRPr="00DB7831" w:rsidRDefault="0092751F" w:rsidP="00DB6A5E">
            <w:pPr>
              <w:pStyle w:val="SCVtablebody"/>
              <w:jc w:val="right"/>
              <w:rPr>
                <w:sz w:val="24"/>
                <w:szCs w:val="20"/>
              </w:rPr>
            </w:pPr>
            <w:r w:rsidRPr="00DB7831">
              <w:rPr>
                <w:sz w:val="24"/>
                <w:szCs w:val="20"/>
              </w:rPr>
              <w:t>51%</w:t>
            </w:r>
          </w:p>
        </w:tc>
        <w:tc>
          <w:tcPr>
            <w:tcW w:w="1361" w:type="dxa"/>
            <w:vAlign w:val="center"/>
          </w:tcPr>
          <w:p w14:paraId="076DBDAD" w14:textId="67EF3F9C" w:rsidR="0092751F" w:rsidRPr="00DB7831" w:rsidRDefault="0092751F" w:rsidP="00DB6A5E">
            <w:pPr>
              <w:pStyle w:val="SCVtablebody"/>
              <w:jc w:val="right"/>
              <w:rPr>
                <w:sz w:val="24"/>
                <w:szCs w:val="20"/>
              </w:rPr>
            </w:pPr>
            <w:r w:rsidRPr="00DB7831">
              <w:rPr>
                <w:sz w:val="24"/>
                <w:szCs w:val="20"/>
              </w:rPr>
              <w:t>39%</w:t>
            </w:r>
          </w:p>
        </w:tc>
        <w:tc>
          <w:tcPr>
            <w:tcW w:w="1361" w:type="dxa"/>
            <w:vAlign w:val="center"/>
          </w:tcPr>
          <w:p w14:paraId="344AF0C3" w14:textId="6068351D" w:rsidR="0092751F" w:rsidRPr="00DB7831" w:rsidRDefault="0092751F" w:rsidP="00DB6A5E">
            <w:pPr>
              <w:pStyle w:val="SCVtablebody"/>
              <w:jc w:val="right"/>
              <w:rPr>
                <w:sz w:val="24"/>
                <w:szCs w:val="20"/>
              </w:rPr>
            </w:pPr>
            <w:r w:rsidRPr="00DB7831">
              <w:rPr>
                <w:sz w:val="24"/>
                <w:szCs w:val="20"/>
              </w:rPr>
              <w:t>10%</w:t>
            </w:r>
          </w:p>
        </w:tc>
      </w:tr>
      <w:tr w:rsidR="005E7DE4" w:rsidRPr="00DB7831" w14:paraId="20D45865" w14:textId="77777777" w:rsidTr="00DB6A5E">
        <w:trPr>
          <w:trHeight w:val="300"/>
        </w:trPr>
        <w:tc>
          <w:tcPr>
            <w:tcW w:w="1879" w:type="dxa"/>
          </w:tcPr>
          <w:p w14:paraId="28C32EAA" w14:textId="3A24E82E" w:rsidR="005E7DE4" w:rsidRPr="00DB6A5E" w:rsidRDefault="22BAD49D" w:rsidP="1D8ABA5E">
            <w:pPr>
              <w:pStyle w:val="SCVtablebody"/>
              <w:rPr>
                <w:b/>
                <w:bCs/>
                <w:color w:val="007586" w:themeColor="text2"/>
                <w:sz w:val="24"/>
                <w:szCs w:val="20"/>
              </w:rPr>
            </w:pPr>
            <w:r w:rsidRPr="00DB6A5E">
              <w:rPr>
                <w:b/>
                <w:bCs/>
                <w:color w:val="007586" w:themeColor="text2"/>
                <w:sz w:val="24"/>
                <w:szCs w:val="20"/>
              </w:rPr>
              <w:t>Mental health</w:t>
            </w:r>
          </w:p>
        </w:tc>
        <w:tc>
          <w:tcPr>
            <w:tcW w:w="1361" w:type="dxa"/>
            <w:vAlign w:val="center"/>
          </w:tcPr>
          <w:p w14:paraId="62E1E6D4" w14:textId="3DAE174E" w:rsidR="005E7DE4" w:rsidRPr="00DB7831" w:rsidRDefault="0092751F" w:rsidP="00DB6A5E">
            <w:pPr>
              <w:pStyle w:val="SCVtablebody"/>
              <w:jc w:val="right"/>
              <w:rPr>
                <w:sz w:val="24"/>
                <w:szCs w:val="20"/>
              </w:rPr>
            </w:pPr>
            <w:r w:rsidRPr="00DB7831">
              <w:rPr>
                <w:sz w:val="24"/>
                <w:szCs w:val="20"/>
              </w:rPr>
              <w:t>25</w:t>
            </w:r>
          </w:p>
        </w:tc>
        <w:tc>
          <w:tcPr>
            <w:tcW w:w="1361" w:type="dxa"/>
            <w:vAlign w:val="center"/>
          </w:tcPr>
          <w:p w14:paraId="0F614044" w14:textId="1A836389" w:rsidR="005E7DE4" w:rsidRPr="00DB7831" w:rsidRDefault="003C02B8" w:rsidP="00DB6A5E">
            <w:pPr>
              <w:pStyle w:val="SCVtablebody"/>
              <w:jc w:val="right"/>
              <w:rPr>
                <w:sz w:val="24"/>
                <w:szCs w:val="20"/>
              </w:rPr>
            </w:pPr>
            <w:r w:rsidRPr="00DB7831">
              <w:rPr>
                <w:sz w:val="24"/>
                <w:szCs w:val="20"/>
              </w:rPr>
              <w:t>100</w:t>
            </w:r>
          </w:p>
        </w:tc>
        <w:tc>
          <w:tcPr>
            <w:tcW w:w="1361" w:type="dxa"/>
            <w:vAlign w:val="center"/>
          </w:tcPr>
          <w:p w14:paraId="20EB1DBD" w14:textId="046AB6DA" w:rsidR="005E7DE4" w:rsidRPr="00DB7831" w:rsidRDefault="00555B7A" w:rsidP="00DB6A5E">
            <w:pPr>
              <w:pStyle w:val="SCVtablebody"/>
              <w:jc w:val="right"/>
              <w:rPr>
                <w:sz w:val="24"/>
                <w:szCs w:val="20"/>
              </w:rPr>
            </w:pPr>
            <w:r w:rsidRPr="00DB7831">
              <w:rPr>
                <w:sz w:val="24"/>
                <w:szCs w:val="20"/>
              </w:rPr>
              <w:t>90%</w:t>
            </w:r>
          </w:p>
        </w:tc>
        <w:tc>
          <w:tcPr>
            <w:tcW w:w="1361" w:type="dxa"/>
            <w:vAlign w:val="center"/>
          </w:tcPr>
          <w:p w14:paraId="20F0533A" w14:textId="39479249" w:rsidR="005E7DE4" w:rsidRPr="00DB7831" w:rsidRDefault="00555B7A" w:rsidP="00DB6A5E">
            <w:pPr>
              <w:pStyle w:val="SCVtablebody"/>
              <w:jc w:val="right"/>
              <w:rPr>
                <w:sz w:val="24"/>
                <w:szCs w:val="20"/>
              </w:rPr>
            </w:pPr>
            <w:r w:rsidRPr="00DB7831">
              <w:rPr>
                <w:sz w:val="24"/>
                <w:szCs w:val="20"/>
              </w:rPr>
              <w:t>47%</w:t>
            </w:r>
          </w:p>
        </w:tc>
        <w:tc>
          <w:tcPr>
            <w:tcW w:w="1361" w:type="dxa"/>
            <w:vAlign w:val="center"/>
          </w:tcPr>
          <w:p w14:paraId="3EB5AE50" w14:textId="7E360FDB" w:rsidR="005E7DE4" w:rsidRPr="00DB7831" w:rsidRDefault="00555B7A" w:rsidP="00DB6A5E">
            <w:pPr>
              <w:pStyle w:val="SCVtablebody"/>
              <w:jc w:val="right"/>
              <w:rPr>
                <w:sz w:val="24"/>
                <w:szCs w:val="20"/>
              </w:rPr>
            </w:pPr>
            <w:r w:rsidRPr="00DB7831">
              <w:rPr>
                <w:sz w:val="24"/>
                <w:szCs w:val="20"/>
              </w:rPr>
              <w:t>43%</w:t>
            </w:r>
          </w:p>
        </w:tc>
        <w:tc>
          <w:tcPr>
            <w:tcW w:w="1361" w:type="dxa"/>
            <w:vAlign w:val="center"/>
          </w:tcPr>
          <w:p w14:paraId="76E09580" w14:textId="7D4FA9C2" w:rsidR="005E7DE4" w:rsidRPr="00DB7831" w:rsidRDefault="00555B7A" w:rsidP="00DB6A5E">
            <w:pPr>
              <w:pStyle w:val="SCVtablebody"/>
              <w:jc w:val="right"/>
              <w:rPr>
                <w:sz w:val="24"/>
                <w:szCs w:val="20"/>
              </w:rPr>
            </w:pPr>
            <w:r w:rsidRPr="00DB7831">
              <w:rPr>
                <w:sz w:val="24"/>
                <w:szCs w:val="20"/>
              </w:rPr>
              <w:t>10%</w:t>
            </w:r>
          </w:p>
        </w:tc>
      </w:tr>
      <w:tr w:rsidR="0092751F" w:rsidRPr="00DB7831" w14:paraId="47A265A6" w14:textId="77777777" w:rsidTr="00DB6A5E">
        <w:trPr>
          <w:trHeight w:val="300"/>
        </w:trPr>
        <w:tc>
          <w:tcPr>
            <w:tcW w:w="1879" w:type="dxa"/>
          </w:tcPr>
          <w:p w14:paraId="0D4FEF24" w14:textId="2306E474" w:rsidR="0092751F" w:rsidRPr="00DB6A5E" w:rsidRDefault="22BAD49D" w:rsidP="1D8ABA5E">
            <w:pPr>
              <w:pStyle w:val="SCVtablebody"/>
              <w:rPr>
                <w:b/>
                <w:bCs/>
                <w:color w:val="007586" w:themeColor="text2"/>
                <w:sz w:val="24"/>
                <w:szCs w:val="20"/>
              </w:rPr>
            </w:pPr>
            <w:r w:rsidRPr="00DB6A5E">
              <w:rPr>
                <w:b/>
                <w:bCs/>
                <w:color w:val="007586" w:themeColor="text2"/>
                <w:sz w:val="24"/>
                <w:szCs w:val="20"/>
              </w:rPr>
              <w:t>Medication errors</w:t>
            </w:r>
          </w:p>
        </w:tc>
        <w:tc>
          <w:tcPr>
            <w:tcW w:w="1361" w:type="dxa"/>
            <w:vAlign w:val="center"/>
          </w:tcPr>
          <w:p w14:paraId="4E95E064" w14:textId="3FAF14F1" w:rsidR="0092751F" w:rsidRPr="00DB7831" w:rsidRDefault="003F3F1D" w:rsidP="00DB6A5E">
            <w:pPr>
              <w:pStyle w:val="SCVtablebody"/>
              <w:jc w:val="right"/>
              <w:rPr>
                <w:sz w:val="24"/>
                <w:szCs w:val="20"/>
              </w:rPr>
            </w:pPr>
            <w:r w:rsidRPr="00DB7831">
              <w:rPr>
                <w:sz w:val="24"/>
                <w:szCs w:val="20"/>
              </w:rPr>
              <w:t>15</w:t>
            </w:r>
          </w:p>
        </w:tc>
        <w:tc>
          <w:tcPr>
            <w:tcW w:w="1361" w:type="dxa"/>
            <w:vAlign w:val="center"/>
          </w:tcPr>
          <w:p w14:paraId="66CE2B86" w14:textId="5A77044A" w:rsidR="0092751F" w:rsidRPr="00DB7831" w:rsidRDefault="0092751F" w:rsidP="00DB6A5E">
            <w:pPr>
              <w:pStyle w:val="SCVtablebody"/>
              <w:jc w:val="right"/>
              <w:rPr>
                <w:sz w:val="24"/>
                <w:szCs w:val="20"/>
              </w:rPr>
            </w:pPr>
            <w:r w:rsidRPr="00DB7831">
              <w:rPr>
                <w:sz w:val="24"/>
                <w:szCs w:val="20"/>
              </w:rPr>
              <w:t>86</w:t>
            </w:r>
          </w:p>
        </w:tc>
        <w:tc>
          <w:tcPr>
            <w:tcW w:w="1361" w:type="dxa"/>
            <w:vAlign w:val="center"/>
          </w:tcPr>
          <w:p w14:paraId="0E68B3A9" w14:textId="07F6269A" w:rsidR="0092751F" w:rsidRPr="00DB7831" w:rsidRDefault="64CF5335" w:rsidP="00DB6A5E">
            <w:pPr>
              <w:pStyle w:val="SCVtablebody"/>
              <w:jc w:val="right"/>
              <w:rPr>
                <w:sz w:val="24"/>
                <w:szCs w:val="20"/>
              </w:rPr>
            </w:pPr>
            <w:r w:rsidRPr="00DB7831">
              <w:rPr>
                <w:sz w:val="24"/>
                <w:szCs w:val="20"/>
              </w:rPr>
              <w:t>86</w:t>
            </w:r>
            <w:r w:rsidR="0092751F" w:rsidRPr="00DB7831">
              <w:rPr>
                <w:sz w:val="24"/>
                <w:szCs w:val="20"/>
              </w:rPr>
              <w:t>%</w:t>
            </w:r>
          </w:p>
        </w:tc>
        <w:tc>
          <w:tcPr>
            <w:tcW w:w="1361" w:type="dxa"/>
            <w:vAlign w:val="center"/>
          </w:tcPr>
          <w:p w14:paraId="7180A800" w14:textId="485DA29E" w:rsidR="0092751F" w:rsidRPr="00DB7831" w:rsidRDefault="00555B7A" w:rsidP="00DB6A5E">
            <w:pPr>
              <w:pStyle w:val="SCVtablebody"/>
              <w:jc w:val="right"/>
              <w:rPr>
                <w:sz w:val="24"/>
                <w:szCs w:val="20"/>
              </w:rPr>
            </w:pPr>
            <w:r w:rsidRPr="00DB7831">
              <w:rPr>
                <w:sz w:val="24"/>
                <w:szCs w:val="20"/>
              </w:rPr>
              <w:t>51%</w:t>
            </w:r>
          </w:p>
        </w:tc>
        <w:tc>
          <w:tcPr>
            <w:tcW w:w="1361" w:type="dxa"/>
            <w:vAlign w:val="center"/>
          </w:tcPr>
          <w:p w14:paraId="6FBA0EA5" w14:textId="6548998F" w:rsidR="0092751F" w:rsidRPr="00DB7831" w:rsidRDefault="00F055DD" w:rsidP="00DB6A5E">
            <w:pPr>
              <w:pStyle w:val="SCVtablebody"/>
              <w:jc w:val="right"/>
              <w:rPr>
                <w:sz w:val="24"/>
                <w:szCs w:val="20"/>
              </w:rPr>
            </w:pPr>
            <w:r w:rsidRPr="00DB7831">
              <w:rPr>
                <w:sz w:val="24"/>
                <w:szCs w:val="20"/>
              </w:rPr>
              <w:t>37%</w:t>
            </w:r>
          </w:p>
        </w:tc>
        <w:tc>
          <w:tcPr>
            <w:tcW w:w="1361" w:type="dxa"/>
            <w:vAlign w:val="center"/>
          </w:tcPr>
          <w:p w14:paraId="61C11729" w14:textId="71CE1AD1" w:rsidR="0092751F" w:rsidRPr="00DB7831" w:rsidRDefault="00F055DD" w:rsidP="00DB6A5E">
            <w:pPr>
              <w:pStyle w:val="SCVtablebody"/>
              <w:jc w:val="right"/>
              <w:rPr>
                <w:sz w:val="24"/>
                <w:szCs w:val="20"/>
              </w:rPr>
            </w:pPr>
            <w:r w:rsidRPr="00DB7831">
              <w:rPr>
                <w:sz w:val="24"/>
                <w:szCs w:val="20"/>
              </w:rPr>
              <w:t>12%</w:t>
            </w:r>
          </w:p>
        </w:tc>
      </w:tr>
    </w:tbl>
    <w:p w14:paraId="3CD25190" w14:textId="291B3A49" w:rsidR="006C196B" w:rsidRPr="006C196B" w:rsidRDefault="006C196B" w:rsidP="5EAC5C8C">
      <w:pPr>
        <w:pStyle w:val="SCVbody"/>
        <w:rPr>
          <w:rFonts w:eastAsiaTheme="minorEastAsia"/>
          <w:sz w:val="18"/>
          <w:szCs w:val="18"/>
          <w:lang w:eastAsia="en-AU"/>
        </w:rPr>
      </w:pPr>
      <w:r w:rsidRPr="5EAC5C8C">
        <w:rPr>
          <w:rFonts w:eastAsiaTheme="minorEastAsia"/>
          <w:sz w:val="18"/>
          <w:szCs w:val="18"/>
          <w:lang w:eastAsia="en-AU"/>
        </w:rPr>
        <w:t>Note: Some sentinel events are included in more than one theme (for example, both maternity and medication). Therefore, recommendation counts are not unique, as the same event or recommendation may be included in multiple themes.</w:t>
      </w:r>
    </w:p>
    <w:p w14:paraId="4EBE41E8" w14:textId="4C67952A" w:rsidR="00845AF9" w:rsidRPr="00A32FB0" w:rsidRDefault="22E22DEA" w:rsidP="57EA0190">
      <w:pPr>
        <w:pStyle w:val="Heading3"/>
        <w:rPr>
          <w:color w:val="auto"/>
        </w:rPr>
      </w:pPr>
      <w:r w:rsidRPr="00A32FB0">
        <w:rPr>
          <w:color w:val="auto"/>
        </w:rPr>
        <w:t xml:space="preserve">Progress of recommendations </w:t>
      </w:r>
    </w:p>
    <w:p w14:paraId="691F6E88" w14:textId="7B0C527D" w:rsidR="00845AF9" w:rsidRPr="00357AFB" w:rsidRDefault="2BD8380E" w:rsidP="57EA0190">
      <w:pPr>
        <w:pStyle w:val="SCVbody"/>
      </w:pPr>
      <w:r>
        <w:t xml:space="preserve">Health services provide SCV with a recommendation monitoring report </w:t>
      </w:r>
      <w:r w:rsidR="13A3D4E2">
        <w:t>six</w:t>
      </w:r>
      <w:r>
        <w:t xml:space="preserve"> months after notifying us of a sentinel event and again at 12 months, if required. This report describes the progress made against each recommendation and identifies any barriers to completion.</w:t>
      </w:r>
    </w:p>
    <w:p w14:paraId="04EB4981" w14:textId="409FC710" w:rsidR="00845AF9" w:rsidRPr="00357AFB" w:rsidRDefault="2BD8380E" w:rsidP="57EA0190">
      <w:pPr>
        <w:pStyle w:val="SCVbody"/>
      </w:pPr>
      <w:r>
        <w:t xml:space="preserve">SCV notes the positive trend in recommendation completion rates at </w:t>
      </w:r>
      <w:r w:rsidR="6A4DC216">
        <w:t>six</w:t>
      </w:r>
      <w:r>
        <w:t xml:space="preserve"> and 12 months</w:t>
      </w:r>
      <w:r w:rsidR="22BAD49D">
        <w:t xml:space="preserve"> (Table 1</w:t>
      </w:r>
      <w:r w:rsidR="3080525B">
        <w:t>3</w:t>
      </w:r>
      <w:r w:rsidR="22BAD49D">
        <w:t>)</w:t>
      </w:r>
      <w:r>
        <w:t>, the corresponding decrease in the number of days to undertake a review and the use of SMART principles. This means more recommendations are being completed and implemented in a timelier manner, enabling learning and preventing events from happening again. We commend health services for this work.</w:t>
      </w:r>
    </w:p>
    <w:p w14:paraId="1C63B1BB" w14:textId="564FD7CD" w:rsidR="00845AF9" w:rsidRPr="00357AFB" w:rsidRDefault="2BD8380E" w:rsidP="57EA0190">
      <w:pPr>
        <w:pStyle w:val="SCVtablecaption"/>
      </w:pPr>
      <w:r>
        <w:lastRenderedPageBreak/>
        <w:t>Table 1</w:t>
      </w:r>
      <w:r w:rsidR="31DC5A0A">
        <w:t>3</w:t>
      </w:r>
      <w:r>
        <w:t xml:space="preserve">: Progress of recommendation implementation at </w:t>
      </w:r>
      <w:r w:rsidR="535F56CB">
        <w:t>six</w:t>
      </w:r>
      <w:r>
        <w:t xml:space="preserve"> and 12 months, 2021–22 to </w:t>
      </w:r>
      <w:r w:rsidR="22E22DEA">
        <w:br/>
      </w:r>
      <w:r>
        <w:t>202</w:t>
      </w:r>
      <w:r w:rsidR="32404ACA">
        <w:t>4</w:t>
      </w:r>
      <w:r>
        <w:t>–2</w:t>
      </w:r>
      <w:r w:rsidR="18C9BD20">
        <w:t>5</w:t>
      </w:r>
      <w:r>
        <w:t xml:space="preserve"> </w:t>
      </w:r>
    </w:p>
    <w:tbl>
      <w:tblPr>
        <w:tblW w:w="10009"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661"/>
        <w:gridCol w:w="1587"/>
        <w:gridCol w:w="1587"/>
        <w:gridCol w:w="1587"/>
        <w:gridCol w:w="1587"/>
      </w:tblGrid>
      <w:tr w:rsidR="57EA0190" w:rsidRPr="00D9093F" w14:paraId="6331134A" w14:textId="77777777" w:rsidTr="006437E4">
        <w:trPr>
          <w:trHeight w:val="298"/>
          <w:tblHeader/>
        </w:trPr>
        <w:tc>
          <w:tcPr>
            <w:tcW w:w="3661" w:type="dxa"/>
            <w:tcBorders>
              <w:top w:val="nil"/>
              <w:left w:val="nil"/>
              <w:bottom w:val="single" w:sz="24" w:space="0" w:color="CCCCD0"/>
              <w:right w:val="nil"/>
            </w:tcBorders>
            <w:shd w:val="clear" w:color="auto" w:fill="EDF5F7" w:themeFill="background2"/>
          </w:tcPr>
          <w:p w14:paraId="57BC2471" w14:textId="0E2D9B84" w:rsidR="57EA0190" w:rsidRPr="00D9093F" w:rsidRDefault="57EA0190" w:rsidP="57EA0190">
            <w:pPr>
              <w:pStyle w:val="SCVtablecolhead"/>
              <w:rPr>
                <w:sz w:val="24"/>
                <w:szCs w:val="24"/>
              </w:rPr>
            </w:pPr>
            <w:r w:rsidRPr="00D9093F">
              <w:rPr>
                <w:sz w:val="24"/>
                <w:szCs w:val="24"/>
              </w:rPr>
              <w:t>Completion rate</w:t>
            </w:r>
          </w:p>
        </w:tc>
        <w:tc>
          <w:tcPr>
            <w:tcW w:w="1587" w:type="dxa"/>
            <w:tcBorders>
              <w:top w:val="nil"/>
              <w:left w:val="nil"/>
              <w:bottom w:val="single" w:sz="24" w:space="0" w:color="CCCCD0"/>
              <w:right w:val="nil"/>
            </w:tcBorders>
            <w:shd w:val="clear" w:color="auto" w:fill="EDF5F7" w:themeFill="background2"/>
            <w:vAlign w:val="center"/>
          </w:tcPr>
          <w:p w14:paraId="34D690E5" w14:textId="77777777" w:rsidR="57EA0190" w:rsidRPr="00D9093F" w:rsidRDefault="57EA0190" w:rsidP="006437E4">
            <w:pPr>
              <w:pStyle w:val="SCVtablecolhead"/>
              <w:jc w:val="right"/>
              <w:rPr>
                <w:sz w:val="24"/>
                <w:szCs w:val="24"/>
              </w:rPr>
            </w:pPr>
            <w:r w:rsidRPr="00D9093F">
              <w:rPr>
                <w:sz w:val="24"/>
                <w:szCs w:val="24"/>
              </w:rPr>
              <w:t>2021–22</w:t>
            </w:r>
          </w:p>
        </w:tc>
        <w:tc>
          <w:tcPr>
            <w:tcW w:w="1587" w:type="dxa"/>
            <w:tcBorders>
              <w:top w:val="nil"/>
              <w:left w:val="nil"/>
              <w:bottom w:val="single" w:sz="24" w:space="0" w:color="CCCCD0"/>
              <w:right w:val="nil"/>
            </w:tcBorders>
            <w:shd w:val="clear" w:color="auto" w:fill="EDF5F7" w:themeFill="background2"/>
            <w:vAlign w:val="center"/>
          </w:tcPr>
          <w:p w14:paraId="7C4673B2" w14:textId="77777777" w:rsidR="57EA0190" w:rsidRPr="00D9093F" w:rsidRDefault="57EA0190" w:rsidP="006437E4">
            <w:pPr>
              <w:pStyle w:val="SCVtablecolhead"/>
              <w:jc w:val="right"/>
              <w:rPr>
                <w:sz w:val="24"/>
                <w:szCs w:val="24"/>
              </w:rPr>
            </w:pPr>
            <w:r w:rsidRPr="00D9093F">
              <w:rPr>
                <w:sz w:val="24"/>
                <w:szCs w:val="24"/>
              </w:rPr>
              <w:t>2022–23</w:t>
            </w:r>
          </w:p>
        </w:tc>
        <w:tc>
          <w:tcPr>
            <w:tcW w:w="1587" w:type="dxa"/>
            <w:tcBorders>
              <w:top w:val="nil"/>
              <w:left w:val="nil"/>
              <w:bottom w:val="single" w:sz="24" w:space="0" w:color="CCCCD0"/>
              <w:right w:val="nil"/>
            </w:tcBorders>
            <w:shd w:val="clear" w:color="auto" w:fill="EDF5F7" w:themeFill="background2"/>
            <w:vAlign w:val="center"/>
          </w:tcPr>
          <w:p w14:paraId="0A8AEC56" w14:textId="77777777" w:rsidR="57EA0190" w:rsidRPr="00D9093F" w:rsidRDefault="57EA0190" w:rsidP="006437E4">
            <w:pPr>
              <w:pStyle w:val="SCVtablecolhead"/>
              <w:jc w:val="right"/>
              <w:rPr>
                <w:sz w:val="24"/>
                <w:szCs w:val="24"/>
              </w:rPr>
            </w:pPr>
            <w:r w:rsidRPr="00D9093F">
              <w:rPr>
                <w:sz w:val="24"/>
                <w:szCs w:val="24"/>
              </w:rPr>
              <w:t>2023–24</w:t>
            </w:r>
          </w:p>
        </w:tc>
        <w:tc>
          <w:tcPr>
            <w:tcW w:w="1587" w:type="dxa"/>
            <w:tcBorders>
              <w:top w:val="nil"/>
              <w:left w:val="nil"/>
              <w:bottom w:val="single" w:sz="24" w:space="0" w:color="CCCCD0"/>
              <w:right w:val="nil"/>
            </w:tcBorders>
            <w:shd w:val="clear" w:color="auto" w:fill="EDF5F7" w:themeFill="background2"/>
            <w:vAlign w:val="center"/>
          </w:tcPr>
          <w:p w14:paraId="64BBB699" w14:textId="0BAA9115" w:rsidR="7F41DB6C" w:rsidRPr="00D9093F" w:rsidRDefault="7F41DB6C" w:rsidP="006437E4">
            <w:pPr>
              <w:pStyle w:val="SCVtablecolhead"/>
              <w:jc w:val="right"/>
              <w:rPr>
                <w:sz w:val="24"/>
                <w:szCs w:val="24"/>
              </w:rPr>
            </w:pPr>
            <w:r w:rsidRPr="00D9093F">
              <w:rPr>
                <w:sz w:val="24"/>
                <w:szCs w:val="24"/>
              </w:rPr>
              <w:t>2024-25</w:t>
            </w:r>
          </w:p>
        </w:tc>
      </w:tr>
      <w:tr w:rsidR="57EA0190" w:rsidRPr="00D9093F" w14:paraId="60534E3B" w14:textId="77777777" w:rsidTr="006437E4">
        <w:trPr>
          <w:trHeight w:val="298"/>
        </w:trPr>
        <w:tc>
          <w:tcPr>
            <w:tcW w:w="3661" w:type="dxa"/>
            <w:tcBorders>
              <w:top w:val="single" w:sz="6" w:space="0" w:color="80808B"/>
              <w:left w:val="nil"/>
              <w:bottom w:val="single" w:sz="6" w:space="0" w:color="80808B"/>
              <w:right w:val="nil"/>
            </w:tcBorders>
          </w:tcPr>
          <w:p w14:paraId="7951EE4F" w14:textId="77777777" w:rsidR="57EA0190" w:rsidRPr="006437E4" w:rsidRDefault="34166338" w:rsidP="57EA0190">
            <w:pPr>
              <w:pStyle w:val="SCVtablebody"/>
              <w:rPr>
                <w:color w:val="007586" w:themeColor="text2"/>
                <w:sz w:val="24"/>
                <w:szCs w:val="24"/>
              </w:rPr>
            </w:pPr>
            <w:r w:rsidRPr="006437E4">
              <w:rPr>
                <w:b/>
                <w:bCs/>
                <w:color w:val="007586" w:themeColor="text2"/>
                <w:sz w:val="24"/>
                <w:szCs w:val="24"/>
              </w:rPr>
              <w:t>Complete at 6 months</w:t>
            </w:r>
          </w:p>
        </w:tc>
        <w:tc>
          <w:tcPr>
            <w:tcW w:w="1587" w:type="dxa"/>
            <w:tcBorders>
              <w:top w:val="single" w:sz="6" w:space="0" w:color="80808B"/>
              <w:left w:val="nil"/>
              <w:bottom w:val="single" w:sz="6" w:space="0" w:color="80808B"/>
              <w:right w:val="nil"/>
            </w:tcBorders>
            <w:vAlign w:val="center"/>
          </w:tcPr>
          <w:p w14:paraId="337EE8C1" w14:textId="77777777" w:rsidR="57EA0190" w:rsidRPr="00D9093F" w:rsidRDefault="57EA0190" w:rsidP="006437E4">
            <w:pPr>
              <w:pStyle w:val="SCVtablebody"/>
              <w:jc w:val="right"/>
              <w:rPr>
                <w:sz w:val="24"/>
                <w:szCs w:val="24"/>
              </w:rPr>
            </w:pPr>
            <w:r w:rsidRPr="00D9093F">
              <w:rPr>
                <w:sz w:val="24"/>
                <w:szCs w:val="24"/>
              </w:rPr>
              <w:t xml:space="preserve">38%  </w:t>
            </w:r>
          </w:p>
        </w:tc>
        <w:tc>
          <w:tcPr>
            <w:tcW w:w="1587" w:type="dxa"/>
            <w:tcBorders>
              <w:top w:val="single" w:sz="6" w:space="0" w:color="80808B"/>
              <w:left w:val="nil"/>
              <w:bottom w:val="single" w:sz="6" w:space="0" w:color="80808B"/>
              <w:right w:val="nil"/>
            </w:tcBorders>
            <w:vAlign w:val="center"/>
          </w:tcPr>
          <w:p w14:paraId="4641F725" w14:textId="77777777" w:rsidR="57EA0190" w:rsidRPr="00D9093F" w:rsidRDefault="57EA0190" w:rsidP="006437E4">
            <w:pPr>
              <w:pStyle w:val="SCVtablebody"/>
              <w:jc w:val="right"/>
              <w:rPr>
                <w:sz w:val="24"/>
                <w:szCs w:val="24"/>
              </w:rPr>
            </w:pPr>
            <w:r w:rsidRPr="00D9093F">
              <w:rPr>
                <w:sz w:val="24"/>
                <w:szCs w:val="24"/>
              </w:rPr>
              <w:t xml:space="preserve">39%  </w:t>
            </w:r>
          </w:p>
        </w:tc>
        <w:tc>
          <w:tcPr>
            <w:tcW w:w="1587" w:type="dxa"/>
            <w:tcBorders>
              <w:top w:val="single" w:sz="6" w:space="0" w:color="80808B"/>
              <w:left w:val="nil"/>
              <w:bottom w:val="single" w:sz="6" w:space="0" w:color="80808B"/>
              <w:right w:val="nil"/>
            </w:tcBorders>
            <w:vAlign w:val="center"/>
          </w:tcPr>
          <w:p w14:paraId="20221C24" w14:textId="77777777" w:rsidR="57EA0190" w:rsidRPr="00D9093F" w:rsidRDefault="57EA0190" w:rsidP="006437E4">
            <w:pPr>
              <w:pStyle w:val="SCVtablebody"/>
              <w:jc w:val="right"/>
              <w:rPr>
                <w:sz w:val="24"/>
                <w:szCs w:val="24"/>
              </w:rPr>
            </w:pPr>
            <w:r w:rsidRPr="00D9093F">
              <w:rPr>
                <w:sz w:val="24"/>
                <w:szCs w:val="24"/>
              </w:rPr>
              <w:t xml:space="preserve">49%  </w:t>
            </w:r>
          </w:p>
        </w:tc>
        <w:tc>
          <w:tcPr>
            <w:tcW w:w="1587" w:type="dxa"/>
            <w:tcBorders>
              <w:top w:val="single" w:sz="6" w:space="0" w:color="80808B"/>
              <w:left w:val="nil"/>
              <w:bottom w:val="single" w:sz="6" w:space="0" w:color="80808B"/>
              <w:right w:val="nil"/>
            </w:tcBorders>
            <w:vAlign w:val="center"/>
          </w:tcPr>
          <w:p w14:paraId="5878A207" w14:textId="4D40DA6A" w:rsidR="5DF0E8E2" w:rsidRPr="00D9093F" w:rsidRDefault="5DF0E8E2" w:rsidP="006437E4">
            <w:pPr>
              <w:pStyle w:val="SCVtablebody"/>
              <w:jc w:val="right"/>
              <w:rPr>
                <w:sz w:val="24"/>
                <w:szCs w:val="24"/>
              </w:rPr>
            </w:pPr>
            <w:r w:rsidRPr="00D9093F">
              <w:rPr>
                <w:sz w:val="24"/>
                <w:szCs w:val="24"/>
              </w:rPr>
              <w:t>42%</w:t>
            </w:r>
          </w:p>
        </w:tc>
      </w:tr>
      <w:tr w:rsidR="57EA0190" w:rsidRPr="00D9093F" w14:paraId="352B249C" w14:textId="77777777" w:rsidTr="006437E4">
        <w:trPr>
          <w:trHeight w:val="298"/>
        </w:trPr>
        <w:tc>
          <w:tcPr>
            <w:tcW w:w="3661" w:type="dxa"/>
            <w:tcBorders>
              <w:top w:val="single" w:sz="6" w:space="0" w:color="80808B"/>
              <w:left w:val="nil"/>
              <w:bottom w:val="single" w:sz="6" w:space="0" w:color="80808B"/>
              <w:right w:val="nil"/>
            </w:tcBorders>
          </w:tcPr>
          <w:p w14:paraId="7E82CF03" w14:textId="77777777" w:rsidR="57EA0190" w:rsidRPr="006437E4" w:rsidRDefault="34166338" w:rsidP="57EA0190">
            <w:pPr>
              <w:pStyle w:val="SCVtablebody"/>
              <w:rPr>
                <w:color w:val="007586" w:themeColor="text2"/>
                <w:sz w:val="24"/>
                <w:szCs w:val="24"/>
              </w:rPr>
            </w:pPr>
            <w:r w:rsidRPr="006437E4">
              <w:rPr>
                <w:b/>
                <w:bCs/>
                <w:color w:val="007586" w:themeColor="text2"/>
                <w:sz w:val="24"/>
                <w:szCs w:val="24"/>
              </w:rPr>
              <w:t>Complete at 12 months</w:t>
            </w:r>
          </w:p>
          <w:p w14:paraId="0012F041" w14:textId="77777777" w:rsidR="57EA0190" w:rsidRPr="006437E4" w:rsidRDefault="57EA0190" w:rsidP="57EA0190">
            <w:pPr>
              <w:pStyle w:val="SCVtablebody"/>
              <w:rPr>
                <w:color w:val="007586" w:themeColor="text2"/>
                <w:sz w:val="24"/>
                <w:szCs w:val="24"/>
              </w:rPr>
            </w:pPr>
            <w:r w:rsidRPr="006437E4">
              <w:rPr>
                <w:i/>
                <w:iCs/>
                <w:color w:val="007586" w:themeColor="text2"/>
                <w:sz w:val="24"/>
                <w:szCs w:val="24"/>
              </w:rPr>
              <w:t>(Complete at 6 +12 months)</w:t>
            </w:r>
          </w:p>
        </w:tc>
        <w:tc>
          <w:tcPr>
            <w:tcW w:w="1587" w:type="dxa"/>
            <w:tcBorders>
              <w:top w:val="single" w:sz="6" w:space="0" w:color="80808B"/>
              <w:left w:val="nil"/>
              <w:bottom w:val="single" w:sz="6" w:space="0" w:color="80808B"/>
              <w:right w:val="nil"/>
            </w:tcBorders>
            <w:vAlign w:val="center"/>
          </w:tcPr>
          <w:p w14:paraId="699E19C1" w14:textId="77777777" w:rsidR="57EA0190" w:rsidRPr="00D9093F" w:rsidRDefault="57EA0190" w:rsidP="006437E4">
            <w:pPr>
              <w:pStyle w:val="SCVtablebody"/>
              <w:jc w:val="right"/>
              <w:rPr>
                <w:sz w:val="24"/>
                <w:szCs w:val="24"/>
              </w:rPr>
            </w:pPr>
            <w:r w:rsidRPr="00D9093F">
              <w:rPr>
                <w:sz w:val="24"/>
                <w:szCs w:val="24"/>
              </w:rPr>
              <w:t xml:space="preserve">74%  </w:t>
            </w:r>
          </w:p>
        </w:tc>
        <w:tc>
          <w:tcPr>
            <w:tcW w:w="1587" w:type="dxa"/>
            <w:tcBorders>
              <w:top w:val="single" w:sz="6" w:space="0" w:color="80808B"/>
              <w:left w:val="nil"/>
              <w:bottom w:val="single" w:sz="6" w:space="0" w:color="80808B"/>
              <w:right w:val="nil"/>
            </w:tcBorders>
            <w:vAlign w:val="center"/>
          </w:tcPr>
          <w:p w14:paraId="697FEF6E" w14:textId="77777777" w:rsidR="57EA0190" w:rsidRPr="00D9093F" w:rsidRDefault="57EA0190" w:rsidP="006437E4">
            <w:pPr>
              <w:pStyle w:val="SCVtablebody"/>
              <w:jc w:val="right"/>
              <w:rPr>
                <w:sz w:val="24"/>
                <w:szCs w:val="24"/>
              </w:rPr>
            </w:pPr>
            <w:r w:rsidRPr="00D9093F">
              <w:rPr>
                <w:sz w:val="24"/>
                <w:szCs w:val="24"/>
              </w:rPr>
              <w:t xml:space="preserve">79%  </w:t>
            </w:r>
          </w:p>
        </w:tc>
        <w:tc>
          <w:tcPr>
            <w:tcW w:w="1587" w:type="dxa"/>
            <w:tcBorders>
              <w:top w:val="single" w:sz="6" w:space="0" w:color="80808B"/>
              <w:left w:val="nil"/>
              <w:bottom w:val="single" w:sz="6" w:space="0" w:color="80808B"/>
              <w:right w:val="nil"/>
            </w:tcBorders>
            <w:vAlign w:val="center"/>
          </w:tcPr>
          <w:p w14:paraId="5CCDCE30" w14:textId="77777777" w:rsidR="57EA0190" w:rsidRPr="00D9093F" w:rsidRDefault="57EA0190" w:rsidP="006437E4">
            <w:pPr>
              <w:pStyle w:val="SCVtablebody"/>
              <w:jc w:val="right"/>
              <w:rPr>
                <w:sz w:val="24"/>
                <w:szCs w:val="24"/>
              </w:rPr>
            </w:pPr>
            <w:r w:rsidRPr="00D9093F">
              <w:rPr>
                <w:sz w:val="24"/>
                <w:szCs w:val="24"/>
              </w:rPr>
              <w:t>80%</w:t>
            </w:r>
          </w:p>
        </w:tc>
        <w:tc>
          <w:tcPr>
            <w:tcW w:w="1587" w:type="dxa"/>
            <w:tcBorders>
              <w:top w:val="single" w:sz="6" w:space="0" w:color="80808B"/>
              <w:left w:val="nil"/>
              <w:bottom w:val="single" w:sz="6" w:space="0" w:color="80808B"/>
              <w:right w:val="nil"/>
            </w:tcBorders>
            <w:vAlign w:val="center"/>
          </w:tcPr>
          <w:p w14:paraId="3003C25E" w14:textId="5BDDD2CA" w:rsidR="509B18F9" w:rsidRPr="00D9093F" w:rsidRDefault="509B18F9" w:rsidP="006437E4">
            <w:pPr>
              <w:pStyle w:val="SCVtablebody"/>
              <w:jc w:val="right"/>
              <w:rPr>
                <w:sz w:val="24"/>
                <w:szCs w:val="24"/>
              </w:rPr>
            </w:pPr>
          </w:p>
        </w:tc>
      </w:tr>
      <w:tr w:rsidR="57EA0190" w:rsidRPr="00D9093F" w14:paraId="4A2409A9" w14:textId="77777777" w:rsidTr="006437E4">
        <w:trPr>
          <w:trHeight w:val="298"/>
        </w:trPr>
        <w:tc>
          <w:tcPr>
            <w:tcW w:w="3661" w:type="dxa"/>
            <w:tcBorders>
              <w:top w:val="single" w:sz="6" w:space="0" w:color="80808B"/>
              <w:left w:val="nil"/>
              <w:bottom w:val="single" w:sz="6" w:space="0" w:color="80808B"/>
              <w:right w:val="nil"/>
            </w:tcBorders>
          </w:tcPr>
          <w:p w14:paraId="7171E988" w14:textId="0B5AF61C" w:rsidR="57EA0190" w:rsidRPr="006437E4" w:rsidRDefault="34166338" w:rsidP="1D8ABA5E">
            <w:pPr>
              <w:pStyle w:val="SCVtablebody"/>
              <w:rPr>
                <w:b/>
                <w:bCs/>
                <w:color w:val="007586" w:themeColor="text2"/>
                <w:sz w:val="24"/>
                <w:szCs w:val="24"/>
              </w:rPr>
            </w:pPr>
            <w:r w:rsidRPr="006437E4">
              <w:rPr>
                <w:b/>
                <w:bCs/>
                <w:color w:val="007586" w:themeColor="text2"/>
                <w:sz w:val="24"/>
                <w:szCs w:val="24"/>
              </w:rPr>
              <w:t>In progress</w:t>
            </w:r>
          </w:p>
        </w:tc>
        <w:tc>
          <w:tcPr>
            <w:tcW w:w="1587" w:type="dxa"/>
            <w:tcBorders>
              <w:top w:val="single" w:sz="6" w:space="0" w:color="80808B"/>
              <w:left w:val="nil"/>
              <w:bottom w:val="single" w:sz="6" w:space="0" w:color="80808B"/>
              <w:right w:val="nil"/>
            </w:tcBorders>
            <w:vAlign w:val="center"/>
          </w:tcPr>
          <w:p w14:paraId="6C18C148" w14:textId="77777777" w:rsidR="57EA0190" w:rsidRPr="00D9093F" w:rsidRDefault="57EA0190" w:rsidP="006437E4">
            <w:pPr>
              <w:pStyle w:val="SCVtablebody"/>
              <w:jc w:val="right"/>
              <w:rPr>
                <w:sz w:val="24"/>
                <w:szCs w:val="24"/>
              </w:rPr>
            </w:pPr>
            <w:r w:rsidRPr="00D9093F">
              <w:rPr>
                <w:sz w:val="24"/>
                <w:szCs w:val="24"/>
              </w:rPr>
              <w:t>20%</w:t>
            </w:r>
          </w:p>
        </w:tc>
        <w:tc>
          <w:tcPr>
            <w:tcW w:w="1587" w:type="dxa"/>
            <w:tcBorders>
              <w:top w:val="single" w:sz="6" w:space="0" w:color="80808B"/>
              <w:left w:val="nil"/>
              <w:bottom w:val="single" w:sz="6" w:space="0" w:color="80808B"/>
              <w:right w:val="nil"/>
            </w:tcBorders>
            <w:vAlign w:val="center"/>
          </w:tcPr>
          <w:p w14:paraId="71A4DF87" w14:textId="77777777" w:rsidR="57EA0190" w:rsidRPr="00D9093F" w:rsidRDefault="57EA0190" w:rsidP="006437E4">
            <w:pPr>
              <w:pStyle w:val="SCVtablebody"/>
              <w:jc w:val="right"/>
              <w:rPr>
                <w:sz w:val="24"/>
                <w:szCs w:val="24"/>
              </w:rPr>
            </w:pPr>
            <w:r w:rsidRPr="00D9093F">
              <w:rPr>
                <w:sz w:val="24"/>
                <w:szCs w:val="24"/>
              </w:rPr>
              <w:t>14%</w:t>
            </w:r>
          </w:p>
        </w:tc>
        <w:tc>
          <w:tcPr>
            <w:tcW w:w="1587" w:type="dxa"/>
            <w:tcBorders>
              <w:top w:val="single" w:sz="6" w:space="0" w:color="80808B"/>
              <w:left w:val="nil"/>
              <w:bottom w:val="single" w:sz="6" w:space="0" w:color="80808B"/>
              <w:right w:val="nil"/>
            </w:tcBorders>
            <w:vAlign w:val="center"/>
          </w:tcPr>
          <w:p w14:paraId="76476DAB" w14:textId="77777777" w:rsidR="57EA0190" w:rsidRPr="00D9093F" w:rsidRDefault="57EA0190" w:rsidP="006437E4">
            <w:pPr>
              <w:pStyle w:val="SCVtablebody"/>
              <w:jc w:val="right"/>
              <w:rPr>
                <w:sz w:val="24"/>
                <w:szCs w:val="24"/>
              </w:rPr>
            </w:pPr>
            <w:r w:rsidRPr="00D9093F">
              <w:rPr>
                <w:sz w:val="24"/>
                <w:szCs w:val="24"/>
              </w:rPr>
              <w:t>12%</w:t>
            </w:r>
          </w:p>
        </w:tc>
        <w:tc>
          <w:tcPr>
            <w:tcW w:w="1587" w:type="dxa"/>
            <w:tcBorders>
              <w:top w:val="single" w:sz="6" w:space="0" w:color="80808B"/>
              <w:left w:val="nil"/>
              <w:bottom w:val="single" w:sz="6" w:space="0" w:color="80808B"/>
              <w:right w:val="nil"/>
            </w:tcBorders>
            <w:vAlign w:val="center"/>
          </w:tcPr>
          <w:p w14:paraId="67560797" w14:textId="63129466" w:rsidR="5ADE6334" w:rsidRPr="00D9093F" w:rsidRDefault="5ADE6334" w:rsidP="006437E4">
            <w:pPr>
              <w:pStyle w:val="SCVtablebody"/>
              <w:jc w:val="right"/>
              <w:rPr>
                <w:sz w:val="24"/>
                <w:szCs w:val="24"/>
              </w:rPr>
            </w:pPr>
            <w:r w:rsidRPr="00D9093F">
              <w:rPr>
                <w:sz w:val="24"/>
                <w:szCs w:val="24"/>
              </w:rPr>
              <w:t>55%</w:t>
            </w:r>
          </w:p>
        </w:tc>
      </w:tr>
      <w:tr w:rsidR="57EA0190" w:rsidRPr="00D9093F" w14:paraId="5525036A" w14:textId="77777777" w:rsidTr="006437E4">
        <w:trPr>
          <w:trHeight w:val="298"/>
        </w:trPr>
        <w:tc>
          <w:tcPr>
            <w:tcW w:w="3661" w:type="dxa"/>
            <w:tcBorders>
              <w:top w:val="single" w:sz="6" w:space="0" w:color="80808B"/>
              <w:left w:val="nil"/>
              <w:bottom w:val="single" w:sz="6" w:space="0" w:color="80808B"/>
              <w:right w:val="nil"/>
            </w:tcBorders>
          </w:tcPr>
          <w:p w14:paraId="728F6830" w14:textId="77777777" w:rsidR="57EA0190" w:rsidRPr="006437E4" w:rsidRDefault="34166338" w:rsidP="509B18F9">
            <w:pPr>
              <w:pStyle w:val="SCVtablebody"/>
              <w:rPr>
                <w:b/>
                <w:bCs/>
                <w:i/>
                <w:iCs/>
                <w:color w:val="007586" w:themeColor="text2"/>
                <w:sz w:val="24"/>
                <w:szCs w:val="24"/>
              </w:rPr>
            </w:pPr>
            <w:r w:rsidRPr="006437E4">
              <w:rPr>
                <w:b/>
                <w:bCs/>
                <w:color w:val="007586" w:themeColor="text2"/>
                <w:sz w:val="24"/>
                <w:szCs w:val="24"/>
              </w:rPr>
              <w:t xml:space="preserve">On hold </w:t>
            </w:r>
          </w:p>
        </w:tc>
        <w:tc>
          <w:tcPr>
            <w:tcW w:w="1587" w:type="dxa"/>
            <w:tcBorders>
              <w:top w:val="single" w:sz="6" w:space="0" w:color="80808B"/>
              <w:left w:val="nil"/>
              <w:bottom w:val="single" w:sz="6" w:space="0" w:color="80808B"/>
              <w:right w:val="nil"/>
            </w:tcBorders>
            <w:vAlign w:val="center"/>
          </w:tcPr>
          <w:p w14:paraId="09ED5439" w14:textId="77777777" w:rsidR="57EA0190" w:rsidRPr="00D9093F" w:rsidRDefault="57EA0190" w:rsidP="006437E4">
            <w:pPr>
              <w:pStyle w:val="SCVtablebody"/>
              <w:jc w:val="right"/>
              <w:rPr>
                <w:sz w:val="24"/>
                <w:szCs w:val="24"/>
              </w:rPr>
            </w:pPr>
            <w:r w:rsidRPr="00D9093F">
              <w:rPr>
                <w:sz w:val="24"/>
                <w:szCs w:val="24"/>
              </w:rPr>
              <w:t>2%</w:t>
            </w:r>
          </w:p>
        </w:tc>
        <w:tc>
          <w:tcPr>
            <w:tcW w:w="1587" w:type="dxa"/>
            <w:tcBorders>
              <w:top w:val="single" w:sz="6" w:space="0" w:color="80808B"/>
              <w:left w:val="nil"/>
              <w:bottom w:val="single" w:sz="6" w:space="0" w:color="80808B"/>
              <w:right w:val="nil"/>
            </w:tcBorders>
            <w:vAlign w:val="center"/>
          </w:tcPr>
          <w:p w14:paraId="395B9251" w14:textId="77777777" w:rsidR="57EA0190" w:rsidRPr="00D9093F" w:rsidRDefault="57EA0190" w:rsidP="006437E4">
            <w:pPr>
              <w:pStyle w:val="SCVtablebody"/>
              <w:jc w:val="right"/>
              <w:rPr>
                <w:sz w:val="24"/>
                <w:szCs w:val="24"/>
              </w:rPr>
            </w:pPr>
            <w:r w:rsidRPr="00D9093F">
              <w:rPr>
                <w:sz w:val="24"/>
                <w:szCs w:val="24"/>
              </w:rPr>
              <w:t xml:space="preserve">1%  </w:t>
            </w:r>
          </w:p>
        </w:tc>
        <w:tc>
          <w:tcPr>
            <w:tcW w:w="1587" w:type="dxa"/>
            <w:tcBorders>
              <w:top w:val="single" w:sz="6" w:space="0" w:color="80808B"/>
              <w:left w:val="nil"/>
              <w:bottom w:val="single" w:sz="6" w:space="0" w:color="80808B"/>
              <w:right w:val="nil"/>
            </w:tcBorders>
            <w:vAlign w:val="center"/>
          </w:tcPr>
          <w:p w14:paraId="538E83BC" w14:textId="77777777" w:rsidR="57EA0190" w:rsidRPr="00D9093F" w:rsidRDefault="57EA0190" w:rsidP="006437E4">
            <w:pPr>
              <w:pStyle w:val="SCVtablebody"/>
              <w:jc w:val="right"/>
              <w:rPr>
                <w:sz w:val="24"/>
                <w:szCs w:val="24"/>
              </w:rPr>
            </w:pPr>
            <w:r w:rsidRPr="00D9093F">
              <w:rPr>
                <w:sz w:val="24"/>
                <w:szCs w:val="24"/>
              </w:rPr>
              <w:t xml:space="preserve">1%  </w:t>
            </w:r>
          </w:p>
        </w:tc>
        <w:tc>
          <w:tcPr>
            <w:tcW w:w="1587" w:type="dxa"/>
            <w:tcBorders>
              <w:top w:val="single" w:sz="6" w:space="0" w:color="80808B"/>
              <w:left w:val="nil"/>
              <w:bottom w:val="single" w:sz="6" w:space="0" w:color="80808B"/>
              <w:right w:val="nil"/>
            </w:tcBorders>
            <w:vAlign w:val="center"/>
          </w:tcPr>
          <w:p w14:paraId="1B30292E" w14:textId="44952E95" w:rsidR="0468590F" w:rsidRPr="00D9093F" w:rsidRDefault="0468590F" w:rsidP="006437E4">
            <w:pPr>
              <w:pStyle w:val="SCVtablebody"/>
              <w:jc w:val="right"/>
              <w:rPr>
                <w:sz w:val="24"/>
                <w:szCs w:val="24"/>
              </w:rPr>
            </w:pPr>
            <w:r w:rsidRPr="00D9093F">
              <w:rPr>
                <w:sz w:val="24"/>
                <w:szCs w:val="24"/>
              </w:rPr>
              <w:t>3%</w:t>
            </w:r>
          </w:p>
        </w:tc>
      </w:tr>
      <w:tr w:rsidR="57EA0190" w:rsidRPr="00D9093F" w14:paraId="3E57ABE2" w14:textId="77777777" w:rsidTr="006437E4">
        <w:trPr>
          <w:trHeight w:val="298"/>
        </w:trPr>
        <w:tc>
          <w:tcPr>
            <w:tcW w:w="3661" w:type="dxa"/>
            <w:tcBorders>
              <w:top w:val="single" w:sz="6" w:space="0" w:color="80808B"/>
              <w:left w:val="nil"/>
              <w:bottom w:val="single" w:sz="6" w:space="0" w:color="80808B"/>
              <w:right w:val="nil"/>
            </w:tcBorders>
          </w:tcPr>
          <w:p w14:paraId="280D2A86" w14:textId="77777777" w:rsidR="57EA0190" w:rsidRPr="006437E4" w:rsidRDefault="34166338" w:rsidP="1D8ABA5E">
            <w:pPr>
              <w:pStyle w:val="SCVtablebody"/>
              <w:rPr>
                <w:b/>
                <w:bCs/>
                <w:color w:val="007586" w:themeColor="text2"/>
                <w:sz w:val="24"/>
                <w:szCs w:val="24"/>
              </w:rPr>
            </w:pPr>
            <w:r w:rsidRPr="006437E4">
              <w:rPr>
                <w:b/>
                <w:bCs/>
                <w:color w:val="007586" w:themeColor="text2"/>
                <w:sz w:val="24"/>
                <w:szCs w:val="24"/>
              </w:rPr>
              <w:t xml:space="preserve">Abandoned at 6 months </w:t>
            </w:r>
          </w:p>
        </w:tc>
        <w:tc>
          <w:tcPr>
            <w:tcW w:w="1587" w:type="dxa"/>
            <w:tcBorders>
              <w:top w:val="single" w:sz="6" w:space="0" w:color="80808B"/>
              <w:left w:val="nil"/>
              <w:bottom w:val="single" w:sz="6" w:space="0" w:color="80808B"/>
              <w:right w:val="nil"/>
            </w:tcBorders>
            <w:vAlign w:val="center"/>
          </w:tcPr>
          <w:p w14:paraId="79943CA7" w14:textId="77777777" w:rsidR="57EA0190" w:rsidRPr="00D9093F" w:rsidRDefault="57EA0190" w:rsidP="006437E4">
            <w:pPr>
              <w:pStyle w:val="SCVtablebody"/>
              <w:jc w:val="right"/>
              <w:rPr>
                <w:sz w:val="24"/>
                <w:szCs w:val="24"/>
              </w:rPr>
            </w:pPr>
            <w:r w:rsidRPr="00D9093F">
              <w:rPr>
                <w:sz w:val="24"/>
                <w:szCs w:val="24"/>
              </w:rPr>
              <w:t>2%</w:t>
            </w:r>
          </w:p>
        </w:tc>
        <w:tc>
          <w:tcPr>
            <w:tcW w:w="1587" w:type="dxa"/>
            <w:tcBorders>
              <w:top w:val="single" w:sz="6" w:space="0" w:color="80808B"/>
              <w:left w:val="nil"/>
              <w:bottom w:val="single" w:sz="6" w:space="0" w:color="80808B"/>
              <w:right w:val="nil"/>
            </w:tcBorders>
            <w:vAlign w:val="center"/>
          </w:tcPr>
          <w:p w14:paraId="748828FA" w14:textId="77777777" w:rsidR="57EA0190" w:rsidRPr="00D9093F" w:rsidRDefault="57EA0190" w:rsidP="006437E4">
            <w:pPr>
              <w:pStyle w:val="SCVtablebody"/>
              <w:jc w:val="right"/>
              <w:rPr>
                <w:sz w:val="24"/>
                <w:szCs w:val="24"/>
              </w:rPr>
            </w:pPr>
            <w:r w:rsidRPr="00D9093F">
              <w:rPr>
                <w:sz w:val="24"/>
                <w:szCs w:val="24"/>
              </w:rPr>
              <w:t xml:space="preserve">3%  </w:t>
            </w:r>
          </w:p>
        </w:tc>
        <w:tc>
          <w:tcPr>
            <w:tcW w:w="1587" w:type="dxa"/>
            <w:tcBorders>
              <w:top w:val="single" w:sz="6" w:space="0" w:color="80808B"/>
              <w:left w:val="nil"/>
              <w:bottom w:val="single" w:sz="6" w:space="0" w:color="80808B"/>
              <w:right w:val="nil"/>
            </w:tcBorders>
            <w:vAlign w:val="center"/>
          </w:tcPr>
          <w:p w14:paraId="6364B799" w14:textId="77777777" w:rsidR="57EA0190" w:rsidRPr="00D9093F" w:rsidRDefault="57EA0190" w:rsidP="006437E4">
            <w:pPr>
              <w:pStyle w:val="SCVtablebody"/>
              <w:jc w:val="right"/>
              <w:rPr>
                <w:sz w:val="24"/>
                <w:szCs w:val="24"/>
              </w:rPr>
            </w:pPr>
            <w:r w:rsidRPr="00D9093F">
              <w:rPr>
                <w:sz w:val="24"/>
                <w:szCs w:val="24"/>
              </w:rPr>
              <w:t xml:space="preserve">3%  </w:t>
            </w:r>
          </w:p>
        </w:tc>
        <w:tc>
          <w:tcPr>
            <w:tcW w:w="1587" w:type="dxa"/>
            <w:tcBorders>
              <w:top w:val="single" w:sz="6" w:space="0" w:color="80808B"/>
              <w:left w:val="nil"/>
              <w:bottom w:val="single" w:sz="6" w:space="0" w:color="80808B"/>
              <w:right w:val="nil"/>
            </w:tcBorders>
            <w:vAlign w:val="center"/>
          </w:tcPr>
          <w:p w14:paraId="575A54B3" w14:textId="537AE84E" w:rsidR="12A9FA13" w:rsidRPr="00D9093F" w:rsidRDefault="12A9FA13" w:rsidP="006437E4">
            <w:pPr>
              <w:pStyle w:val="SCVtablebody"/>
              <w:jc w:val="right"/>
              <w:rPr>
                <w:sz w:val="24"/>
                <w:szCs w:val="24"/>
              </w:rPr>
            </w:pPr>
            <w:r w:rsidRPr="00D9093F">
              <w:rPr>
                <w:sz w:val="24"/>
                <w:szCs w:val="24"/>
              </w:rPr>
              <w:t>1%</w:t>
            </w:r>
          </w:p>
        </w:tc>
      </w:tr>
      <w:tr w:rsidR="57EA0190" w:rsidRPr="00D9093F" w14:paraId="4F0B1158" w14:textId="77777777" w:rsidTr="006437E4">
        <w:trPr>
          <w:trHeight w:val="298"/>
        </w:trPr>
        <w:tc>
          <w:tcPr>
            <w:tcW w:w="3661" w:type="dxa"/>
            <w:tcBorders>
              <w:top w:val="single" w:sz="6" w:space="0" w:color="80808B"/>
              <w:left w:val="nil"/>
              <w:bottom w:val="single" w:sz="6" w:space="0" w:color="80808B"/>
              <w:right w:val="nil"/>
            </w:tcBorders>
          </w:tcPr>
          <w:p w14:paraId="2F07BF85" w14:textId="77777777" w:rsidR="57EA0190" w:rsidRPr="006437E4" w:rsidRDefault="34166338" w:rsidP="1D8ABA5E">
            <w:pPr>
              <w:pStyle w:val="SCVtablebody"/>
              <w:rPr>
                <w:b/>
                <w:bCs/>
                <w:color w:val="007586" w:themeColor="text2"/>
                <w:sz w:val="24"/>
                <w:szCs w:val="24"/>
              </w:rPr>
            </w:pPr>
            <w:r w:rsidRPr="006437E4">
              <w:rPr>
                <w:b/>
                <w:bCs/>
                <w:color w:val="007586" w:themeColor="text2"/>
                <w:sz w:val="24"/>
                <w:szCs w:val="24"/>
              </w:rPr>
              <w:t xml:space="preserve">Abandoned at 12 months </w:t>
            </w:r>
          </w:p>
        </w:tc>
        <w:tc>
          <w:tcPr>
            <w:tcW w:w="1587" w:type="dxa"/>
            <w:tcBorders>
              <w:top w:val="single" w:sz="6" w:space="0" w:color="80808B"/>
              <w:left w:val="nil"/>
              <w:bottom w:val="single" w:sz="6" w:space="0" w:color="80808B"/>
              <w:right w:val="nil"/>
            </w:tcBorders>
            <w:vAlign w:val="center"/>
          </w:tcPr>
          <w:p w14:paraId="665B7BFE" w14:textId="77777777" w:rsidR="57EA0190" w:rsidRPr="00D9093F" w:rsidRDefault="57EA0190" w:rsidP="006437E4">
            <w:pPr>
              <w:pStyle w:val="SCVtablebody"/>
              <w:jc w:val="right"/>
              <w:rPr>
                <w:sz w:val="24"/>
                <w:szCs w:val="24"/>
              </w:rPr>
            </w:pPr>
            <w:r w:rsidRPr="00D9093F">
              <w:rPr>
                <w:sz w:val="24"/>
                <w:szCs w:val="24"/>
              </w:rPr>
              <w:t xml:space="preserve">2%  </w:t>
            </w:r>
          </w:p>
        </w:tc>
        <w:tc>
          <w:tcPr>
            <w:tcW w:w="1587" w:type="dxa"/>
            <w:tcBorders>
              <w:top w:val="single" w:sz="6" w:space="0" w:color="80808B"/>
              <w:left w:val="nil"/>
              <w:bottom w:val="single" w:sz="6" w:space="0" w:color="80808B"/>
              <w:right w:val="nil"/>
            </w:tcBorders>
            <w:vAlign w:val="center"/>
          </w:tcPr>
          <w:p w14:paraId="61A86BF7" w14:textId="77777777" w:rsidR="57EA0190" w:rsidRPr="00D9093F" w:rsidRDefault="57EA0190" w:rsidP="006437E4">
            <w:pPr>
              <w:pStyle w:val="SCVtablebody"/>
              <w:jc w:val="right"/>
              <w:rPr>
                <w:sz w:val="24"/>
                <w:szCs w:val="24"/>
              </w:rPr>
            </w:pPr>
            <w:r w:rsidRPr="00D9093F">
              <w:rPr>
                <w:sz w:val="24"/>
                <w:szCs w:val="24"/>
              </w:rPr>
              <w:t xml:space="preserve">4%  </w:t>
            </w:r>
          </w:p>
        </w:tc>
        <w:tc>
          <w:tcPr>
            <w:tcW w:w="1587" w:type="dxa"/>
            <w:tcBorders>
              <w:top w:val="single" w:sz="6" w:space="0" w:color="80808B"/>
              <w:left w:val="nil"/>
              <w:bottom w:val="single" w:sz="6" w:space="0" w:color="80808B"/>
              <w:right w:val="nil"/>
            </w:tcBorders>
            <w:vAlign w:val="center"/>
          </w:tcPr>
          <w:p w14:paraId="29746A0F" w14:textId="56B6ABCA" w:rsidR="57EA0190" w:rsidRPr="00D9093F" w:rsidRDefault="57EA0190" w:rsidP="006437E4">
            <w:pPr>
              <w:pStyle w:val="SCVtablebody"/>
              <w:jc w:val="right"/>
              <w:rPr>
                <w:sz w:val="24"/>
                <w:szCs w:val="24"/>
              </w:rPr>
            </w:pPr>
            <w:r w:rsidRPr="00D9093F">
              <w:rPr>
                <w:sz w:val="24"/>
                <w:szCs w:val="24"/>
              </w:rPr>
              <w:t>3%</w:t>
            </w:r>
          </w:p>
        </w:tc>
        <w:tc>
          <w:tcPr>
            <w:tcW w:w="1587" w:type="dxa"/>
            <w:tcBorders>
              <w:top w:val="single" w:sz="6" w:space="0" w:color="80808B"/>
              <w:left w:val="nil"/>
              <w:bottom w:val="single" w:sz="6" w:space="0" w:color="80808B"/>
              <w:right w:val="nil"/>
            </w:tcBorders>
            <w:vAlign w:val="center"/>
          </w:tcPr>
          <w:p w14:paraId="655CCF1F" w14:textId="44BA94BF" w:rsidR="509B18F9" w:rsidRPr="00D9093F" w:rsidRDefault="509B18F9" w:rsidP="006437E4">
            <w:pPr>
              <w:pStyle w:val="SCVtablebody"/>
              <w:jc w:val="right"/>
              <w:rPr>
                <w:sz w:val="24"/>
                <w:szCs w:val="24"/>
              </w:rPr>
            </w:pPr>
          </w:p>
        </w:tc>
      </w:tr>
      <w:tr w:rsidR="57EA0190" w:rsidRPr="00D9093F" w14:paraId="08305370" w14:textId="77777777" w:rsidTr="006437E4">
        <w:trPr>
          <w:trHeight w:val="298"/>
        </w:trPr>
        <w:tc>
          <w:tcPr>
            <w:tcW w:w="3661" w:type="dxa"/>
            <w:tcBorders>
              <w:top w:val="single" w:sz="6" w:space="0" w:color="80808B"/>
              <w:left w:val="nil"/>
              <w:bottom w:val="single" w:sz="6" w:space="0" w:color="80808B"/>
              <w:right w:val="nil"/>
            </w:tcBorders>
          </w:tcPr>
          <w:p w14:paraId="5F3EA69A" w14:textId="77777777" w:rsidR="57EA0190" w:rsidRPr="006437E4" w:rsidRDefault="34166338" w:rsidP="57EA0190">
            <w:pPr>
              <w:pStyle w:val="SCVtablebody"/>
              <w:rPr>
                <w:color w:val="007586" w:themeColor="text2"/>
                <w:sz w:val="24"/>
                <w:szCs w:val="24"/>
              </w:rPr>
            </w:pPr>
            <w:r w:rsidRPr="006437E4">
              <w:rPr>
                <w:b/>
                <w:bCs/>
                <w:color w:val="007586" w:themeColor="text2"/>
                <w:sz w:val="24"/>
                <w:szCs w:val="24"/>
              </w:rPr>
              <w:t>Average time to completion</w:t>
            </w:r>
            <w:r w:rsidRPr="006437E4">
              <w:rPr>
                <w:color w:val="007586" w:themeColor="text2"/>
                <w:sz w:val="24"/>
                <w:szCs w:val="24"/>
              </w:rPr>
              <w:t> </w:t>
            </w:r>
          </w:p>
          <w:p w14:paraId="34C126CF" w14:textId="77777777" w:rsidR="57EA0190" w:rsidRPr="006437E4" w:rsidRDefault="57EA0190" w:rsidP="57EA0190">
            <w:pPr>
              <w:pStyle w:val="SCVtablebody"/>
              <w:rPr>
                <w:i/>
                <w:iCs/>
                <w:color w:val="007586" w:themeColor="text2"/>
                <w:sz w:val="24"/>
                <w:szCs w:val="24"/>
              </w:rPr>
            </w:pPr>
            <w:r w:rsidRPr="006437E4">
              <w:rPr>
                <w:i/>
                <w:iCs/>
                <w:color w:val="007586" w:themeColor="text2"/>
                <w:sz w:val="24"/>
                <w:szCs w:val="24"/>
              </w:rPr>
              <w:t>(Complete at 6 +12 months)</w:t>
            </w:r>
          </w:p>
        </w:tc>
        <w:tc>
          <w:tcPr>
            <w:tcW w:w="1587" w:type="dxa"/>
            <w:tcBorders>
              <w:top w:val="single" w:sz="6" w:space="0" w:color="80808B"/>
              <w:left w:val="nil"/>
              <w:bottom w:val="single" w:sz="6" w:space="0" w:color="80808B"/>
              <w:right w:val="nil"/>
            </w:tcBorders>
            <w:vAlign w:val="center"/>
          </w:tcPr>
          <w:p w14:paraId="07E19813" w14:textId="77777777" w:rsidR="57EA0190" w:rsidRPr="00D9093F" w:rsidRDefault="57EA0190" w:rsidP="006437E4">
            <w:pPr>
              <w:pStyle w:val="SCVtablebody"/>
              <w:jc w:val="right"/>
              <w:rPr>
                <w:sz w:val="24"/>
                <w:szCs w:val="24"/>
              </w:rPr>
            </w:pPr>
            <w:r w:rsidRPr="00D9093F">
              <w:rPr>
                <w:sz w:val="24"/>
                <w:szCs w:val="24"/>
              </w:rPr>
              <w:t xml:space="preserve">186 days  </w:t>
            </w:r>
          </w:p>
        </w:tc>
        <w:tc>
          <w:tcPr>
            <w:tcW w:w="1587" w:type="dxa"/>
            <w:tcBorders>
              <w:top w:val="single" w:sz="6" w:space="0" w:color="80808B"/>
              <w:left w:val="nil"/>
              <w:bottom w:val="single" w:sz="6" w:space="0" w:color="80808B"/>
              <w:right w:val="nil"/>
            </w:tcBorders>
            <w:vAlign w:val="center"/>
          </w:tcPr>
          <w:p w14:paraId="6FC077D9" w14:textId="31902889" w:rsidR="57EA0190" w:rsidRPr="00D9093F" w:rsidRDefault="57EA0190" w:rsidP="006437E4">
            <w:pPr>
              <w:pStyle w:val="SCVtablebody"/>
              <w:jc w:val="right"/>
              <w:rPr>
                <w:sz w:val="24"/>
                <w:szCs w:val="24"/>
              </w:rPr>
            </w:pPr>
            <w:r w:rsidRPr="00D9093F">
              <w:rPr>
                <w:sz w:val="24"/>
                <w:szCs w:val="24"/>
              </w:rPr>
              <w:t>178 days</w:t>
            </w:r>
          </w:p>
        </w:tc>
        <w:tc>
          <w:tcPr>
            <w:tcW w:w="1587" w:type="dxa"/>
            <w:tcBorders>
              <w:top w:val="single" w:sz="6" w:space="0" w:color="80808B"/>
              <w:left w:val="nil"/>
              <w:bottom w:val="single" w:sz="6" w:space="0" w:color="80808B"/>
              <w:right w:val="nil"/>
            </w:tcBorders>
            <w:vAlign w:val="center"/>
          </w:tcPr>
          <w:p w14:paraId="44FCE93E" w14:textId="55F92600" w:rsidR="57EA0190" w:rsidRPr="00D9093F" w:rsidRDefault="57EA0190" w:rsidP="006437E4">
            <w:pPr>
              <w:pStyle w:val="SCVtablebody"/>
              <w:jc w:val="right"/>
              <w:rPr>
                <w:sz w:val="24"/>
                <w:szCs w:val="24"/>
              </w:rPr>
            </w:pPr>
            <w:r w:rsidRPr="00D9093F">
              <w:rPr>
                <w:sz w:val="24"/>
                <w:szCs w:val="24"/>
              </w:rPr>
              <w:t>162 days</w:t>
            </w:r>
          </w:p>
        </w:tc>
        <w:tc>
          <w:tcPr>
            <w:tcW w:w="1587" w:type="dxa"/>
            <w:tcBorders>
              <w:top w:val="single" w:sz="6" w:space="0" w:color="80808B"/>
              <w:left w:val="nil"/>
              <w:bottom w:val="single" w:sz="6" w:space="0" w:color="80808B"/>
              <w:right w:val="nil"/>
            </w:tcBorders>
            <w:vAlign w:val="center"/>
          </w:tcPr>
          <w:p w14:paraId="2AA4D8E2" w14:textId="7785147D" w:rsidR="509B18F9" w:rsidRPr="00D9093F" w:rsidRDefault="509B18F9" w:rsidP="006437E4">
            <w:pPr>
              <w:pStyle w:val="SCVtablebody"/>
              <w:jc w:val="right"/>
              <w:rPr>
                <w:sz w:val="24"/>
                <w:szCs w:val="24"/>
              </w:rPr>
            </w:pPr>
          </w:p>
        </w:tc>
      </w:tr>
      <w:tr w:rsidR="57EA0190" w:rsidRPr="00D9093F" w14:paraId="7FA1B857" w14:textId="77777777" w:rsidTr="006437E4">
        <w:trPr>
          <w:trHeight w:val="298"/>
        </w:trPr>
        <w:tc>
          <w:tcPr>
            <w:tcW w:w="3661" w:type="dxa"/>
            <w:tcBorders>
              <w:top w:val="single" w:sz="6" w:space="0" w:color="80808B"/>
              <w:left w:val="nil"/>
              <w:bottom w:val="single" w:sz="6" w:space="0" w:color="80808B"/>
              <w:right w:val="nil"/>
            </w:tcBorders>
          </w:tcPr>
          <w:p w14:paraId="7C92F860" w14:textId="77777777" w:rsidR="57EA0190" w:rsidRPr="006437E4" w:rsidRDefault="34166338" w:rsidP="57EA0190">
            <w:pPr>
              <w:pStyle w:val="SCVtablebody"/>
              <w:rPr>
                <w:color w:val="007586" w:themeColor="text2"/>
                <w:sz w:val="24"/>
                <w:szCs w:val="24"/>
              </w:rPr>
            </w:pPr>
            <w:r w:rsidRPr="006437E4">
              <w:rPr>
                <w:b/>
                <w:bCs/>
                <w:color w:val="007586" w:themeColor="text2"/>
                <w:sz w:val="24"/>
                <w:szCs w:val="24"/>
              </w:rPr>
              <w:t>Average time to completion</w:t>
            </w:r>
            <w:r w:rsidRPr="006437E4">
              <w:rPr>
                <w:color w:val="007586" w:themeColor="text2"/>
                <w:sz w:val="24"/>
                <w:szCs w:val="24"/>
              </w:rPr>
              <w:t> </w:t>
            </w:r>
          </w:p>
          <w:p w14:paraId="73C7E611" w14:textId="77777777" w:rsidR="57EA0190" w:rsidRPr="006437E4" w:rsidRDefault="57EA0190" w:rsidP="57EA0190">
            <w:pPr>
              <w:pStyle w:val="SCVtablebody"/>
              <w:rPr>
                <w:color w:val="007586" w:themeColor="text2"/>
                <w:sz w:val="24"/>
                <w:szCs w:val="24"/>
              </w:rPr>
            </w:pPr>
            <w:r w:rsidRPr="006437E4">
              <w:rPr>
                <w:i/>
                <w:iCs/>
                <w:color w:val="007586" w:themeColor="text2"/>
                <w:sz w:val="24"/>
                <w:szCs w:val="24"/>
              </w:rPr>
              <w:t>(Complete at 6 months)</w:t>
            </w:r>
          </w:p>
        </w:tc>
        <w:tc>
          <w:tcPr>
            <w:tcW w:w="1587" w:type="dxa"/>
            <w:tcBorders>
              <w:top w:val="single" w:sz="6" w:space="0" w:color="80808B"/>
              <w:left w:val="nil"/>
              <w:bottom w:val="single" w:sz="6" w:space="0" w:color="80808B"/>
              <w:right w:val="nil"/>
            </w:tcBorders>
            <w:vAlign w:val="center"/>
          </w:tcPr>
          <w:p w14:paraId="6298C64D" w14:textId="77777777" w:rsidR="57EA0190" w:rsidRPr="00D9093F" w:rsidRDefault="57EA0190" w:rsidP="006437E4">
            <w:pPr>
              <w:pStyle w:val="SCVtablebody"/>
              <w:jc w:val="right"/>
              <w:rPr>
                <w:sz w:val="24"/>
                <w:szCs w:val="24"/>
              </w:rPr>
            </w:pPr>
            <w:r w:rsidRPr="00D9093F">
              <w:rPr>
                <w:sz w:val="24"/>
                <w:szCs w:val="24"/>
              </w:rPr>
              <w:t>126 days</w:t>
            </w:r>
          </w:p>
        </w:tc>
        <w:tc>
          <w:tcPr>
            <w:tcW w:w="1587" w:type="dxa"/>
            <w:tcBorders>
              <w:top w:val="single" w:sz="6" w:space="0" w:color="80808B"/>
              <w:left w:val="nil"/>
              <w:bottom w:val="single" w:sz="6" w:space="0" w:color="80808B"/>
              <w:right w:val="nil"/>
            </w:tcBorders>
            <w:vAlign w:val="center"/>
          </w:tcPr>
          <w:p w14:paraId="374B3146" w14:textId="5E613406" w:rsidR="57EA0190" w:rsidRPr="00D9093F" w:rsidRDefault="57EA0190" w:rsidP="006437E4">
            <w:pPr>
              <w:pStyle w:val="SCVtablebody"/>
              <w:jc w:val="right"/>
              <w:rPr>
                <w:sz w:val="24"/>
                <w:szCs w:val="24"/>
              </w:rPr>
            </w:pPr>
            <w:r w:rsidRPr="00D9093F">
              <w:rPr>
                <w:sz w:val="24"/>
                <w:szCs w:val="24"/>
              </w:rPr>
              <w:t>136 days</w:t>
            </w:r>
          </w:p>
        </w:tc>
        <w:tc>
          <w:tcPr>
            <w:tcW w:w="1587" w:type="dxa"/>
            <w:tcBorders>
              <w:top w:val="single" w:sz="6" w:space="0" w:color="80808B"/>
              <w:left w:val="nil"/>
              <w:bottom w:val="single" w:sz="6" w:space="0" w:color="80808B"/>
              <w:right w:val="nil"/>
            </w:tcBorders>
            <w:vAlign w:val="center"/>
          </w:tcPr>
          <w:p w14:paraId="2519FD05" w14:textId="1AC6188A" w:rsidR="57EA0190" w:rsidRPr="00D9093F" w:rsidRDefault="57EA0190" w:rsidP="006437E4">
            <w:pPr>
              <w:pStyle w:val="SCVtablebody"/>
              <w:jc w:val="right"/>
              <w:rPr>
                <w:sz w:val="24"/>
                <w:szCs w:val="24"/>
              </w:rPr>
            </w:pPr>
            <w:r w:rsidRPr="00D9093F">
              <w:rPr>
                <w:sz w:val="24"/>
                <w:szCs w:val="24"/>
              </w:rPr>
              <w:t>126 days</w:t>
            </w:r>
          </w:p>
        </w:tc>
        <w:tc>
          <w:tcPr>
            <w:tcW w:w="1587" w:type="dxa"/>
            <w:tcBorders>
              <w:top w:val="single" w:sz="6" w:space="0" w:color="80808B"/>
              <w:left w:val="nil"/>
              <w:bottom w:val="single" w:sz="6" w:space="0" w:color="80808B"/>
              <w:right w:val="nil"/>
            </w:tcBorders>
            <w:vAlign w:val="center"/>
          </w:tcPr>
          <w:p w14:paraId="05D3F3E9" w14:textId="50B99B77" w:rsidR="509B18F9" w:rsidRPr="00D9093F" w:rsidRDefault="509B18F9" w:rsidP="006437E4">
            <w:pPr>
              <w:pStyle w:val="SCVtablebody"/>
              <w:jc w:val="right"/>
              <w:rPr>
                <w:sz w:val="24"/>
                <w:szCs w:val="24"/>
              </w:rPr>
            </w:pPr>
          </w:p>
        </w:tc>
      </w:tr>
      <w:tr w:rsidR="57EA0190" w:rsidRPr="00D9093F" w14:paraId="69D64773" w14:textId="77777777" w:rsidTr="006437E4">
        <w:trPr>
          <w:trHeight w:val="298"/>
        </w:trPr>
        <w:tc>
          <w:tcPr>
            <w:tcW w:w="3661" w:type="dxa"/>
            <w:tcBorders>
              <w:top w:val="single" w:sz="6" w:space="0" w:color="80808B"/>
              <w:left w:val="nil"/>
              <w:bottom w:val="single" w:sz="6" w:space="0" w:color="80808B"/>
              <w:right w:val="nil"/>
            </w:tcBorders>
          </w:tcPr>
          <w:p w14:paraId="343250D0" w14:textId="77777777" w:rsidR="57EA0190" w:rsidRPr="006437E4" w:rsidRDefault="34166338" w:rsidP="57EA0190">
            <w:pPr>
              <w:pStyle w:val="SCVtablebody"/>
              <w:rPr>
                <w:color w:val="007586" w:themeColor="text2"/>
                <w:sz w:val="24"/>
                <w:szCs w:val="24"/>
              </w:rPr>
            </w:pPr>
            <w:r w:rsidRPr="006437E4">
              <w:rPr>
                <w:b/>
                <w:bCs/>
                <w:color w:val="007586" w:themeColor="text2"/>
                <w:sz w:val="24"/>
                <w:szCs w:val="24"/>
              </w:rPr>
              <w:t>Average time to completion</w:t>
            </w:r>
          </w:p>
          <w:p w14:paraId="74DD730C" w14:textId="77777777" w:rsidR="57EA0190" w:rsidRPr="006437E4" w:rsidRDefault="57EA0190" w:rsidP="57EA0190">
            <w:pPr>
              <w:pStyle w:val="SCVtablebody"/>
              <w:rPr>
                <w:color w:val="007586" w:themeColor="text2"/>
                <w:sz w:val="24"/>
                <w:szCs w:val="24"/>
              </w:rPr>
            </w:pPr>
            <w:r w:rsidRPr="006437E4">
              <w:rPr>
                <w:i/>
                <w:iCs/>
                <w:color w:val="007586" w:themeColor="text2"/>
                <w:sz w:val="24"/>
                <w:szCs w:val="24"/>
              </w:rPr>
              <w:t>(Complete at 12 months)</w:t>
            </w:r>
          </w:p>
        </w:tc>
        <w:tc>
          <w:tcPr>
            <w:tcW w:w="1587" w:type="dxa"/>
            <w:tcBorders>
              <w:top w:val="single" w:sz="6" w:space="0" w:color="80808B"/>
              <w:left w:val="nil"/>
              <w:bottom w:val="single" w:sz="6" w:space="0" w:color="80808B"/>
              <w:right w:val="nil"/>
            </w:tcBorders>
            <w:vAlign w:val="center"/>
          </w:tcPr>
          <w:p w14:paraId="7562F113" w14:textId="77777777" w:rsidR="57EA0190" w:rsidRPr="00D9093F" w:rsidRDefault="57EA0190" w:rsidP="006437E4">
            <w:pPr>
              <w:pStyle w:val="SCVtablebody"/>
              <w:jc w:val="right"/>
              <w:rPr>
                <w:sz w:val="24"/>
                <w:szCs w:val="24"/>
              </w:rPr>
            </w:pPr>
            <w:r w:rsidRPr="00D9093F">
              <w:rPr>
                <w:sz w:val="24"/>
                <w:szCs w:val="24"/>
              </w:rPr>
              <w:t>249 days</w:t>
            </w:r>
          </w:p>
        </w:tc>
        <w:tc>
          <w:tcPr>
            <w:tcW w:w="1587" w:type="dxa"/>
            <w:tcBorders>
              <w:top w:val="single" w:sz="6" w:space="0" w:color="80808B"/>
              <w:left w:val="nil"/>
              <w:bottom w:val="single" w:sz="6" w:space="0" w:color="80808B"/>
              <w:right w:val="nil"/>
            </w:tcBorders>
            <w:vAlign w:val="center"/>
          </w:tcPr>
          <w:p w14:paraId="422E7813" w14:textId="7A2F7C5D" w:rsidR="57EA0190" w:rsidRPr="00D9093F" w:rsidRDefault="57EA0190" w:rsidP="006437E4">
            <w:pPr>
              <w:pStyle w:val="SCVtablebody"/>
              <w:jc w:val="right"/>
              <w:rPr>
                <w:sz w:val="24"/>
                <w:szCs w:val="24"/>
              </w:rPr>
            </w:pPr>
            <w:r w:rsidRPr="00D9093F">
              <w:rPr>
                <w:sz w:val="24"/>
                <w:szCs w:val="24"/>
              </w:rPr>
              <w:t>218 days</w:t>
            </w:r>
          </w:p>
        </w:tc>
        <w:tc>
          <w:tcPr>
            <w:tcW w:w="1587" w:type="dxa"/>
            <w:tcBorders>
              <w:top w:val="single" w:sz="6" w:space="0" w:color="80808B"/>
              <w:left w:val="nil"/>
              <w:bottom w:val="single" w:sz="6" w:space="0" w:color="80808B"/>
              <w:right w:val="nil"/>
            </w:tcBorders>
            <w:vAlign w:val="center"/>
          </w:tcPr>
          <w:p w14:paraId="7EC89B12" w14:textId="0AEA7BE4" w:rsidR="57EA0190" w:rsidRPr="00D9093F" w:rsidRDefault="57EA0190" w:rsidP="006437E4">
            <w:pPr>
              <w:pStyle w:val="SCVtablebody"/>
              <w:jc w:val="right"/>
              <w:rPr>
                <w:sz w:val="24"/>
                <w:szCs w:val="24"/>
                <w:lang w:val="en-US"/>
              </w:rPr>
            </w:pPr>
            <w:r w:rsidRPr="00D9093F">
              <w:rPr>
                <w:sz w:val="24"/>
                <w:szCs w:val="24"/>
              </w:rPr>
              <w:t>218 days</w:t>
            </w:r>
          </w:p>
        </w:tc>
        <w:tc>
          <w:tcPr>
            <w:tcW w:w="1587" w:type="dxa"/>
            <w:tcBorders>
              <w:top w:val="single" w:sz="6" w:space="0" w:color="80808B"/>
              <w:left w:val="nil"/>
              <w:bottom w:val="single" w:sz="6" w:space="0" w:color="80808B"/>
              <w:right w:val="nil"/>
            </w:tcBorders>
            <w:vAlign w:val="center"/>
          </w:tcPr>
          <w:p w14:paraId="4AD9FE50" w14:textId="0ACE41C6" w:rsidR="509B18F9" w:rsidRPr="00D9093F" w:rsidRDefault="509B18F9" w:rsidP="006437E4">
            <w:pPr>
              <w:pStyle w:val="SCVtablebody"/>
              <w:jc w:val="right"/>
              <w:rPr>
                <w:sz w:val="24"/>
                <w:szCs w:val="24"/>
              </w:rPr>
            </w:pPr>
          </w:p>
        </w:tc>
      </w:tr>
    </w:tbl>
    <w:p w14:paraId="7FED182D" w14:textId="2F4389BB" w:rsidR="00845AF9" w:rsidRPr="00357AFB" w:rsidRDefault="22E22DEA" w:rsidP="57EA0190">
      <w:pPr>
        <w:pStyle w:val="SCVtablefigurenote"/>
      </w:pPr>
      <w:r>
        <w:t>Note: Totals may not equal 100% due to rounding. Recommendations from events reported in financial years more than one year prior are largely finalised, with only a small number still in progress.</w:t>
      </w:r>
    </w:p>
    <w:p w14:paraId="228834F8" w14:textId="7D2013A4" w:rsidR="00605853" w:rsidRDefault="00605853" w:rsidP="0092694F">
      <w:pPr>
        <w:pStyle w:val="SCVtablefigurenote"/>
      </w:pPr>
    </w:p>
    <w:p w14:paraId="01F140F4" w14:textId="420059F7" w:rsidR="00845AF9" w:rsidRPr="00A32FB0" w:rsidRDefault="22E22DEA" w:rsidP="57EA0190">
      <w:pPr>
        <w:pStyle w:val="Heading3"/>
        <w:rPr>
          <w:color w:val="auto"/>
        </w:rPr>
      </w:pPr>
      <w:r w:rsidRPr="00A32FB0">
        <w:rPr>
          <w:color w:val="auto"/>
        </w:rPr>
        <w:t>Top 5 recommendation categories in 2024–25</w:t>
      </w:r>
    </w:p>
    <w:p w14:paraId="7CEBC042" w14:textId="3D0A32F7" w:rsidR="00845AF9" w:rsidRPr="00357AFB" w:rsidRDefault="22E22DEA" w:rsidP="57EA0190">
      <w:pPr>
        <w:pStyle w:val="SCVbody"/>
        <w:numPr>
          <w:ilvl w:val="0"/>
          <w:numId w:val="107"/>
        </w:numPr>
      </w:pPr>
      <w:r>
        <w:t xml:space="preserve">Standardise process: 18% rated moderate </w:t>
      </w:r>
    </w:p>
    <w:p w14:paraId="13910F2D" w14:textId="3AC079CE" w:rsidR="00845AF9" w:rsidRPr="00357AFB" w:rsidRDefault="22E22DEA" w:rsidP="57EA0190">
      <w:pPr>
        <w:pStyle w:val="SCVbody"/>
        <w:numPr>
          <w:ilvl w:val="0"/>
          <w:numId w:val="107"/>
        </w:numPr>
      </w:pPr>
      <w:r>
        <w:t>New procedure/memorandum/policy: 13% rated weak</w:t>
      </w:r>
    </w:p>
    <w:p w14:paraId="18F42F7E" w14:textId="486CECDC" w:rsidR="00845AF9" w:rsidRPr="00357AFB" w:rsidRDefault="22E22DEA" w:rsidP="57EA0190">
      <w:pPr>
        <w:pStyle w:val="SCVbody"/>
        <w:numPr>
          <w:ilvl w:val="0"/>
          <w:numId w:val="107"/>
        </w:numPr>
      </w:pPr>
      <w:r>
        <w:t xml:space="preserve">Further review and develop action plan: 12% rated weak </w:t>
      </w:r>
    </w:p>
    <w:p w14:paraId="2C530E85" w14:textId="47791B7C" w:rsidR="00845AF9" w:rsidRPr="00357AFB" w:rsidRDefault="22E22DEA" w:rsidP="57EA0190">
      <w:pPr>
        <w:pStyle w:val="SCVbody"/>
        <w:numPr>
          <w:ilvl w:val="0"/>
          <w:numId w:val="107"/>
        </w:numPr>
      </w:pPr>
      <w:r>
        <w:t>Share outcomes/education reference: 11% rated weak</w:t>
      </w:r>
    </w:p>
    <w:p w14:paraId="07989A70" w14:textId="1C01C826" w:rsidR="00845AF9" w:rsidRPr="00357AFB" w:rsidRDefault="22E22DEA" w:rsidP="57EA0190">
      <w:pPr>
        <w:pStyle w:val="SCVbody"/>
        <w:numPr>
          <w:ilvl w:val="0"/>
          <w:numId w:val="107"/>
        </w:numPr>
      </w:pPr>
      <w:r>
        <w:t>Training: 8% rated weak</w:t>
      </w:r>
    </w:p>
    <w:p w14:paraId="3EEC95C4" w14:textId="2A48FF01" w:rsidR="00845AF9" w:rsidRPr="00357AFB" w:rsidRDefault="22646722" w:rsidP="00845AF9">
      <w:pPr>
        <w:pStyle w:val="Heading1"/>
        <w:rPr>
          <w:rStyle w:val="normaltextrun"/>
        </w:rPr>
      </w:pPr>
      <w:bookmarkStart w:id="34" w:name="_Toc238026648"/>
      <w:r w:rsidRPr="57EA0190">
        <w:rPr>
          <w:rStyle w:val="normaltextrun"/>
        </w:rPr>
        <w:lastRenderedPageBreak/>
        <w:t xml:space="preserve">Engaging with impacted </w:t>
      </w:r>
      <w:r w:rsidR="7DFDB1C2" w:rsidRPr="57EA0190">
        <w:rPr>
          <w:rStyle w:val="normaltextrun"/>
        </w:rPr>
        <w:t>consumers</w:t>
      </w:r>
      <w:r w:rsidRPr="57EA0190">
        <w:rPr>
          <w:rStyle w:val="normaltextrun"/>
        </w:rPr>
        <w:t>, families and carers</w:t>
      </w:r>
      <w:bookmarkEnd w:id="34"/>
    </w:p>
    <w:p w14:paraId="7BF33A46" w14:textId="70936EEC" w:rsidR="00845AF9" w:rsidRPr="00084EE6" w:rsidRDefault="00845AF9" w:rsidP="0057201C">
      <w:pPr>
        <w:pStyle w:val="SCVbody"/>
      </w:pPr>
      <w:r w:rsidDel="008946C9">
        <w:t>Impacted</w:t>
      </w:r>
      <w:r>
        <w:t xml:space="preserve"> consumers and their families</w:t>
      </w:r>
      <w:r w:rsidR="00686168">
        <w:t xml:space="preserve"> </w:t>
      </w:r>
      <w:r w:rsidR="00025358">
        <w:t xml:space="preserve">and </w:t>
      </w:r>
      <w:r>
        <w:t xml:space="preserve">carers offer invaluable insights about the circumstances around a sentinel event. These perspectives often provide a review panel with unique perspectives that inform deliberations on the system issues that led to the event occurring, and the </w:t>
      </w:r>
      <w:r w:rsidR="00D32B52">
        <w:t xml:space="preserve">lessons </w:t>
      </w:r>
      <w:r>
        <w:t xml:space="preserve">arising from each event. </w:t>
      </w:r>
      <w:r w:rsidR="005005B7">
        <w:t>T</w:t>
      </w:r>
      <w:r>
        <w:t xml:space="preserve">ransparent consumer involvement can be healing and restorative, repairing trust between health services and </w:t>
      </w:r>
      <w:r w:rsidDel="008946C9">
        <w:t xml:space="preserve">impacted </w:t>
      </w:r>
      <w:r>
        <w:t>consumers.</w:t>
      </w:r>
    </w:p>
    <w:p w14:paraId="3D0F9780" w14:textId="6A75914D" w:rsidR="00845AF9" w:rsidRDefault="22646722" w:rsidP="0057201C">
      <w:pPr>
        <w:pStyle w:val="SCVbody"/>
      </w:pPr>
      <w:r>
        <w:t xml:space="preserve">More information </w:t>
      </w:r>
      <w:r w:rsidR="0CD3AA44">
        <w:t>on</w:t>
      </w:r>
      <w:r>
        <w:t xml:space="preserve"> health services engaging with consumers </w:t>
      </w:r>
      <w:r w:rsidR="0CD3AA44">
        <w:t>is</w:t>
      </w:r>
      <w:r>
        <w:t xml:space="preserve"> </w:t>
      </w:r>
      <w:r w:rsidR="0CD3AA44">
        <w:t>o</w:t>
      </w:r>
      <w:r>
        <w:t xml:space="preserve">n the </w:t>
      </w:r>
      <w:hyperlink r:id="rId75">
        <w:r w:rsidR="3A3C7C06" w:rsidRPr="57EA0190">
          <w:rPr>
            <w:rStyle w:val="Hyperlink"/>
          </w:rPr>
          <w:t>Guides to consumer representatives on adverse event reviews webpage</w:t>
        </w:r>
      </w:hyperlink>
      <w:r w:rsidR="0F17023B">
        <w:t xml:space="preserve"> &lt;https://www.safercare.vic.gov.au/best-practice-improvement/publications/guides-to-consumer-representatives-on-adverse-event-reviews&gt;.</w:t>
      </w:r>
    </w:p>
    <w:p w14:paraId="6A0B15B3" w14:textId="048C129E" w:rsidR="00845AF9" w:rsidRPr="00084EE6" w:rsidRDefault="04679955" w:rsidP="0057201C">
      <w:pPr>
        <w:pStyle w:val="SCVbody"/>
      </w:pPr>
      <w:r>
        <w:t>There have been</w:t>
      </w:r>
      <w:r w:rsidR="22646722">
        <w:t xml:space="preserve"> consistent improvements in health services reporting </w:t>
      </w:r>
      <w:r w:rsidR="0CD3AA44">
        <w:t>on</w:t>
      </w:r>
      <w:r w:rsidR="22646722">
        <w:t xml:space="preserve"> family contribution</w:t>
      </w:r>
      <w:r w:rsidR="0CD3AA44">
        <w:t>s</w:t>
      </w:r>
      <w:r w:rsidR="22646722">
        <w:t xml:space="preserve"> to sentinel event reviews. </w:t>
      </w:r>
      <w:r w:rsidR="0CD3AA44">
        <w:t>In</w:t>
      </w:r>
      <w:r w:rsidR="22646722">
        <w:t xml:space="preserve"> 6</w:t>
      </w:r>
      <w:r w:rsidR="621E85E4">
        <w:t>3</w:t>
      </w:r>
      <w:r w:rsidR="22646722">
        <w:t>% of reviews</w:t>
      </w:r>
      <w:r w:rsidR="0CD3AA44">
        <w:t xml:space="preserve"> this year,</w:t>
      </w:r>
      <w:r w:rsidR="22646722">
        <w:t xml:space="preserve"> the patient, family or carer contributed </w:t>
      </w:r>
      <w:r w:rsidR="12DE58E0">
        <w:t xml:space="preserve">or </w:t>
      </w:r>
      <w:r w:rsidR="22646722">
        <w:t>were offered the opportunity to share their version of events, raise questions and express any concerns.</w:t>
      </w:r>
    </w:p>
    <w:p w14:paraId="39CC0F63" w14:textId="3D2F313E" w:rsidR="00845AF9" w:rsidRPr="00084EE6" w:rsidRDefault="00845AF9" w:rsidP="003D76A5">
      <w:pPr>
        <w:pStyle w:val="SCVbody"/>
      </w:pPr>
      <w:r w:rsidDel="00892A26">
        <w:t>Impacted</w:t>
      </w:r>
      <w:r>
        <w:t xml:space="preserve"> consumers and their families</w:t>
      </w:r>
      <w:r w:rsidR="009A0CF8">
        <w:t xml:space="preserve"> or </w:t>
      </w:r>
      <w:r>
        <w:t xml:space="preserve">carers may choose not to </w:t>
      </w:r>
      <w:r w:rsidR="00DA541F">
        <w:t>engage with</w:t>
      </w:r>
      <w:r>
        <w:t xml:space="preserve"> the review. The key step is that families</w:t>
      </w:r>
      <w:r w:rsidR="00ED692C">
        <w:t xml:space="preserve"> or </w:t>
      </w:r>
      <w:r>
        <w:t>carers are offered the opportunity to contribute, understanding that their decision might change as the process unfolds and with time. The consultation process must be adaptable to the unique circumstances of each event and flexible in how it is conducted to respond to the</w:t>
      </w:r>
      <w:r w:rsidR="000A1CB6">
        <w:t xml:space="preserve"> needs of the</w:t>
      </w:r>
      <w:r>
        <w:t xml:space="preserve"> </w:t>
      </w:r>
      <w:r w:rsidDel="008946C9">
        <w:t xml:space="preserve">impacted </w:t>
      </w:r>
      <w:r>
        <w:t xml:space="preserve">consumer. </w:t>
      </w:r>
    </w:p>
    <w:p w14:paraId="64770D26" w14:textId="77777777" w:rsidR="00845AF9" w:rsidRPr="00423B49" w:rsidRDefault="22646722" w:rsidP="00845AF9">
      <w:pPr>
        <w:pStyle w:val="Heading2"/>
        <w:rPr>
          <w:color w:val="007586" w:themeColor="text2"/>
        </w:rPr>
      </w:pPr>
      <w:bookmarkStart w:id="35" w:name="_Toc238026649"/>
      <w:r w:rsidRPr="00423B49">
        <w:rPr>
          <w:color w:val="007586" w:themeColor="text2"/>
        </w:rPr>
        <w:t>Healthcare Complaints Analysis Tool</w:t>
      </w:r>
      <w:bookmarkEnd w:id="35"/>
    </w:p>
    <w:p w14:paraId="46404FE2" w14:textId="08174862" w:rsidR="00845AF9" w:rsidRPr="00084EE6" w:rsidRDefault="00845AF9" w:rsidP="0057201C">
      <w:pPr>
        <w:pStyle w:val="SCVbody"/>
      </w:pPr>
      <w:r w:rsidRPr="00574C21">
        <w:t xml:space="preserve">The sentinel events portal has embedded the </w:t>
      </w:r>
      <w:hyperlink r:id="rId76">
        <w:r w:rsidRPr="00574C21">
          <w:rPr>
            <w:rStyle w:val="Hyperlink"/>
          </w:rPr>
          <w:t>Healthcare Complaints Analysis Tool (HCAT)</w:t>
        </w:r>
      </w:hyperlink>
      <w:r w:rsidRPr="00574C21">
        <w:t xml:space="preserve"> </w:t>
      </w:r>
      <w:r w:rsidR="008A5B68" w:rsidRPr="00574C21">
        <w:t>&lt;</w:t>
      </w:r>
      <w:r w:rsidR="1C197052" w:rsidRPr="00574C21">
        <w:t>https://healthcarecomplaintsanalysis.com/</w:t>
      </w:r>
      <w:r w:rsidR="008A5B68" w:rsidRPr="00574C21">
        <w:t xml:space="preserve">&gt; </w:t>
      </w:r>
      <w:r w:rsidRPr="00574C21">
        <w:t>to capture the feedback consumers provide to sentinel event reviews.</w:t>
      </w:r>
      <w:r>
        <w:t xml:space="preserve"> This evidence-based tool is used to code consumer feedback and</w:t>
      </w:r>
      <w:r w:rsidRPr="00D01142">
        <w:t xml:space="preserve"> </w:t>
      </w:r>
      <w:r>
        <w:t xml:space="preserve">helps </w:t>
      </w:r>
      <w:r w:rsidR="009A63AD">
        <w:t xml:space="preserve">to </w:t>
      </w:r>
      <w:r>
        <w:t xml:space="preserve">better understand the valuable </w:t>
      </w:r>
      <w:r w:rsidR="007D4DF3">
        <w:t>contributions from</w:t>
      </w:r>
      <w:r>
        <w:t xml:space="preserve"> </w:t>
      </w:r>
      <w:r w:rsidR="00D6660F">
        <w:t>consumers</w:t>
      </w:r>
      <w:r>
        <w:t xml:space="preserve">. </w:t>
      </w:r>
    </w:p>
    <w:p w14:paraId="2C456C37" w14:textId="30E3C9E8" w:rsidR="00845AF9" w:rsidRDefault="22646722" w:rsidP="0057201C">
      <w:pPr>
        <w:pStyle w:val="SCVbody"/>
      </w:pPr>
      <w:r>
        <w:t>In 2024–25</w:t>
      </w:r>
      <w:r w:rsidR="44928B2A">
        <w:t>,</w:t>
      </w:r>
      <w:r>
        <w:t xml:space="preserve"> there was a significant increase in the number of </w:t>
      </w:r>
      <w:r w:rsidR="5BBEB13A">
        <w:t xml:space="preserve">consumer </w:t>
      </w:r>
      <w:r>
        <w:t>feedback contribution</w:t>
      </w:r>
      <w:r w:rsidR="37970CBF">
        <w:t>s</w:t>
      </w:r>
      <w:r>
        <w:t xml:space="preserve">. </w:t>
      </w:r>
      <w:r w:rsidR="623DE8F0">
        <w:t>This can be attributed</w:t>
      </w:r>
      <w:r>
        <w:t xml:space="preserve"> to improved health service engagement and </w:t>
      </w:r>
      <w:r w:rsidR="0CD3AA44">
        <w:t xml:space="preserve">better </w:t>
      </w:r>
      <w:r>
        <w:t xml:space="preserve">reporting, and this increase aligns with the </w:t>
      </w:r>
      <w:r w:rsidR="0CD3AA44">
        <w:t xml:space="preserve">rise </w:t>
      </w:r>
      <w:r>
        <w:t>in completing an open disclosure</w:t>
      </w:r>
      <w:r w:rsidR="36B2DB66">
        <w:t xml:space="preserve"> process </w:t>
      </w:r>
      <w:r w:rsidR="0CD3AA44">
        <w:t>(refer below)</w:t>
      </w:r>
      <w:r>
        <w:t>.</w:t>
      </w:r>
    </w:p>
    <w:p w14:paraId="29C5793D" w14:textId="203F85F6" w:rsidR="00845AF9" w:rsidRDefault="00845AF9" w:rsidP="0057201C">
      <w:pPr>
        <w:pStyle w:val="SCVbody"/>
      </w:pPr>
      <w:r>
        <w:t>In 2024</w:t>
      </w:r>
      <w:r w:rsidR="006D014B">
        <w:t>–</w:t>
      </w:r>
      <w:r w:rsidR="0ABE83CA">
        <w:t>2</w:t>
      </w:r>
      <w:r>
        <w:t>5, 1</w:t>
      </w:r>
      <w:r w:rsidR="00E42ED8">
        <w:t>26</w:t>
      </w:r>
      <w:r>
        <w:t xml:space="preserve"> (9</w:t>
      </w:r>
      <w:r w:rsidR="004F73F4">
        <w:t>3</w:t>
      </w:r>
      <w:r>
        <w:t>%) of 1</w:t>
      </w:r>
      <w:r w:rsidR="00114776">
        <w:t>35</w:t>
      </w:r>
      <w:r>
        <w:t xml:space="preserve"> sentinel events </w:t>
      </w:r>
      <w:r w:rsidR="000D29BF">
        <w:t xml:space="preserve">with family contribution </w:t>
      </w:r>
      <w:r w:rsidR="00076F70">
        <w:t xml:space="preserve">had </w:t>
      </w:r>
      <w:r>
        <w:t>documented patient, family or carer feedback using the HCAT tool.</w:t>
      </w:r>
    </w:p>
    <w:p w14:paraId="17C8EDE8" w14:textId="393E5998" w:rsidR="00845AF9" w:rsidRDefault="00845AF9" w:rsidP="0057201C">
      <w:pPr>
        <w:pStyle w:val="SCVbody"/>
      </w:pPr>
      <w:r>
        <w:lastRenderedPageBreak/>
        <w:t xml:space="preserve">There were 523 feedback items documented in sentinel event reviews in 2024–25. This is an increase from 357 items </w:t>
      </w:r>
      <w:r w:rsidR="007D4DF3">
        <w:t xml:space="preserve">in </w:t>
      </w:r>
      <w:r>
        <w:t>2023</w:t>
      </w:r>
      <w:r w:rsidRPr="00FA58F9">
        <w:t>–</w:t>
      </w:r>
      <w:r>
        <w:t xml:space="preserve">24, </w:t>
      </w:r>
      <w:r w:rsidR="007D4DF3">
        <w:t xml:space="preserve">295 items in </w:t>
      </w:r>
      <w:r>
        <w:t>2022–23 and 210 items in 2021–22.</w:t>
      </w:r>
    </w:p>
    <w:p w14:paraId="125BA178" w14:textId="15BFE894" w:rsidR="00845AF9" w:rsidRDefault="5CA6C270" w:rsidP="0057201C">
      <w:pPr>
        <w:pStyle w:val="SCVbody"/>
      </w:pPr>
      <w:r>
        <w:t>T</w:t>
      </w:r>
      <w:r w:rsidR="31111F5C">
        <w:t xml:space="preserve">he top </w:t>
      </w:r>
      <w:r w:rsidR="45887877">
        <w:t>five</w:t>
      </w:r>
      <w:r w:rsidR="5BFB8202">
        <w:t xml:space="preserve"> </w:t>
      </w:r>
      <w:r w:rsidR="31111F5C">
        <w:t>HCAT issues raised by consumers in 2024–25 were:</w:t>
      </w:r>
    </w:p>
    <w:p w14:paraId="184A81F3" w14:textId="62302028" w:rsidR="00CC2899" w:rsidRDefault="72DC4EDF" w:rsidP="002B0D87">
      <w:pPr>
        <w:pStyle w:val="SCVbullet1"/>
      </w:pPr>
      <w:r w:rsidRPr="00423B49">
        <w:rPr>
          <w:b/>
          <w:bCs/>
          <w:color w:val="007586" w:themeColor="text2"/>
        </w:rPr>
        <w:t>C</w:t>
      </w:r>
      <w:r w:rsidR="31111F5C" w:rsidRPr="00423B49">
        <w:rPr>
          <w:b/>
          <w:bCs/>
          <w:color w:val="007586" w:themeColor="text2"/>
        </w:rPr>
        <w:t>linical problems</w:t>
      </w:r>
      <w:r w:rsidR="16C741FE" w:rsidRPr="00423B49">
        <w:rPr>
          <w:b/>
          <w:bCs/>
          <w:color w:val="007586" w:themeColor="text2"/>
        </w:rPr>
        <w:t>:</w:t>
      </w:r>
      <w:r w:rsidR="749AF526">
        <w:t xml:space="preserve"> </w:t>
      </w:r>
      <w:r w:rsidR="608C78D4">
        <w:t xml:space="preserve">33% in the category of </w:t>
      </w:r>
      <w:r w:rsidR="608C78D4" w:rsidRPr="00423B49">
        <w:rPr>
          <w:b/>
          <w:bCs/>
          <w:color w:val="007586" w:themeColor="text2"/>
        </w:rPr>
        <w:t>safety</w:t>
      </w:r>
      <w:r w:rsidR="608C78D4">
        <w:t xml:space="preserve"> related to errors, incidents and staff competencies</w:t>
      </w:r>
      <w:r w:rsidR="7A83DD8D">
        <w:t xml:space="preserve"> </w:t>
      </w:r>
    </w:p>
    <w:p w14:paraId="604E374F" w14:textId="397A703A" w:rsidR="00845AF9" w:rsidRDefault="2EEFA128" w:rsidP="002B0D87">
      <w:pPr>
        <w:pStyle w:val="SCVbullet1"/>
      </w:pPr>
      <w:r w:rsidRPr="00423B49">
        <w:rPr>
          <w:b/>
          <w:bCs/>
          <w:color w:val="007586" w:themeColor="text2"/>
        </w:rPr>
        <w:t>C</w:t>
      </w:r>
      <w:r w:rsidR="3D6A5ADF" w:rsidRPr="00423B49">
        <w:rPr>
          <w:b/>
          <w:bCs/>
          <w:color w:val="007586" w:themeColor="text2"/>
        </w:rPr>
        <w:t>linical problems:</w:t>
      </w:r>
      <w:r w:rsidR="3D6A5ADF" w:rsidRPr="00423B49">
        <w:rPr>
          <w:color w:val="007586" w:themeColor="text2"/>
        </w:rPr>
        <w:t xml:space="preserve"> </w:t>
      </w:r>
      <w:r w:rsidR="12028206">
        <w:t>24%</w:t>
      </w:r>
      <w:r w:rsidR="31873667">
        <w:t xml:space="preserve"> </w:t>
      </w:r>
      <w:r w:rsidR="39E48E20">
        <w:t xml:space="preserve">in the category of </w:t>
      </w:r>
      <w:r w:rsidR="39E48E20" w:rsidRPr="00423B49">
        <w:rPr>
          <w:b/>
          <w:bCs/>
          <w:color w:val="007586" w:themeColor="text2"/>
        </w:rPr>
        <w:t>quality</w:t>
      </w:r>
      <w:r w:rsidR="39E48E20">
        <w:t xml:space="preserve"> related to the</w:t>
      </w:r>
      <w:r w:rsidR="31111F5C">
        <w:t xml:space="preserve"> clinical standards of healthcare staff behaviour</w:t>
      </w:r>
    </w:p>
    <w:p w14:paraId="026E7C9C" w14:textId="435C3AAD" w:rsidR="00845AF9" w:rsidRDefault="0FA9B219" w:rsidP="003D76A5">
      <w:pPr>
        <w:pStyle w:val="SCVbullet1"/>
      </w:pPr>
      <w:r w:rsidRPr="00423B49">
        <w:rPr>
          <w:b/>
          <w:bCs/>
          <w:color w:val="007586" w:themeColor="text2"/>
        </w:rPr>
        <w:t>R</w:t>
      </w:r>
      <w:r w:rsidR="31111F5C" w:rsidRPr="00423B49">
        <w:rPr>
          <w:b/>
          <w:bCs/>
          <w:color w:val="007586" w:themeColor="text2"/>
        </w:rPr>
        <w:t>elationship problems</w:t>
      </w:r>
      <w:r w:rsidR="16C741FE" w:rsidRPr="00423B49">
        <w:rPr>
          <w:b/>
          <w:bCs/>
          <w:color w:val="007586" w:themeColor="text2"/>
        </w:rPr>
        <w:t>:</w:t>
      </w:r>
      <w:r w:rsidR="03B58A58">
        <w:t xml:space="preserve"> 21%</w:t>
      </w:r>
      <w:r w:rsidR="7B98B1D4">
        <w:t xml:space="preserve"> </w:t>
      </w:r>
      <w:r w:rsidR="31873667">
        <w:t>i</w:t>
      </w:r>
      <w:r w:rsidR="03B58A58">
        <w:t xml:space="preserve">n the category of </w:t>
      </w:r>
      <w:r w:rsidR="03B58A58" w:rsidRPr="00423B49">
        <w:rPr>
          <w:b/>
          <w:bCs/>
          <w:color w:val="007586" w:themeColor="text2"/>
        </w:rPr>
        <w:t>communication</w:t>
      </w:r>
      <w:r w:rsidR="03B58A58">
        <w:t xml:space="preserve"> related to absent or incorrect communication from healthcare staff to patients</w:t>
      </w:r>
    </w:p>
    <w:p w14:paraId="63AF265D" w14:textId="039B4922" w:rsidR="00845AF9" w:rsidRDefault="41C9319B" w:rsidP="003D76A5">
      <w:pPr>
        <w:pStyle w:val="SCVbullet1"/>
      </w:pPr>
      <w:r w:rsidRPr="00423B49">
        <w:rPr>
          <w:b/>
          <w:bCs/>
          <w:color w:val="007586" w:themeColor="text2"/>
        </w:rPr>
        <w:t>M</w:t>
      </w:r>
      <w:r w:rsidR="31111F5C" w:rsidRPr="00423B49">
        <w:rPr>
          <w:b/>
          <w:bCs/>
          <w:color w:val="007586" w:themeColor="text2"/>
        </w:rPr>
        <w:t>anagement problems</w:t>
      </w:r>
      <w:r w:rsidR="16C741FE" w:rsidRPr="00423B49">
        <w:rPr>
          <w:b/>
          <w:bCs/>
          <w:color w:val="007586" w:themeColor="text2"/>
        </w:rPr>
        <w:t>:</w:t>
      </w:r>
      <w:r w:rsidR="06C7DE08">
        <w:t xml:space="preserve"> </w:t>
      </w:r>
      <w:r w:rsidR="31873667">
        <w:t>11%</w:t>
      </w:r>
      <w:r w:rsidR="31111F5C">
        <w:t xml:space="preserve"> </w:t>
      </w:r>
      <w:r w:rsidR="6D03B704">
        <w:t xml:space="preserve">in the category of </w:t>
      </w:r>
      <w:r w:rsidR="6D03B704" w:rsidRPr="00423B49">
        <w:rPr>
          <w:b/>
          <w:bCs/>
          <w:color w:val="007586" w:themeColor="text2"/>
        </w:rPr>
        <w:t>institutional processes</w:t>
      </w:r>
      <w:r w:rsidR="6D03B704" w:rsidRPr="00423B49">
        <w:rPr>
          <w:color w:val="007586" w:themeColor="text2"/>
        </w:rPr>
        <w:t xml:space="preserve"> </w:t>
      </w:r>
      <w:r w:rsidR="6D03B704">
        <w:t>related to problems in bureaucracy, waiting times and accessing care</w:t>
      </w:r>
    </w:p>
    <w:p w14:paraId="515FB8BE" w14:textId="1A13B5FC" w:rsidR="00845AF9" w:rsidRDefault="31111F5C" w:rsidP="003D76A5">
      <w:pPr>
        <w:pStyle w:val="SCVbullet1"/>
      </w:pPr>
      <w:r w:rsidRPr="00423B49">
        <w:rPr>
          <w:b/>
          <w:bCs/>
          <w:color w:val="007586" w:themeColor="text2"/>
        </w:rPr>
        <w:t>Relationship problems</w:t>
      </w:r>
      <w:r w:rsidR="5AA3FA6F" w:rsidRPr="00423B49">
        <w:rPr>
          <w:color w:val="007586" w:themeColor="text2"/>
        </w:rPr>
        <w:t xml:space="preserve"> </w:t>
      </w:r>
      <w:r w:rsidR="5AA3FA6F">
        <w:t>–</w:t>
      </w:r>
      <w:r w:rsidR="78D8AAF5">
        <w:t>3%</w:t>
      </w:r>
      <w:r w:rsidR="0CBE332C">
        <w:t xml:space="preserve"> in the category of</w:t>
      </w:r>
      <w:r>
        <w:t xml:space="preserve"> </w:t>
      </w:r>
      <w:r w:rsidRPr="00423B49">
        <w:rPr>
          <w:b/>
          <w:bCs/>
          <w:color w:val="007586" w:themeColor="text2"/>
        </w:rPr>
        <w:t>listening</w:t>
      </w:r>
      <w:r>
        <w:t xml:space="preserve"> related to family escalation of care</w:t>
      </w:r>
      <w:r w:rsidRPr="509B18F9">
        <w:rPr>
          <w:b/>
          <w:bCs/>
        </w:rPr>
        <w:t xml:space="preserve"> </w:t>
      </w:r>
    </w:p>
    <w:p w14:paraId="784B2912" w14:textId="77777777" w:rsidR="00423B49" w:rsidRPr="00005860" w:rsidRDefault="00423B49" w:rsidP="00423B49">
      <w:pPr>
        <w:pStyle w:val="Heading3"/>
      </w:pPr>
      <w:r>
        <w:t>Guidance</w:t>
      </w:r>
      <w:r w:rsidRPr="00F76796">
        <w:t xml:space="preserve"> for health services</w:t>
      </w:r>
      <w:r>
        <w:t xml:space="preserve"> </w:t>
      </w:r>
      <w:r w:rsidRPr="003112D3">
        <w:rPr>
          <w:rFonts w:ascii="Arial" w:hAnsi="Arial" w:cs="Arial"/>
          <w:szCs w:val="24"/>
        </w:rPr>
        <w:t>to inform continuous improvement</w:t>
      </w:r>
    </w:p>
    <w:p w14:paraId="76737DD0" w14:textId="77777777" w:rsidR="00423B49" w:rsidRDefault="00423B49" w:rsidP="00423B49">
      <w:pPr>
        <w:pStyle w:val="SCVbody"/>
      </w:pPr>
      <w:r>
        <w:t>Prioritise capturing family contributions in all aspects of engagement and review processes. Ensure</w:t>
      </w:r>
      <w:r w:rsidDel="00892A26">
        <w:t xml:space="preserve"> </w:t>
      </w:r>
      <w:r>
        <w:t>family contributions are clearly identified and addressed in the review report.</w:t>
      </w:r>
    </w:p>
    <w:p w14:paraId="4123432F" w14:textId="47AE9284" w:rsidR="00D66DF0" w:rsidRPr="00423B49" w:rsidDel="00BD7839" w:rsidRDefault="00423B49" w:rsidP="00423B49">
      <w:pPr>
        <w:pStyle w:val="SCVtablecaption"/>
        <w:rPr>
          <w:b w:val="0"/>
          <w:bCs w:val="0"/>
          <w:color w:val="auto"/>
        </w:rPr>
      </w:pPr>
      <w:r w:rsidRPr="00423B49">
        <w:rPr>
          <w:b w:val="0"/>
          <w:bCs w:val="0"/>
          <w:color w:val="auto"/>
        </w:rPr>
        <w:t xml:space="preserve">For more information about how SCV uses the HCAT to interpret consumer feedback, visit the </w:t>
      </w:r>
      <w:hyperlink r:id="rId77" w:history="1">
        <w:r w:rsidRPr="00423B49">
          <w:rPr>
            <w:rStyle w:val="Hyperlink"/>
            <w:b w:val="0"/>
            <w:bCs w:val="0"/>
            <w:color w:val="004C97" w:themeColor="accent4"/>
          </w:rPr>
          <w:t>Safer Care Victoria website</w:t>
        </w:r>
      </w:hyperlink>
      <w:r w:rsidRPr="00423B49">
        <w:rPr>
          <w:b w:val="0"/>
          <w:bCs w:val="0"/>
          <w:color w:val="auto"/>
        </w:rPr>
        <w:t xml:space="preserve"> &lt;https://www.safercare.vic.gov.au/best-practice-improvement/publications/thematic-interrogation-of-patient-complaints-in-the-state-of-victoria&gt;.</w:t>
      </w:r>
    </w:p>
    <w:p w14:paraId="6BF0B056" w14:textId="566BC3D1" w:rsidR="00A75633" w:rsidRPr="00DE35DD" w:rsidRDefault="27077607" w:rsidP="002315E5">
      <w:pPr>
        <w:pStyle w:val="Heading2"/>
        <w:rPr>
          <w:color w:val="007586" w:themeColor="text2"/>
        </w:rPr>
      </w:pPr>
      <w:bookmarkStart w:id="36" w:name="_Toc238026650"/>
      <w:r w:rsidRPr="00DE35DD">
        <w:rPr>
          <w:color w:val="007586" w:themeColor="text2"/>
        </w:rPr>
        <w:t>Open disclosure</w:t>
      </w:r>
      <w:bookmarkEnd w:id="36"/>
    </w:p>
    <w:p w14:paraId="086584EE" w14:textId="6BD7C748" w:rsidR="00A75633" w:rsidRDefault="27077607" w:rsidP="003D76A5">
      <w:pPr>
        <w:pStyle w:val="SCVbody"/>
      </w:pPr>
      <w:r>
        <w:t>Open disclosure is</w:t>
      </w:r>
      <w:r w:rsidR="2E8CF197">
        <w:t xml:space="preserve"> the process of conducting open discussion about a sentinel event with the patient involved, their family and carers.</w:t>
      </w:r>
      <w:r>
        <w:t xml:space="preserve"> </w:t>
      </w:r>
      <w:r w:rsidR="2E8CF197">
        <w:t xml:space="preserve">It is </w:t>
      </w:r>
      <w:r>
        <w:t xml:space="preserve">built on </w:t>
      </w:r>
      <w:r w:rsidR="16BC20A2">
        <w:t xml:space="preserve">ACSQHC’s nationally consistent </w:t>
      </w:r>
      <w:r w:rsidRPr="57EA0190">
        <w:rPr>
          <w:i/>
          <w:iCs/>
        </w:rPr>
        <w:t xml:space="preserve">Australian </w:t>
      </w:r>
      <w:r w:rsidR="005A2FF4">
        <w:rPr>
          <w:i/>
          <w:iCs/>
        </w:rPr>
        <w:t>O</w:t>
      </w:r>
      <w:r w:rsidRPr="57EA0190">
        <w:rPr>
          <w:i/>
          <w:iCs/>
        </w:rPr>
        <w:t xml:space="preserve">pen </w:t>
      </w:r>
      <w:r w:rsidR="005A2FF4">
        <w:rPr>
          <w:i/>
          <w:iCs/>
        </w:rPr>
        <w:t>D</w:t>
      </w:r>
      <w:r w:rsidRPr="57EA0190">
        <w:rPr>
          <w:i/>
          <w:iCs/>
        </w:rPr>
        <w:t xml:space="preserve">isclosure </w:t>
      </w:r>
      <w:r w:rsidR="005A2FF4">
        <w:rPr>
          <w:i/>
          <w:iCs/>
        </w:rPr>
        <w:t>F</w:t>
      </w:r>
      <w:r w:rsidRPr="57EA0190">
        <w:rPr>
          <w:i/>
          <w:iCs/>
        </w:rPr>
        <w:t>ramework</w:t>
      </w:r>
      <w:r w:rsidR="16BC20A2">
        <w:t xml:space="preserve">. The framework </w:t>
      </w:r>
      <w:r w:rsidR="20F8AFB7">
        <w:t xml:space="preserve">has been recently updated to </w:t>
      </w:r>
      <w:r w:rsidR="3142D930">
        <w:t>improve</w:t>
      </w:r>
      <w:r w:rsidR="20F8AFB7">
        <w:t xml:space="preserve"> partnership</w:t>
      </w:r>
      <w:r w:rsidR="16BC20A2">
        <w:t>s</w:t>
      </w:r>
      <w:r w:rsidR="20F8AFB7">
        <w:t xml:space="preserve"> </w:t>
      </w:r>
      <w:r w:rsidR="72C9616D">
        <w:t>and communication</w:t>
      </w:r>
      <w:r w:rsidR="6038BF1E">
        <w:t xml:space="preserve"> between health </w:t>
      </w:r>
      <w:r w:rsidR="31823487">
        <w:t>services, consumers</w:t>
      </w:r>
      <w:r>
        <w:t xml:space="preserve">, patients and their families after a </w:t>
      </w:r>
      <w:r w:rsidR="16BC20A2">
        <w:t>serious adverse patient safety event (</w:t>
      </w:r>
      <w:r>
        <w:t>SAPSE</w:t>
      </w:r>
      <w:r w:rsidR="16BC20A2">
        <w:t>)</w:t>
      </w:r>
      <w:r w:rsidR="0DB2C92F">
        <w:t xml:space="preserve"> that results in harm as defined in the </w:t>
      </w:r>
      <w:r w:rsidR="0DB2C92F" w:rsidRPr="57EA0190">
        <w:rPr>
          <w:i/>
          <w:iCs/>
        </w:rPr>
        <w:t>Health Services Act 1988</w:t>
      </w:r>
      <w:r>
        <w:t xml:space="preserve">. </w:t>
      </w:r>
    </w:p>
    <w:p w14:paraId="0B6CA1D2" w14:textId="2AA37D78" w:rsidR="00A75633" w:rsidRDefault="27077607" w:rsidP="003114C2">
      <w:pPr>
        <w:pStyle w:val="SCVbody"/>
      </w:pPr>
      <w:r>
        <w:t xml:space="preserve">Open disclosure data for sentinel events in 2024–25 shows continued and sustained improvement </w:t>
      </w:r>
      <w:r w:rsidR="2E8CF197">
        <w:t>among</w:t>
      </w:r>
      <w:r>
        <w:t xml:space="preserve"> health services</w:t>
      </w:r>
      <w:r w:rsidR="0D6723D8">
        <w:t>- however consumer satisfaction has decreased slightly</w:t>
      </w:r>
      <w:r>
        <w:t>. It reflects the embedding of the SDC into practice</w:t>
      </w:r>
      <w:r w:rsidR="41B05F92">
        <w:t>.</w:t>
      </w:r>
      <w:r>
        <w:t xml:space="preserve"> </w:t>
      </w:r>
    </w:p>
    <w:p w14:paraId="32F18AD5" w14:textId="556579CD" w:rsidR="00D407F1" w:rsidRPr="00A37F88" w:rsidRDefault="321317BD" w:rsidP="0057201C">
      <w:pPr>
        <w:pStyle w:val="SCVbody"/>
      </w:pPr>
      <w:r>
        <w:lastRenderedPageBreak/>
        <w:t xml:space="preserve">The data shows </w:t>
      </w:r>
      <w:r w:rsidR="0D8152A6">
        <w:t xml:space="preserve">a slight increase in the number of open disclosure processes being completed </w:t>
      </w:r>
      <w:r w:rsidR="685CA8B1">
        <w:t xml:space="preserve">in </w:t>
      </w:r>
      <w:r w:rsidR="530BAEB0">
        <w:t xml:space="preserve">those </w:t>
      </w:r>
      <w:r w:rsidR="685CA8B1">
        <w:t xml:space="preserve">Victorian </w:t>
      </w:r>
      <w:r w:rsidR="530BAEB0">
        <w:t>h</w:t>
      </w:r>
      <w:r w:rsidR="685CA8B1">
        <w:t xml:space="preserve">ealth services </w:t>
      </w:r>
      <w:r w:rsidR="530BAEB0">
        <w:t xml:space="preserve">that </w:t>
      </w:r>
      <w:r w:rsidR="685CA8B1">
        <w:t xml:space="preserve">reported </w:t>
      </w:r>
      <w:r w:rsidR="0D8152A6">
        <w:t xml:space="preserve">at </w:t>
      </w:r>
      <w:r w:rsidR="4313E9BE" w:rsidDel="3FAAF8D8">
        <w:t>six</w:t>
      </w:r>
      <w:r w:rsidR="054FBEA5">
        <w:t xml:space="preserve"> </w:t>
      </w:r>
      <w:r w:rsidR="0D8152A6">
        <w:t>months</w:t>
      </w:r>
      <w:r w:rsidR="60DABFDC" w:rsidRPr="1D8ABA5E">
        <w:rPr>
          <w:rStyle w:val="FootnoteReference"/>
        </w:rPr>
        <w:footnoteReference w:id="6"/>
      </w:r>
      <w:r w:rsidR="0D8152A6">
        <w:t xml:space="preserve"> </w:t>
      </w:r>
      <w:r w:rsidR="689E070B">
        <w:t>compared</w:t>
      </w:r>
      <w:r w:rsidR="0D8152A6">
        <w:t xml:space="preserve"> </w:t>
      </w:r>
      <w:r w:rsidR="530BAEB0">
        <w:t xml:space="preserve">with </w:t>
      </w:r>
      <w:r w:rsidR="169561EE">
        <w:t>previous years</w:t>
      </w:r>
      <w:r w:rsidR="685CA8B1">
        <w:t>,</w:t>
      </w:r>
      <w:r w:rsidR="169561EE">
        <w:t xml:space="preserve"> with an increase in the percentage of full reports provided to consumers at the </w:t>
      </w:r>
      <w:r w:rsidR="6783F5EB" w:rsidDel="3FAAF8D8">
        <w:t>six</w:t>
      </w:r>
      <w:r w:rsidR="377D4468">
        <w:t>-month</w:t>
      </w:r>
      <w:r w:rsidR="169561EE">
        <w:t xml:space="preserve"> mark</w:t>
      </w:r>
      <w:r w:rsidR="14E70CCB">
        <w:t xml:space="preserve"> (Table 1</w:t>
      </w:r>
      <w:r w:rsidR="403211E5" w:rsidDel="7414A37F">
        <w:t>4</w:t>
      </w:r>
      <w:r w:rsidR="14E70CCB">
        <w:t>)</w:t>
      </w:r>
      <w:r w:rsidR="169561EE">
        <w:t>.</w:t>
      </w:r>
      <w:r w:rsidR="689E070B">
        <w:t xml:space="preserve"> </w:t>
      </w:r>
    </w:p>
    <w:p w14:paraId="6188BBDF" w14:textId="0B544580" w:rsidR="00A75633" w:rsidRPr="00C7225F" w:rsidRDefault="71836461" w:rsidP="00A75633">
      <w:pPr>
        <w:pStyle w:val="SCVtablecaption"/>
      </w:pPr>
      <w:r>
        <w:t xml:space="preserve">Table </w:t>
      </w:r>
      <w:r w:rsidR="37254F53">
        <w:t>1</w:t>
      </w:r>
      <w:r w:rsidR="012BC75A">
        <w:t>4</w:t>
      </w:r>
      <w:r>
        <w:t>: Open disclosure indicators, 2021–22 to 2024–25</w:t>
      </w:r>
    </w:p>
    <w:tbl>
      <w:tblPr>
        <w:tblW w:w="9941"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25"/>
        <w:gridCol w:w="1304"/>
        <w:gridCol w:w="1304"/>
        <w:gridCol w:w="1304"/>
        <w:gridCol w:w="1304"/>
      </w:tblGrid>
      <w:tr w:rsidR="00A75633" w:rsidRPr="00340552" w14:paraId="32CA2AC6" w14:textId="77777777" w:rsidTr="00F7676F">
        <w:trPr>
          <w:trHeight w:val="300"/>
          <w:tblHeader/>
        </w:trPr>
        <w:tc>
          <w:tcPr>
            <w:tcW w:w="4725" w:type="dxa"/>
            <w:tcBorders>
              <w:top w:val="nil"/>
              <w:left w:val="nil"/>
              <w:bottom w:val="single" w:sz="24" w:space="0" w:color="CCCCD0"/>
              <w:right w:val="nil"/>
            </w:tcBorders>
            <w:shd w:val="clear" w:color="auto" w:fill="EDF5F7" w:themeFill="background2"/>
            <w:hideMark/>
          </w:tcPr>
          <w:p w14:paraId="559C37E5" w14:textId="550C8DC5" w:rsidR="00A75633" w:rsidRPr="00340552" w:rsidRDefault="00940C2C">
            <w:pPr>
              <w:pStyle w:val="SCVtablecolhead"/>
              <w:rPr>
                <w:rFonts w:eastAsia="Arial"/>
                <w:sz w:val="24"/>
                <w:szCs w:val="20"/>
              </w:rPr>
            </w:pPr>
            <w:r w:rsidRPr="00340552">
              <w:rPr>
                <w:rFonts w:eastAsia="Arial"/>
                <w:sz w:val="24"/>
                <w:szCs w:val="20"/>
              </w:rPr>
              <w:t>Indicator</w:t>
            </w:r>
          </w:p>
        </w:tc>
        <w:tc>
          <w:tcPr>
            <w:tcW w:w="1304" w:type="dxa"/>
            <w:tcBorders>
              <w:top w:val="nil"/>
              <w:left w:val="nil"/>
              <w:bottom w:val="single" w:sz="24" w:space="0" w:color="CCCCD0"/>
              <w:right w:val="nil"/>
            </w:tcBorders>
            <w:shd w:val="clear" w:color="auto" w:fill="EDF5F7" w:themeFill="background2"/>
            <w:vAlign w:val="center"/>
            <w:hideMark/>
          </w:tcPr>
          <w:p w14:paraId="65193CE2" w14:textId="77777777" w:rsidR="00A75633" w:rsidRPr="00340552" w:rsidRDefault="00A75633" w:rsidP="00F7676F">
            <w:pPr>
              <w:pStyle w:val="SCVtablecolhead"/>
              <w:jc w:val="right"/>
              <w:rPr>
                <w:rFonts w:eastAsia="Arial"/>
                <w:sz w:val="24"/>
                <w:szCs w:val="20"/>
              </w:rPr>
            </w:pPr>
            <w:r w:rsidRPr="00340552">
              <w:rPr>
                <w:rFonts w:eastAsia="Arial"/>
                <w:sz w:val="24"/>
                <w:szCs w:val="20"/>
              </w:rPr>
              <w:t>2021–22</w:t>
            </w:r>
          </w:p>
        </w:tc>
        <w:tc>
          <w:tcPr>
            <w:tcW w:w="1304" w:type="dxa"/>
            <w:tcBorders>
              <w:top w:val="nil"/>
              <w:left w:val="nil"/>
              <w:bottom w:val="single" w:sz="24" w:space="0" w:color="CCCCD0"/>
              <w:right w:val="nil"/>
            </w:tcBorders>
            <w:shd w:val="clear" w:color="auto" w:fill="EDF5F7" w:themeFill="background2"/>
            <w:vAlign w:val="center"/>
            <w:hideMark/>
          </w:tcPr>
          <w:p w14:paraId="14418B23" w14:textId="77777777" w:rsidR="00A75633" w:rsidRPr="00340552" w:rsidRDefault="00A75633" w:rsidP="00F7676F">
            <w:pPr>
              <w:pStyle w:val="SCVtablecolhead"/>
              <w:jc w:val="right"/>
              <w:rPr>
                <w:rFonts w:eastAsia="Arial"/>
                <w:sz w:val="24"/>
                <w:szCs w:val="20"/>
              </w:rPr>
            </w:pPr>
            <w:r w:rsidRPr="00340552">
              <w:rPr>
                <w:rFonts w:eastAsia="Arial"/>
                <w:sz w:val="24"/>
                <w:szCs w:val="20"/>
              </w:rPr>
              <w:t>2022–23</w:t>
            </w:r>
          </w:p>
        </w:tc>
        <w:tc>
          <w:tcPr>
            <w:tcW w:w="1304" w:type="dxa"/>
            <w:tcBorders>
              <w:top w:val="nil"/>
              <w:left w:val="nil"/>
              <w:bottom w:val="single" w:sz="24" w:space="0" w:color="CCCCD0"/>
              <w:right w:val="nil"/>
            </w:tcBorders>
            <w:shd w:val="clear" w:color="auto" w:fill="EDF5F7" w:themeFill="background2"/>
            <w:vAlign w:val="center"/>
            <w:hideMark/>
          </w:tcPr>
          <w:p w14:paraId="318379CF" w14:textId="77777777" w:rsidR="00A75633" w:rsidRPr="00340552" w:rsidRDefault="00A75633" w:rsidP="00F7676F">
            <w:pPr>
              <w:pStyle w:val="SCVtablecolhead"/>
              <w:jc w:val="right"/>
              <w:rPr>
                <w:rFonts w:eastAsia="Arial"/>
                <w:sz w:val="24"/>
                <w:szCs w:val="20"/>
              </w:rPr>
            </w:pPr>
            <w:r w:rsidRPr="00340552">
              <w:rPr>
                <w:rFonts w:eastAsia="Arial"/>
                <w:sz w:val="24"/>
                <w:szCs w:val="20"/>
              </w:rPr>
              <w:t>2023–24</w:t>
            </w:r>
          </w:p>
        </w:tc>
        <w:tc>
          <w:tcPr>
            <w:tcW w:w="1304" w:type="dxa"/>
            <w:tcBorders>
              <w:top w:val="nil"/>
              <w:left w:val="nil"/>
              <w:bottom w:val="single" w:sz="24" w:space="0" w:color="CCCCD0"/>
              <w:right w:val="nil"/>
            </w:tcBorders>
            <w:shd w:val="clear" w:color="auto" w:fill="EDF5F7" w:themeFill="background2"/>
            <w:vAlign w:val="center"/>
          </w:tcPr>
          <w:p w14:paraId="295A05D6" w14:textId="77777777" w:rsidR="4C8A6D40" w:rsidRPr="00340552" w:rsidRDefault="4C8A6D40" w:rsidP="00F7676F">
            <w:pPr>
              <w:pStyle w:val="SCVtablecolhead"/>
              <w:jc w:val="right"/>
              <w:rPr>
                <w:rFonts w:eastAsia="Arial"/>
                <w:sz w:val="24"/>
                <w:szCs w:val="20"/>
              </w:rPr>
            </w:pPr>
            <w:r w:rsidRPr="00340552">
              <w:rPr>
                <w:rFonts w:eastAsia="Arial"/>
                <w:sz w:val="24"/>
                <w:szCs w:val="20"/>
              </w:rPr>
              <w:t>2024–25</w:t>
            </w:r>
          </w:p>
        </w:tc>
      </w:tr>
      <w:tr w:rsidR="00A75633" w:rsidRPr="00340552" w14:paraId="33FA8711" w14:textId="77777777" w:rsidTr="00F7676F">
        <w:trPr>
          <w:trHeight w:val="300"/>
        </w:trPr>
        <w:tc>
          <w:tcPr>
            <w:tcW w:w="4725" w:type="dxa"/>
            <w:tcBorders>
              <w:top w:val="single" w:sz="6" w:space="0" w:color="80808B"/>
              <w:left w:val="nil"/>
              <w:bottom w:val="single" w:sz="6" w:space="0" w:color="80808B"/>
              <w:right w:val="nil"/>
            </w:tcBorders>
            <w:hideMark/>
          </w:tcPr>
          <w:p w14:paraId="10D7C0E1" w14:textId="77777777" w:rsidR="00A75633" w:rsidRPr="006437E4" w:rsidRDefault="71836461" w:rsidP="1D8ABA5E">
            <w:pPr>
              <w:pStyle w:val="SCVtablebody"/>
              <w:rPr>
                <w:b/>
                <w:bCs/>
                <w:color w:val="007586" w:themeColor="text2"/>
                <w:sz w:val="24"/>
                <w:szCs w:val="20"/>
              </w:rPr>
            </w:pPr>
            <w:r w:rsidRPr="006437E4">
              <w:rPr>
                <w:b/>
                <w:bCs/>
                <w:color w:val="007586" w:themeColor="text2"/>
                <w:sz w:val="24"/>
                <w:szCs w:val="20"/>
              </w:rPr>
              <w:t>Commenced at notification</w:t>
            </w:r>
          </w:p>
        </w:tc>
        <w:tc>
          <w:tcPr>
            <w:tcW w:w="1304" w:type="dxa"/>
            <w:tcBorders>
              <w:top w:val="single" w:sz="6" w:space="0" w:color="80808B"/>
              <w:left w:val="nil"/>
              <w:bottom w:val="single" w:sz="6" w:space="0" w:color="80808B"/>
              <w:right w:val="nil"/>
            </w:tcBorders>
            <w:vAlign w:val="center"/>
            <w:hideMark/>
          </w:tcPr>
          <w:p w14:paraId="400F2E23" w14:textId="77777777" w:rsidR="00A75633" w:rsidRPr="00340552" w:rsidRDefault="00A75633" w:rsidP="00F7676F">
            <w:pPr>
              <w:pStyle w:val="SCVtablebody"/>
              <w:jc w:val="right"/>
              <w:rPr>
                <w:sz w:val="24"/>
                <w:szCs w:val="20"/>
              </w:rPr>
            </w:pPr>
            <w:r w:rsidRPr="00340552">
              <w:rPr>
                <w:sz w:val="24"/>
                <w:szCs w:val="20"/>
              </w:rPr>
              <w:t xml:space="preserve">83%  </w:t>
            </w:r>
          </w:p>
        </w:tc>
        <w:tc>
          <w:tcPr>
            <w:tcW w:w="1304" w:type="dxa"/>
            <w:tcBorders>
              <w:top w:val="single" w:sz="6" w:space="0" w:color="80808B"/>
              <w:left w:val="nil"/>
              <w:bottom w:val="single" w:sz="6" w:space="0" w:color="80808B"/>
              <w:right w:val="nil"/>
            </w:tcBorders>
            <w:vAlign w:val="center"/>
            <w:hideMark/>
          </w:tcPr>
          <w:p w14:paraId="2169C99C" w14:textId="77777777" w:rsidR="00A75633" w:rsidRPr="00340552" w:rsidRDefault="00A75633" w:rsidP="00F7676F">
            <w:pPr>
              <w:pStyle w:val="SCVtablebody"/>
              <w:jc w:val="right"/>
              <w:rPr>
                <w:sz w:val="24"/>
                <w:szCs w:val="20"/>
              </w:rPr>
            </w:pPr>
            <w:r w:rsidRPr="00340552">
              <w:rPr>
                <w:sz w:val="24"/>
                <w:szCs w:val="20"/>
              </w:rPr>
              <w:t xml:space="preserve">79%  </w:t>
            </w:r>
          </w:p>
        </w:tc>
        <w:tc>
          <w:tcPr>
            <w:tcW w:w="1304" w:type="dxa"/>
            <w:tcBorders>
              <w:top w:val="single" w:sz="6" w:space="0" w:color="80808B"/>
              <w:left w:val="nil"/>
              <w:bottom w:val="single" w:sz="6" w:space="0" w:color="80808B"/>
              <w:right w:val="nil"/>
            </w:tcBorders>
            <w:vAlign w:val="center"/>
            <w:hideMark/>
          </w:tcPr>
          <w:p w14:paraId="726837CA" w14:textId="77777777" w:rsidR="00A75633" w:rsidRPr="00340552" w:rsidRDefault="00A75633" w:rsidP="00F7676F">
            <w:pPr>
              <w:pStyle w:val="SCVtablebody"/>
              <w:jc w:val="right"/>
              <w:rPr>
                <w:sz w:val="24"/>
                <w:szCs w:val="20"/>
              </w:rPr>
            </w:pPr>
            <w:r w:rsidRPr="00340552">
              <w:rPr>
                <w:sz w:val="24"/>
                <w:szCs w:val="20"/>
              </w:rPr>
              <w:t xml:space="preserve">85%  </w:t>
            </w:r>
          </w:p>
        </w:tc>
        <w:tc>
          <w:tcPr>
            <w:tcW w:w="1304" w:type="dxa"/>
            <w:tcBorders>
              <w:top w:val="single" w:sz="6" w:space="0" w:color="80808B"/>
              <w:left w:val="nil"/>
              <w:bottom w:val="single" w:sz="6" w:space="0" w:color="80808B"/>
              <w:right w:val="nil"/>
            </w:tcBorders>
            <w:vAlign w:val="center"/>
          </w:tcPr>
          <w:p w14:paraId="404ABE96" w14:textId="77777777" w:rsidR="4C8A6D40" w:rsidRPr="00340552" w:rsidRDefault="4C8A6D40" w:rsidP="00F7676F">
            <w:pPr>
              <w:pStyle w:val="SCVtablebody"/>
              <w:jc w:val="right"/>
              <w:rPr>
                <w:sz w:val="24"/>
                <w:szCs w:val="20"/>
              </w:rPr>
            </w:pPr>
            <w:r w:rsidRPr="00340552">
              <w:rPr>
                <w:sz w:val="24"/>
                <w:szCs w:val="20"/>
              </w:rPr>
              <w:t>84%</w:t>
            </w:r>
          </w:p>
        </w:tc>
      </w:tr>
      <w:tr w:rsidR="00A75633" w:rsidRPr="00340552" w14:paraId="767088F0" w14:textId="77777777" w:rsidTr="00F7676F">
        <w:trPr>
          <w:trHeight w:val="300"/>
        </w:trPr>
        <w:tc>
          <w:tcPr>
            <w:tcW w:w="4725" w:type="dxa"/>
            <w:tcBorders>
              <w:top w:val="single" w:sz="6" w:space="0" w:color="80808B"/>
              <w:left w:val="nil"/>
              <w:bottom w:val="single" w:sz="6" w:space="0" w:color="80808B"/>
              <w:right w:val="nil"/>
            </w:tcBorders>
            <w:hideMark/>
          </w:tcPr>
          <w:p w14:paraId="2D1C6C25" w14:textId="77777777" w:rsidR="00A75633" w:rsidRPr="006437E4" w:rsidRDefault="71836461" w:rsidP="1D8ABA5E">
            <w:pPr>
              <w:pStyle w:val="SCVtablebody"/>
              <w:rPr>
                <w:b/>
                <w:bCs/>
                <w:color w:val="007586" w:themeColor="text2"/>
                <w:sz w:val="24"/>
                <w:szCs w:val="20"/>
              </w:rPr>
            </w:pPr>
            <w:r w:rsidRPr="006437E4">
              <w:rPr>
                <w:b/>
                <w:bCs/>
                <w:color w:val="007586" w:themeColor="text2"/>
                <w:sz w:val="24"/>
                <w:szCs w:val="20"/>
              </w:rPr>
              <w:t>Completed at 6 months</w:t>
            </w:r>
          </w:p>
        </w:tc>
        <w:tc>
          <w:tcPr>
            <w:tcW w:w="1304" w:type="dxa"/>
            <w:tcBorders>
              <w:top w:val="single" w:sz="6" w:space="0" w:color="80808B"/>
              <w:left w:val="nil"/>
              <w:bottom w:val="single" w:sz="6" w:space="0" w:color="80808B"/>
              <w:right w:val="nil"/>
            </w:tcBorders>
            <w:vAlign w:val="center"/>
            <w:hideMark/>
          </w:tcPr>
          <w:p w14:paraId="366DA088" w14:textId="77777777" w:rsidR="00A75633" w:rsidRPr="00340552" w:rsidRDefault="00A75633" w:rsidP="00F7676F">
            <w:pPr>
              <w:pStyle w:val="SCVtablebody"/>
              <w:jc w:val="right"/>
              <w:rPr>
                <w:sz w:val="24"/>
                <w:szCs w:val="20"/>
              </w:rPr>
            </w:pPr>
            <w:r w:rsidRPr="00340552">
              <w:rPr>
                <w:sz w:val="24"/>
                <w:szCs w:val="20"/>
              </w:rPr>
              <w:t xml:space="preserve">35%  </w:t>
            </w:r>
          </w:p>
        </w:tc>
        <w:tc>
          <w:tcPr>
            <w:tcW w:w="1304" w:type="dxa"/>
            <w:tcBorders>
              <w:top w:val="single" w:sz="6" w:space="0" w:color="80808B"/>
              <w:left w:val="nil"/>
              <w:bottom w:val="single" w:sz="6" w:space="0" w:color="80808B"/>
              <w:right w:val="nil"/>
            </w:tcBorders>
            <w:vAlign w:val="center"/>
            <w:hideMark/>
          </w:tcPr>
          <w:p w14:paraId="26B45A20" w14:textId="77777777" w:rsidR="00A75633" w:rsidRPr="00340552" w:rsidRDefault="00A75633" w:rsidP="00F7676F">
            <w:pPr>
              <w:pStyle w:val="SCVtablebody"/>
              <w:jc w:val="right"/>
              <w:rPr>
                <w:sz w:val="24"/>
                <w:szCs w:val="20"/>
              </w:rPr>
            </w:pPr>
            <w:r w:rsidRPr="00340552">
              <w:rPr>
                <w:sz w:val="24"/>
                <w:szCs w:val="20"/>
              </w:rPr>
              <w:t xml:space="preserve">58%  </w:t>
            </w:r>
          </w:p>
        </w:tc>
        <w:tc>
          <w:tcPr>
            <w:tcW w:w="1304" w:type="dxa"/>
            <w:tcBorders>
              <w:top w:val="single" w:sz="6" w:space="0" w:color="80808B"/>
              <w:left w:val="nil"/>
              <w:bottom w:val="single" w:sz="6" w:space="0" w:color="80808B"/>
              <w:right w:val="nil"/>
            </w:tcBorders>
            <w:vAlign w:val="center"/>
            <w:hideMark/>
          </w:tcPr>
          <w:p w14:paraId="6FF2337F" w14:textId="77777777" w:rsidR="00A75633" w:rsidRPr="00340552" w:rsidRDefault="00A75633" w:rsidP="00F7676F">
            <w:pPr>
              <w:pStyle w:val="SCVtablebody"/>
              <w:jc w:val="right"/>
              <w:rPr>
                <w:sz w:val="24"/>
                <w:szCs w:val="20"/>
              </w:rPr>
            </w:pPr>
            <w:r w:rsidRPr="00340552">
              <w:rPr>
                <w:sz w:val="24"/>
                <w:szCs w:val="20"/>
              </w:rPr>
              <w:t xml:space="preserve">70%  </w:t>
            </w:r>
          </w:p>
        </w:tc>
        <w:tc>
          <w:tcPr>
            <w:tcW w:w="1304" w:type="dxa"/>
            <w:tcBorders>
              <w:top w:val="single" w:sz="6" w:space="0" w:color="80808B"/>
              <w:left w:val="nil"/>
              <w:bottom w:val="single" w:sz="6" w:space="0" w:color="80808B"/>
              <w:right w:val="nil"/>
            </w:tcBorders>
            <w:vAlign w:val="center"/>
          </w:tcPr>
          <w:p w14:paraId="144AE328" w14:textId="77777777" w:rsidR="4C8A6D40" w:rsidRPr="00340552" w:rsidRDefault="4C8A6D40" w:rsidP="00F7676F">
            <w:pPr>
              <w:pStyle w:val="SCVtablebody"/>
              <w:jc w:val="right"/>
              <w:rPr>
                <w:sz w:val="24"/>
                <w:szCs w:val="20"/>
              </w:rPr>
            </w:pPr>
            <w:r w:rsidRPr="00340552">
              <w:rPr>
                <w:sz w:val="24"/>
                <w:szCs w:val="20"/>
              </w:rPr>
              <w:t>72%</w:t>
            </w:r>
          </w:p>
        </w:tc>
      </w:tr>
      <w:tr w:rsidR="00A75633" w:rsidRPr="00340552" w14:paraId="75DB7E5A" w14:textId="77777777" w:rsidTr="00F7676F">
        <w:trPr>
          <w:trHeight w:val="300"/>
        </w:trPr>
        <w:tc>
          <w:tcPr>
            <w:tcW w:w="4725" w:type="dxa"/>
            <w:tcBorders>
              <w:top w:val="single" w:sz="6" w:space="0" w:color="80808B"/>
              <w:left w:val="nil"/>
              <w:bottom w:val="single" w:sz="6" w:space="0" w:color="80808B"/>
              <w:right w:val="nil"/>
            </w:tcBorders>
            <w:hideMark/>
          </w:tcPr>
          <w:p w14:paraId="56424756" w14:textId="77777777" w:rsidR="00A75633" w:rsidRPr="006437E4" w:rsidRDefault="71836461" w:rsidP="1D8ABA5E">
            <w:pPr>
              <w:pStyle w:val="SCVtablebody"/>
              <w:rPr>
                <w:b/>
                <w:bCs/>
                <w:color w:val="007586" w:themeColor="text2"/>
                <w:sz w:val="24"/>
                <w:szCs w:val="20"/>
              </w:rPr>
            </w:pPr>
            <w:r w:rsidRPr="006437E4">
              <w:rPr>
                <w:b/>
                <w:bCs/>
                <w:color w:val="007586" w:themeColor="text2"/>
                <w:sz w:val="24"/>
                <w:szCs w:val="20"/>
              </w:rPr>
              <w:t xml:space="preserve">Full report provided to consumer at 6 months </w:t>
            </w:r>
          </w:p>
        </w:tc>
        <w:tc>
          <w:tcPr>
            <w:tcW w:w="1304" w:type="dxa"/>
            <w:tcBorders>
              <w:top w:val="single" w:sz="6" w:space="0" w:color="80808B"/>
              <w:left w:val="nil"/>
              <w:bottom w:val="single" w:sz="6" w:space="0" w:color="80808B"/>
              <w:right w:val="nil"/>
            </w:tcBorders>
            <w:vAlign w:val="center"/>
            <w:hideMark/>
          </w:tcPr>
          <w:p w14:paraId="47B79AAA" w14:textId="77777777" w:rsidR="00A75633" w:rsidRPr="00340552" w:rsidRDefault="00A75633" w:rsidP="00F7676F">
            <w:pPr>
              <w:pStyle w:val="SCVtablebody"/>
              <w:jc w:val="right"/>
              <w:rPr>
                <w:sz w:val="24"/>
                <w:szCs w:val="20"/>
              </w:rPr>
            </w:pPr>
            <w:r w:rsidRPr="00340552">
              <w:rPr>
                <w:sz w:val="24"/>
                <w:szCs w:val="20"/>
              </w:rPr>
              <w:t xml:space="preserve">9%  </w:t>
            </w:r>
          </w:p>
        </w:tc>
        <w:tc>
          <w:tcPr>
            <w:tcW w:w="1304" w:type="dxa"/>
            <w:tcBorders>
              <w:top w:val="single" w:sz="6" w:space="0" w:color="80808B"/>
              <w:left w:val="nil"/>
              <w:bottom w:val="single" w:sz="6" w:space="0" w:color="80808B"/>
              <w:right w:val="nil"/>
            </w:tcBorders>
            <w:vAlign w:val="center"/>
            <w:hideMark/>
          </w:tcPr>
          <w:p w14:paraId="69B53F3A" w14:textId="77777777" w:rsidR="00A75633" w:rsidRPr="00340552" w:rsidRDefault="00A75633" w:rsidP="00F7676F">
            <w:pPr>
              <w:pStyle w:val="SCVtablebody"/>
              <w:jc w:val="right"/>
              <w:rPr>
                <w:sz w:val="24"/>
                <w:szCs w:val="20"/>
              </w:rPr>
            </w:pPr>
            <w:r w:rsidRPr="00340552">
              <w:rPr>
                <w:sz w:val="24"/>
                <w:szCs w:val="20"/>
              </w:rPr>
              <w:t xml:space="preserve">46%  </w:t>
            </w:r>
          </w:p>
        </w:tc>
        <w:tc>
          <w:tcPr>
            <w:tcW w:w="1304" w:type="dxa"/>
            <w:tcBorders>
              <w:top w:val="single" w:sz="6" w:space="0" w:color="80808B"/>
              <w:left w:val="nil"/>
              <w:bottom w:val="single" w:sz="6" w:space="0" w:color="80808B"/>
              <w:right w:val="nil"/>
            </w:tcBorders>
            <w:vAlign w:val="center"/>
            <w:hideMark/>
          </w:tcPr>
          <w:p w14:paraId="69477B3F" w14:textId="77777777" w:rsidR="00A75633" w:rsidRPr="00340552" w:rsidRDefault="00A75633" w:rsidP="00F7676F">
            <w:pPr>
              <w:pStyle w:val="SCVtablebody"/>
              <w:jc w:val="right"/>
              <w:rPr>
                <w:sz w:val="24"/>
                <w:szCs w:val="20"/>
              </w:rPr>
            </w:pPr>
            <w:r w:rsidRPr="00340552">
              <w:rPr>
                <w:sz w:val="24"/>
                <w:szCs w:val="20"/>
              </w:rPr>
              <w:t xml:space="preserve">68%  </w:t>
            </w:r>
          </w:p>
        </w:tc>
        <w:tc>
          <w:tcPr>
            <w:tcW w:w="1304" w:type="dxa"/>
            <w:tcBorders>
              <w:top w:val="single" w:sz="6" w:space="0" w:color="80808B"/>
              <w:left w:val="nil"/>
              <w:bottom w:val="single" w:sz="6" w:space="0" w:color="80808B"/>
              <w:right w:val="nil"/>
            </w:tcBorders>
            <w:vAlign w:val="center"/>
          </w:tcPr>
          <w:p w14:paraId="5383065C" w14:textId="77777777" w:rsidR="4C8A6D40" w:rsidRPr="00340552" w:rsidRDefault="4C8A6D40" w:rsidP="00F7676F">
            <w:pPr>
              <w:pStyle w:val="SCVtablebody"/>
              <w:jc w:val="right"/>
              <w:rPr>
                <w:sz w:val="24"/>
                <w:szCs w:val="20"/>
              </w:rPr>
            </w:pPr>
            <w:r w:rsidRPr="00340552">
              <w:rPr>
                <w:sz w:val="24"/>
                <w:szCs w:val="20"/>
              </w:rPr>
              <w:t>74%</w:t>
            </w:r>
          </w:p>
        </w:tc>
      </w:tr>
      <w:tr w:rsidR="00A75633" w:rsidRPr="00340552" w14:paraId="6BB1F147" w14:textId="77777777" w:rsidTr="00F7676F">
        <w:trPr>
          <w:trHeight w:val="300"/>
        </w:trPr>
        <w:tc>
          <w:tcPr>
            <w:tcW w:w="4725" w:type="dxa"/>
            <w:tcBorders>
              <w:top w:val="single" w:sz="6" w:space="0" w:color="80808B"/>
              <w:left w:val="nil"/>
              <w:bottom w:val="nil"/>
              <w:right w:val="nil"/>
            </w:tcBorders>
            <w:hideMark/>
          </w:tcPr>
          <w:p w14:paraId="008B2D53" w14:textId="7F903161" w:rsidR="00A75633" w:rsidRPr="006437E4" w:rsidRDefault="71836461" w:rsidP="1D8ABA5E">
            <w:pPr>
              <w:pStyle w:val="SCVtablebody"/>
              <w:rPr>
                <w:b/>
                <w:bCs/>
                <w:color w:val="007586" w:themeColor="text2"/>
                <w:sz w:val="24"/>
                <w:szCs w:val="20"/>
              </w:rPr>
            </w:pPr>
            <w:r w:rsidRPr="006437E4">
              <w:rPr>
                <w:b/>
                <w:bCs/>
                <w:color w:val="007586" w:themeColor="text2"/>
                <w:sz w:val="24"/>
                <w:szCs w:val="20"/>
              </w:rPr>
              <w:t xml:space="preserve">Consumer reported they were satisfied with the outcome of the review </w:t>
            </w:r>
          </w:p>
        </w:tc>
        <w:tc>
          <w:tcPr>
            <w:tcW w:w="1304" w:type="dxa"/>
            <w:tcBorders>
              <w:top w:val="single" w:sz="6" w:space="0" w:color="80808B"/>
              <w:left w:val="nil"/>
              <w:bottom w:val="nil"/>
              <w:right w:val="nil"/>
            </w:tcBorders>
            <w:vAlign w:val="center"/>
            <w:hideMark/>
          </w:tcPr>
          <w:p w14:paraId="7656688B" w14:textId="77777777" w:rsidR="00A75633" w:rsidRPr="00340552" w:rsidRDefault="00A75633" w:rsidP="00F7676F">
            <w:pPr>
              <w:pStyle w:val="SCVtablebody"/>
              <w:jc w:val="right"/>
              <w:rPr>
                <w:sz w:val="24"/>
                <w:szCs w:val="20"/>
              </w:rPr>
            </w:pPr>
            <w:r w:rsidRPr="00340552">
              <w:rPr>
                <w:sz w:val="24"/>
                <w:szCs w:val="20"/>
              </w:rPr>
              <w:t xml:space="preserve">93%  </w:t>
            </w:r>
          </w:p>
        </w:tc>
        <w:tc>
          <w:tcPr>
            <w:tcW w:w="1304" w:type="dxa"/>
            <w:tcBorders>
              <w:top w:val="single" w:sz="6" w:space="0" w:color="80808B"/>
              <w:left w:val="nil"/>
              <w:bottom w:val="nil"/>
              <w:right w:val="nil"/>
            </w:tcBorders>
            <w:vAlign w:val="center"/>
            <w:hideMark/>
          </w:tcPr>
          <w:p w14:paraId="6BF5A0D1" w14:textId="77777777" w:rsidR="00A75633" w:rsidRPr="00340552" w:rsidRDefault="00A75633" w:rsidP="00F7676F">
            <w:pPr>
              <w:pStyle w:val="SCVtablebody"/>
              <w:jc w:val="right"/>
              <w:rPr>
                <w:sz w:val="24"/>
                <w:szCs w:val="20"/>
              </w:rPr>
            </w:pPr>
            <w:r w:rsidRPr="00340552">
              <w:rPr>
                <w:sz w:val="24"/>
                <w:szCs w:val="20"/>
              </w:rPr>
              <w:t xml:space="preserve">91%  </w:t>
            </w:r>
          </w:p>
        </w:tc>
        <w:tc>
          <w:tcPr>
            <w:tcW w:w="1304" w:type="dxa"/>
            <w:tcBorders>
              <w:top w:val="single" w:sz="6" w:space="0" w:color="80808B"/>
              <w:left w:val="nil"/>
              <w:bottom w:val="nil"/>
              <w:right w:val="nil"/>
            </w:tcBorders>
            <w:vAlign w:val="center"/>
            <w:hideMark/>
          </w:tcPr>
          <w:p w14:paraId="49277520" w14:textId="77777777" w:rsidR="00A75633" w:rsidRPr="00340552" w:rsidRDefault="00A75633" w:rsidP="00F7676F">
            <w:pPr>
              <w:pStyle w:val="SCVtablebody"/>
              <w:jc w:val="right"/>
              <w:rPr>
                <w:sz w:val="24"/>
                <w:szCs w:val="20"/>
              </w:rPr>
            </w:pPr>
            <w:r w:rsidRPr="00340552">
              <w:rPr>
                <w:sz w:val="24"/>
                <w:szCs w:val="20"/>
              </w:rPr>
              <w:t xml:space="preserve">88%  </w:t>
            </w:r>
          </w:p>
        </w:tc>
        <w:tc>
          <w:tcPr>
            <w:tcW w:w="1304" w:type="dxa"/>
            <w:tcBorders>
              <w:top w:val="single" w:sz="6" w:space="0" w:color="80808B"/>
              <w:left w:val="nil"/>
              <w:bottom w:val="nil"/>
              <w:right w:val="nil"/>
            </w:tcBorders>
            <w:vAlign w:val="center"/>
          </w:tcPr>
          <w:p w14:paraId="447279EE" w14:textId="6B4CE3B9" w:rsidR="00B828AC" w:rsidRPr="00340552" w:rsidRDefault="00B828AC" w:rsidP="00F7676F">
            <w:pPr>
              <w:pStyle w:val="SCVtablebody"/>
              <w:jc w:val="right"/>
              <w:rPr>
                <w:sz w:val="24"/>
                <w:szCs w:val="20"/>
              </w:rPr>
            </w:pPr>
            <w:r w:rsidRPr="00340552">
              <w:rPr>
                <w:sz w:val="24"/>
                <w:szCs w:val="20"/>
              </w:rPr>
              <w:t>85%</w:t>
            </w:r>
          </w:p>
        </w:tc>
      </w:tr>
    </w:tbl>
    <w:p w14:paraId="2D10B6F1" w14:textId="5FC6C0DE" w:rsidR="000D6EFD" w:rsidRPr="00DE35DD" w:rsidRDefault="1EDB1BCE" w:rsidP="00E712E6">
      <w:pPr>
        <w:pStyle w:val="Heading2"/>
        <w:rPr>
          <w:color w:val="007586" w:themeColor="text2"/>
        </w:rPr>
      </w:pPr>
      <w:bookmarkStart w:id="37" w:name="_Toc238026651"/>
      <w:r w:rsidRPr="00DE35DD">
        <w:rPr>
          <w:color w:val="007586" w:themeColor="text2"/>
        </w:rPr>
        <w:t xml:space="preserve">Statutory </w:t>
      </w:r>
      <w:r w:rsidR="4AAE9D1E" w:rsidRPr="00DE35DD">
        <w:rPr>
          <w:color w:val="007586" w:themeColor="text2"/>
        </w:rPr>
        <w:t>d</w:t>
      </w:r>
      <w:r w:rsidRPr="00DE35DD">
        <w:rPr>
          <w:color w:val="007586" w:themeColor="text2"/>
        </w:rPr>
        <w:t xml:space="preserve">uty of </w:t>
      </w:r>
      <w:r w:rsidR="4AAE9D1E" w:rsidRPr="00DE35DD">
        <w:rPr>
          <w:color w:val="007586" w:themeColor="text2"/>
        </w:rPr>
        <w:t>c</w:t>
      </w:r>
      <w:r w:rsidRPr="00DE35DD">
        <w:rPr>
          <w:color w:val="007586" w:themeColor="text2"/>
        </w:rPr>
        <w:t>andour</w:t>
      </w:r>
      <w:bookmarkEnd w:id="37"/>
    </w:p>
    <w:p w14:paraId="2630CD3F" w14:textId="3BE9B46C" w:rsidR="00257CAF" w:rsidRPr="00692E2E" w:rsidRDefault="15017FD6" w:rsidP="003D76A5">
      <w:pPr>
        <w:pStyle w:val="SCVbody"/>
      </w:pPr>
      <w:r>
        <w:t xml:space="preserve">The </w:t>
      </w:r>
      <w:r w:rsidRPr="509B18F9">
        <w:rPr>
          <w:i/>
          <w:iCs/>
        </w:rPr>
        <w:t>Health Services Act</w:t>
      </w:r>
      <w:r w:rsidR="1E72B89F" w:rsidRPr="509B18F9">
        <w:rPr>
          <w:i/>
          <w:iCs/>
        </w:rPr>
        <w:t xml:space="preserve"> 1988</w:t>
      </w:r>
      <w:r w:rsidR="54655188" w:rsidRPr="509B18F9">
        <w:rPr>
          <w:i/>
          <w:iCs/>
        </w:rPr>
        <w:t xml:space="preserve"> </w:t>
      </w:r>
      <w:r>
        <w:t>requires health services to undertake a</w:t>
      </w:r>
      <w:r w:rsidR="03E4D500">
        <w:t>n</w:t>
      </w:r>
      <w:r>
        <w:t xml:space="preserve"> SDC process</w:t>
      </w:r>
      <w:r w:rsidR="50D518EF">
        <w:t xml:space="preserve">, </w:t>
      </w:r>
      <w:r>
        <w:t>unless a patient opts out</w:t>
      </w:r>
      <w:r w:rsidR="50D518EF">
        <w:t xml:space="preserve">, </w:t>
      </w:r>
      <w:r>
        <w:t>within 50</w:t>
      </w:r>
      <w:r w:rsidR="41A6A32A">
        <w:t xml:space="preserve"> </w:t>
      </w:r>
      <w:r w:rsidR="62426859">
        <w:t>business days</w:t>
      </w:r>
      <w:r w:rsidR="2FA7B226">
        <w:t xml:space="preserve"> </w:t>
      </w:r>
      <w:r w:rsidR="6228C058">
        <w:t xml:space="preserve">in the case of a SAPSE. </w:t>
      </w:r>
      <w:r w:rsidR="2FA7B226">
        <w:t>(</w:t>
      </w:r>
      <w:r w:rsidR="6228C058">
        <w:t>This</w:t>
      </w:r>
      <w:r w:rsidR="53934A4F">
        <w:t xml:space="preserve"> can be extended to 75 working days where more than one health service is involved</w:t>
      </w:r>
      <w:r w:rsidR="6228C058">
        <w:t>.</w:t>
      </w:r>
      <w:r w:rsidR="2FA7B226">
        <w:t>)</w:t>
      </w:r>
      <w:r>
        <w:t xml:space="preserve"> </w:t>
      </w:r>
      <w:r w:rsidR="35EDDACB">
        <w:t xml:space="preserve">This process builds on the </w:t>
      </w:r>
      <w:r w:rsidR="35EDDACB" w:rsidRPr="509B18F9">
        <w:rPr>
          <w:i/>
          <w:iCs/>
        </w:rPr>
        <w:t xml:space="preserve">Australian </w:t>
      </w:r>
      <w:r w:rsidR="766594C8" w:rsidRPr="509B18F9">
        <w:rPr>
          <w:i/>
          <w:iCs/>
        </w:rPr>
        <w:t>O</w:t>
      </w:r>
      <w:r w:rsidR="35EDDACB" w:rsidRPr="509B18F9">
        <w:rPr>
          <w:i/>
          <w:iCs/>
        </w:rPr>
        <w:t xml:space="preserve">pen </w:t>
      </w:r>
      <w:r w:rsidR="7856036B" w:rsidRPr="509B18F9">
        <w:rPr>
          <w:i/>
          <w:iCs/>
        </w:rPr>
        <w:t>D</w:t>
      </w:r>
      <w:r w:rsidR="35EDDACB" w:rsidRPr="509B18F9">
        <w:rPr>
          <w:i/>
          <w:iCs/>
        </w:rPr>
        <w:t xml:space="preserve">isclosure </w:t>
      </w:r>
      <w:r w:rsidR="054CB780" w:rsidRPr="509B18F9">
        <w:rPr>
          <w:i/>
          <w:iCs/>
        </w:rPr>
        <w:t>F</w:t>
      </w:r>
      <w:r w:rsidR="35EDDACB" w:rsidRPr="509B18F9">
        <w:rPr>
          <w:i/>
          <w:iCs/>
        </w:rPr>
        <w:t>ramework</w:t>
      </w:r>
      <w:r w:rsidR="35EDDACB">
        <w:t xml:space="preserve">. </w:t>
      </w:r>
    </w:p>
    <w:p w14:paraId="0229AD47" w14:textId="77777777" w:rsidR="00A97575" w:rsidRDefault="00257CAF" w:rsidP="00A97575">
      <w:pPr>
        <w:pStyle w:val="SCVbody"/>
      </w:pPr>
      <w:r w:rsidRPr="6920BDC5">
        <w:t xml:space="preserve">The SDC </w:t>
      </w:r>
      <w:r w:rsidR="000F1573" w:rsidRPr="6920BDC5">
        <w:t xml:space="preserve">is a legal obligation for Victorian health services to ensure </w:t>
      </w:r>
      <w:r w:rsidRPr="6920BDC5">
        <w:t>consumers of health services</w:t>
      </w:r>
      <w:r w:rsidR="00934927" w:rsidRPr="6920BDC5">
        <w:t xml:space="preserve"> (including mental health services)</w:t>
      </w:r>
      <w:r w:rsidRPr="6920BDC5">
        <w:t>, their families or carers receive</w:t>
      </w:r>
      <w:r w:rsidR="00A97575">
        <w:t>:</w:t>
      </w:r>
      <w:r w:rsidR="7641F0EE" w:rsidRPr="6920BDC5">
        <w:t xml:space="preserve"> </w:t>
      </w:r>
    </w:p>
    <w:p w14:paraId="5CAA0C70" w14:textId="398FF3E5" w:rsidR="00A97575" w:rsidRDefault="7641F0EE" w:rsidP="00A97575">
      <w:pPr>
        <w:pStyle w:val="SCVbullet1"/>
      </w:pPr>
      <w:r w:rsidRPr="6920BDC5">
        <w:t>an apology</w:t>
      </w:r>
    </w:p>
    <w:p w14:paraId="3C88B0BB" w14:textId="628C6345" w:rsidR="00A97575" w:rsidRDefault="7641F0EE" w:rsidP="00A97575">
      <w:pPr>
        <w:pStyle w:val="SCVbullet1"/>
      </w:pPr>
      <w:r w:rsidRPr="6920BDC5">
        <w:t>honest and transparent communication</w:t>
      </w:r>
    </w:p>
    <w:p w14:paraId="5C4EB2F6" w14:textId="3EC9280E" w:rsidR="00A97575" w:rsidRDefault="7641F0EE" w:rsidP="00A97575">
      <w:pPr>
        <w:pStyle w:val="SCVbullet1"/>
      </w:pPr>
      <w:r w:rsidRPr="6920BDC5">
        <w:t xml:space="preserve">a description of the health service’s response to the event </w:t>
      </w:r>
    </w:p>
    <w:p w14:paraId="46A32FAC" w14:textId="62598FDD" w:rsidR="00C25547" w:rsidRDefault="00A97575" w:rsidP="00A97575">
      <w:pPr>
        <w:pStyle w:val="SCVbullet1"/>
      </w:pPr>
      <w:r>
        <w:t xml:space="preserve">an outline of the </w:t>
      </w:r>
      <w:r w:rsidR="7641F0EE" w:rsidRPr="6920BDC5">
        <w:t>steps</w:t>
      </w:r>
      <w:r w:rsidR="58B6BB3A" w:rsidRPr="6920BDC5">
        <w:t xml:space="preserve"> that</w:t>
      </w:r>
      <w:r w:rsidR="7641F0EE" w:rsidRPr="6920BDC5">
        <w:t xml:space="preserve"> will be taken to prevent recurrence of the SAPSE</w:t>
      </w:r>
      <w:r w:rsidR="008E3298">
        <w:t>.</w:t>
      </w:r>
      <w:r w:rsidR="00257CAF" w:rsidDel="00257CAF">
        <w:t xml:space="preserve"> </w:t>
      </w:r>
    </w:p>
    <w:p w14:paraId="756AA4EE" w14:textId="77777777" w:rsidR="00235E09" w:rsidRPr="003365D0" w:rsidRDefault="00235E09" w:rsidP="00235E09">
      <w:pPr>
        <w:pStyle w:val="Heading3"/>
      </w:pPr>
      <w:r w:rsidRPr="44D04D8F">
        <w:t xml:space="preserve">Case </w:t>
      </w:r>
      <w:r>
        <w:t>s</w:t>
      </w:r>
      <w:r w:rsidRPr="44D04D8F">
        <w:t>tudy</w:t>
      </w:r>
      <w:r>
        <w:t>:</w:t>
      </w:r>
      <w:r w:rsidRPr="008C00B0">
        <w:t xml:space="preserve"> </w:t>
      </w:r>
      <w:r w:rsidRPr="44D04D8F">
        <w:t>St Vincent</w:t>
      </w:r>
      <w:r>
        <w:t>’</w:t>
      </w:r>
      <w:r w:rsidRPr="44D04D8F">
        <w:t xml:space="preserve">s Health </w:t>
      </w:r>
    </w:p>
    <w:p w14:paraId="174644BC" w14:textId="77777777" w:rsidR="00235E09" w:rsidRPr="002A409B" w:rsidRDefault="00235E09" w:rsidP="00235E09">
      <w:pPr>
        <w:spacing w:line="276" w:lineRule="auto"/>
        <w:rPr>
          <w:rFonts w:ascii="Arial" w:eastAsia="Aptos" w:hAnsi="Arial" w:cs="Arial"/>
          <w:sz w:val="24"/>
          <w:szCs w:val="24"/>
          <w:lang w:val="en-GB"/>
        </w:rPr>
      </w:pPr>
      <w:r w:rsidRPr="57EA0190">
        <w:rPr>
          <w:rFonts w:ascii="Arial" w:eastAsia="Aptos" w:hAnsi="Arial" w:cs="Arial"/>
          <w:sz w:val="24"/>
          <w:szCs w:val="24"/>
          <w:lang w:val="en-GB"/>
        </w:rPr>
        <w:t>Following a SAPSE review involving an oncology patient and a serious complication with a peripherally inserted central catheter line, the patient’s son expressed deep gratitude that the process existed and that his concerns were taken seriously. A clinician involved in the case, who was initially sceptical of the process, reported a shift in perspective after witnessing its impact on the family, describing it as profoundly meaningful.</w:t>
      </w:r>
      <w:r>
        <w:t xml:space="preserve"> </w:t>
      </w:r>
      <w:r w:rsidRPr="57EA0190">
        <w:rPr>
          <w:sz w:val="24"/>
          <w:szCs w:val="24"/>
        </w:rPr>
        <w:t>The family</w:t>
      </w:r>
      <w:r w:rsidRPr="57EA0190">
        <w:rPr>
          <w:rFonts w:ascii="Arial" w:eastAsia="Aptos" w:hAnsi="Arial" w:cs="Arial"/>
          <w:sz w:val="24"/>
          <w:szCs w:val="24"/>
          <w:lang w:val="en-GB"/>
        </w:rPr>
        <w:t xml:space="preserve"> reported feeling safe </w:t>
      </w:r>
      <w:r w:rsidRPr="57EA0190">
        <w:rPr>
          <w:rFonts w:ascii="Arial" w:eastAsia="Aptos" w:hAnsi="Arial" w:cs="Arial"/>
          <w:sz w:val="24"/>
          <w:szCs w:val="24"/>
          <w:lang w:val="en-GB"/>
        </w:rPr>
        <w:lastRenderedPageBreak/>
        <w:t>and heard after the service’s chief medical officer made contact. They had been concerned there would be a ‘sweeping under the rug’ but articulated that this clearly wasn’t the case.</w:t>
      </w:r>
      <w:r>
        <w:t xml:space="preserve"> </w:t>
      </w:r>
      <w:r w:rsidRPr="57EA0190">
        <w:rPr>
          <w:rFonts w:ascii="Arial" w:eastAsia="Aptos" w:hAnsi="Arial" w:cs="Arial"/>
          <w:sz w:val="24"/>
          <w:szCs w:val="24"/>
          <w:lang w:val="en-GB"/>
        </w:rPr>
        <w:t>Review facilitators greatly appreciated the opportunity to hear first-hand accounts of the lived experience of the patient and their family and being able to weave the voice of the patient more easily through the report.</w:t>
      </w:r>
    </w:p>
    <w:p w14:paraId="278FFBF4" w14:textId="4A0D3EDC" w:rsidR="0AE93ABD" w:rsidRPr="00357AFB" w:rsidRDefault="48B6ED19" w:rsidP="00A97575">
      <w:pPr>
        <w:pStyle w:val="SCVbodyafterheading"/>
        <w:rPr>
          <w:lang w:val="en-GB"/>
        </w:rPr>
      </w:pPr>
      <w:r w:rsidRPr="57EA0190">
        <w:rPr>
          <w:lang w:val="en-GB"/>
        </w:rPr>
        <w:t>St Vincent</w:t>
      </w:r>
      <w:r w:rsidR="3FA5B6B4" w:rsidRPr="57EA0190">
        <w:rPr>
          <w:lang w:val="en-GB"/>
        </w:rPr>
        <w:t>’</w:t>
      </w:r>
      <w:r w:rsidRPr="57EA0190">
        <w:rPr>
          <w:lang w:val="en-GB"/>
        </w:rPr>
        <w:t xml:space="preserve">s </w:t>
      </w:r>
      <w:r w:rsidR="30F82DCF" w:rsidRPr="57EA0190">
        <w:rPr>
          <w:lang w:val="en-GB"/>
        </w:rPr>
        <w:t>Health</w:t>
      </w:r>
      <w:r w:rsidR="6AA23B5D" w:rsidRPr="57EA0190">
        <w:rPr>
          <w:lang w:val="en-GB"/>
        </w:rPr>
        <w:t xml:space="preserve"> </w:t>
      </w:r>
      <w:r w:rsidRPr="57EA0190">
        <w:rPr>
          <w:lang w:val="en-GB"/>
        </w:rPr>
        <w:t>has worked hard to embed the requirements of SDC into it</w:t>
      </w:r>
      <w:r w:rsidR="4F618089" w:rsidRPr="57EA0190">
        <w:rPr>
          <w:lang w:val="en-GB"/>
        </w:rPr>
        <w:t xml:space="preserve">s </w:t>
      </w:r>
      <w:r w:rsidRPr="57EA0190">
        <w:rPr>
          <w:lang w:val="en-GB"/>
        </w:rPr>
        <w:t>serious harm review processes. This has included improving the quality and clarity of open disclosure provided by the clinical teams</w:t>
      </w:r>
      <w:r w:rsidR="0D5D7C0E" w:rsidRPr="57EA0190">
        <w:rPr>
          <w:lang w:val="en-GB"/>
        </w:rPr>
        <w:t>,</w:t>
      </w:r>
      <w:r w:rsidRPr="57EA0190">
        <w:rPr>
          <w:lang w:val="en-GB"/>
        </w:rPr>
        <w:t xml:space="preserve"> supported by a stronger organisational commitment to review</w:t>
      </w:r>
      <w:r w:rsidR="0F17023B" w:rsidRPr="57EA0190">
        <w:rPr>
          <w:lang w:val="en-GB"/>
        </w:rPr>
        <w:t xml:space="preserve"> </w:t>
      </w:r>
      <w:r w:rsidRPr="57EA0190">
        <w:rPr>
          <w:lang w:val="en-GB"/>
        </w:rPr>
        <w:t>SAPSEs.</w:t>
      </w:r>
    </w:p>
    <w:p w14:paraId="21B11A8F" w14:textId="7DE2F931" w:rsidR="00E463D6" w:rsidRDefault="48B6ED19" w:rsidP="003D76A5">
      <w:pPr>
        <w:pStyle w:val="SCVbody"/>
        <w:rPr>
          <w:lang w:val="en-GB"/>
        </w:rPr>
      </w:pPr>
      <w:r w:rsidRPr="57EA0190">
        <w:rPr>
          <w:lang w:val="en-GB"/>
        </w:rPr>
        <w:t xml:space="preserve">In 2025 </w:t>
      </w:r>
      <w:r w:rsidR="1F8B8331" w:rsidRPr="57EA0190">
        <w:rPr>
          <w:lang w:val="en-GB"/>
        </w:rPr>
        <w:t xml:space="preserve">St Vincent’s Health </w:t>
      </w:r>
      <w:r w:rsidRPr="57EA0190">
        <w:rPr>
          <w:lang w:val="en-GB"/>
        </w:rPr>
        <w:t>experienced a series of sentinel event reviews that had resulted in significant family and carer dissatisfaction. The reasons for the dissatisfaction with the review process</w:t>
      </w:r>
      <w:r w:rsidR="093A4E67" w:rsidRPr="57EA0190">
        <w:rPr>
          <w:lang w:val="en-GB"/>
        </w:rPr>
        <w:t xml:space="preserve"> </w:t>
      </w:r>
      <w:r w:rsidR="29DA5CAD" w:rsidRPr="57EA0190">
        <w:rPr>
          <w:lang w:val="en-GB"/>
        </w:rPr>
        <w:t>i</w:t>
      </w:r>
      <w:r w:rsidR="093A4E67" w:rsidRPr="57EA0190">
        <w:rPr>
          <w:lang w:val="en-GB"/>
        </w:rPr>
        <w:t>ncluded</w:t>
      </w:r>
      <w:r w:rsidR="29DA5CAD" w:rsidRPr="57EA0190">
        <w:rPr>
          <w:lang w:val="en-GB"/>
        </w:rPr>
        <w:t>:</w:t>
      </w:r>
    </w:p>
    <w:p w14:paraId="6AE82251" w14:textId="2B320B65" w:rsidR="00E463D6" w:rsidRDefault="0AE93ABD" w:rsidP="0057201C">
      <w:pPr>
        <w:pStyle w:val="SCVbullet1"/>
        <w:rPr>
          <w:lang w:val="en-GB"/>
        </w:rPr>
      </w:pPr>
      <w:r w:rsidRPr="00E712E6">
        <w:rPr>
          <w:lang w:val="en-GB"/>
        </w:rPr>
        <w:t>delays in formalis</w:t>
      </w:r>
      <w:r w:rsidR="00934927">
        <w:rPr>
          <w:lang w:val="en-GB"/>
        </w:rPr>
        <w:t>ing</w:t>
      </w:r>
      <w:r w:rsidRPr="00E712E6">
        <w:rPr>
          <w:lang w:val="en-GB"/>
        </w:rPr>
        <w:t xml:space="preserve"> the SDC processes </w:t>
      </w:r>
    </w:p>
    <w:p w14:paraId="0B1BF4CE" w14:textId="2C0F2E3C" w:rsidR="00E463D6" w:rsidRDefault="00934927" w:rsidP="0057201C">
      <w:pPr>
        <w:pStyle w:val="SCVbullet1"/>
        <w:rPr>
          <w:lang w:val="en-GB"/>
        </w:rPr>
      </w:pPr>
      <w:r>
        <w:rPr>
          <w:lang w:val="en-GB"/>
        </w:rPr>
        <w:t>providing</w:t>
      </w:r>
      <w:r w:rsidR="0AE93ABD" w:rsidRPr="00E712E6">
        <w:rPr>
          <w:lang w:val="en-GB"/>
        </w:rPr>
        <w:t xml:space="preserve"> conflicting information to carers and family about the review process </w:t>
      </w:r>
    </w:p>
    <w:p w14:paraId="7E1A85A8" w14:textId="4D87B552" w:rsidR="00E463D6" w:rsidRDefault="0AE93ABD" w:rsidP="0057201C">
      <w:pPr>
        <w:pStyle w:val="SCVbullet1"/>
        <w:rPr>
          <w:lang w:val="en-GB"/>
        </w:rPr>
      </w:pPr>
      <w:r w:rsidRPr="00E712E6">
        <w:rPr>
          <w:lang w:val="en-GB"/>
        </w:rPr>
        <w:t xml:space="preserve">delays in </w:t>
      </w:r>
      <w:r w:rsidR="00934927">
        <w:rPr>
          <w:lang w:val="en-GB"/>
        </w:rPr>
        <w:t>consumer</w:t>
      </w:r>
      <w:r w:rsidR="00B5681E">
        <w:rPr>
          <w:lang w:val="en-GB"/>
        </w:rPr>
        <w:t>s</w:t>
      </w:r>
      <w:r w:rsidR="00934927">
        <w:rPr>
          <w:lang w:val="en-GB"/>
        </w:rPr>
        <w:t xml:space="preserve"> receiving</w:t>
      </w:r>
      <w:r w:rsidRPr="00E712E6">
        <w:rPr>
          <w:lang w:val="en-GB"/>
        </w:rPr>
        <w:t xml:space="preserve"> final report</w:t>
      </w:r>
      <w:r w:rsidR="00B5681E">
        <w:rPr>
          <w:lang w:val="en-GB"/>
        </w:rPr>
        <w:t>s</w:t>
      </w:r>
    </w:p>
    <w:p w14:paraId="709D444E" w14:textId="6A43E959" w:rsidR="00C25547" w:rsidRPr="00E712E6" w:rsidRDefault="0AE93ABD" w:rsidP="0057201C">
      <w:pPr>
        <w:pStyle w:val="SCVbullet1"/>
        <w:rPr>
          <w:lang w:val="en-GB"/>
        </w:rPr>
      </w:pPr>
      <w:r w:rsidRPr="00E712E6">
        <w:rPr>
          <w:lang w:val="en-GB"/>
        </w:rPr>
        <w:t xml:space="preserve">frustration with the content and readability of the reports. </w:t>
      </w:r>
    </w:p>
    <w:p w14:paraId="7DB1D93B" w14:textId="3EDAADB4" w:rsidR="00487604" w:rsidRPr="00E712E6" w:rsidRDefault="641B47F2" w:rsidP="00FC4755">
      <w:pPr>
        <w:pStyle w:val="Heading3"/>
        <w:rPr>
          <w:lang w:val="en-GB"/>
        </w:rPr>
      </w:pPr>
      <w:r w:rsidRPr="57EA0190">
        <w:rPr>
          <w:lang w:val="en-GB"/>
        </w:rPr>
        <w:t>Review</w:t>
      </w:r>
      <w:r w:rsidR="0D5D7C0E" w:rsidRPr="57EA0190">
        <w:rPr>
          <w:lang w:val="en-GB"/>
        </w:rPr>
        <w:t xml:space="preserve">s </w:t>
      </w:r>
      <w:r w:rsidRPr="57EA0190">
        <w:rPr>
          <w:lang w:val="en-GB"/>
        </w:rPr>
        <w:t>informed by consumers, carers and families</w:t>
      </w:r>
    </w:p>
    <w:p w14:paraId="5871E1D6" w14:textId="4EC9D5CB" w:rsidR="0AE93ABD" w:rsidRPr="00D272D2" w:rsidRDefault="48B6ED19" w:rsidP="003D76A5">
      <w:pPr>
        <w:pStyle w:val="SCVbody"/>
        <w:rPr>
          <w:lang w:val="en-GB"/>
        </w:rPr>
      </w:pPr>
      <w:r w:rsidRPr="57EA0190">
        <w:rPr>
          <w:lang w:val="en-GB"/>
        </w:rPr>
        <w:t>There were gaps in the way and the frequency</w:t>
      </w:r>
      <w:r w:rsidR="46A9B05F" w:rsidRPr="57EA0190">
        <w:rPr>
          <w:lang w:val="en-GB"/>
        </w:rPr>
        <w:t xml:space="preserve"> in which</w:t>
      </w:r>
      <w:r w:rsidRPr="57EA0190">
        <w:rPr>
          <w:lang w:val="en-GB"/>
        </w:rPr>
        <w:t xml:space="preserve"> </w:t>
      </w:r>
      <w:r w:rsidR="0D5D7C0E" w:rsidRPr="57EA0190">
        <w:rPr>
          <w:lang w:val="en-GB"/>
        </w:rPr>
        <w:t>St Vincent’s</w:t>
      </w:r>
      <w:r w:rsidR="239D437C" w:rsidRPr="57EA0190">
        <w:rPr>
          <w:lang w:val="en-GB"/>
        </w:rPr>
        <w:t xml:space="preserve"> </w:t>
      </w:r>
      <w:r w:rsidRPr="57EA0190">
        <w:rPr>
          <w:lang w:val="en-GB"/>
        </w:rPr>
        <w:t xml:space="preserve">communicated with patients and families while the review was underway. This included how </w:t>
      </w:r>
      <w:r w:rsidR="4A8E7292" w:rsidRPr="57EA0190">
        <w:rPr>
          <w:lang w:val="en-GB"/>
        </w:rPr>
        <w:t>the health service</w:t>
      </w:r>
      <w:r w:rsidRPr="57EA0190">
        <w:rPr>
          <w:lang w:val="en-GB"/>
        </w:rPr>
        <w:t xml:space="preserve"> support</w:t>
      </w:r>
      <w:r w:rsidR="4A8E7292" w:rsidRPr="57EA0190">
        <w:rPr>
          <w:lang w:val="en-GB"/>
        </w:rPr>
        <w:t>ed</w:t>
      </w:r>
      <w:r w:rsidRPr="57EA0190">
        <w:rPr>
          <w:lang w:val="en-GB"/>
        </w:rPr>
        <w:t xml:space="preserve"> impacted patients and families through this stressful time.</w:t>
      </w:r>
    </w:p>
    <w:p w14:paraId="36D121BC" w14:textId="43C95516" w:rsidR="0AE93ABD" w:rsidRPr="00D272D2" w:rsidRDefault="48B6ED19" w:rsidP="003D76A5">
      <w:pPr>
        <w:pStyle w:val="SCVbody"/>
        <w:rPr>
          <w:lang w:val="en-GB"/>
        </w:rPr>
      </w:pPr>
      <w:r w:rsidRPr="57EA0190">
        <w:rPr>
          <w:lang w:val="en-GB"/>
        </w:rPr>
        <w:t xml:space="preserve">In response to the consumer feedback, </w:t>
      </w:r>
      <w:r w:rsidR="46A9B05F" w:rsidRPr="57EA0190">
        <w:rPr>
          <w:lang w:val="en-GB"/>
        </w:rPr>
        <w:t xml:space="preserve">St Vincent’s </w:t>
      </w:r>
      <w:r w:rsidRPr="57EA0190">
        <w:rPr>
          <w:lang w:val="en-GB"/>
        </w:rPr>
        <w:t xml:space="preserve">commissioned an analysis and review of </w:t>
      </w:r>
      <w:r w:rsidR="46A9B05F" w:rsidRPr="57EA0190">
        <w:rPr>
          <w:lang w:val="en-GB"/>
        </w:rPr>
        <w:t xml:space="preserve">its </w:t>
      </w:r>
      <w:r w:rsidRPr="57EA0190">
        <w:rPr>
          <w:lang w:val="en-GB"/>
        </w:rPr>
        <w:t xml:space="preserve">SDC process against best practice based on the intent of the SDC legislation. The </w:t>
      </w:r>
      <w:r w:rsidR="46A9B05F" w:rsidRPr="57EA0190">
        <w:rPr>
          <w:lang w:val="en-GB"/>
        </w:rPr>
        <w:t xml:space="preserve">review </w:t>
      </w:r>
      <w:r w:rsidRPr="57EA0190">
        <w:rPr>
          <w:lang w:val="en-GB"/>
        </w:rPr>
        <w:t>aim</w:t>
      </w:r>
      <w:r w:rsidR="46A9B05F" w:rsidRPr="57EA0190">
        <w:rPr>
          <w:lang w:val="en-GB"/>
        </w:rPr>
        <w:t xml:space="preserve">ed to make </w:t>
      </w:r>
      <w:r w:rsidRPr="57EA0190">
        <w:rPr>
          <w:lang w:val="en-GB"/>
        </w:rPr>
        <w:t>process changes focused on encoura</w:t>
      </w:r>
      <w:r w:rsidR="4BDE32F4" w:rsidRPr="57EA0190">
        <w:rPr>
          <w:lang w:val="en-GB"/>
        </w:rPr>
        <w:t>ging a just</w:t>
      </w:r>
      <w:r w:rsidRPr="57EA0190">
        <w:rPr>
          <w:lang w:val="en-GB"/>
        </w:rPr>
        <w:t xml:space="preserve"> culture</w:t>
      </w:r>
      <w:r w:rsidRPr="57EA0190">
        <w:rPr>
          <w:i/>
          <w:iCs/>
          <w:lang w:val="en-GB"/>
        </w:rPr>
        <w:t xml:space="preserve"> </w:t>
      </w:r>
      <w:r w:rsidRPr="57EA0190">
        <w:rPr>
          <w:lang w:val="en-GB"/>
        </w:rPr>
        <w:t>and open and honest conversations about opportunities for improvement when things go wrong. It was anticipated that this would then translate into a more consumer</w:t>
      </w:r>
      <w:r w:rsidR="1CFADC58" w:rsidRPr="57EA0190">
        <w:rPr>
          <w:lang w:val="en-GB"/>
        </w:rPr>
        <w:t>, carer and family</w:t>
      </w:r>
      <w:r w:rsidR="46A9B05F" w:rsidRPr="57EA0190">
        <w:rPr>
          <w:lang w:val="en-GB"/>
        </w:rPr>
        <w:t>-</w:t>
      </w:r>
      <w:r w:rsidRPr="57EA0190">
        <w:rPr>
          <w:lang w:val="en-GB"/>
        </w:rPr>
        <w:t xml:space="preserve">focused experience of the SDC process. </w:t>
      </w:r>
    </w:p>
    <w:p w14:paraId="28478D49" w14:textId="1DD2161E" w:rsidR="0AE93ABD" w:rsidRPr="00D272D2" w:rsidRDefault="48B6ED19" w:rsidP="57EA0190">
      <w:pPr>
        <w:pStyle w:val="SCVbody"/>
        <w:rPr>
          <w:i/>
          <w:iCs/>
          <w:lang w:val="en-GB"/>
        </w:rPr>
      </w:pPr>
      <w:r w:rsidRPr="57EA0190">
        <w:rPr>
          <w:lang w:val="en-GB"/>
        </w:rPr>
        <w:t>The review, along with feedback from patients, families and staff</w:t>
      </w:r>
      <w:r w:rsidR="46A9B05F" w:rsidRPr="57EA0190">
        <w:rPr>
          <w:lang w:val="en-GB"/>
        </w:rPr>
        <w:t>,</w:t>
      </w:r>
      <w:r w:rsidRPr="57EA0190">
        <w:rPr>
          <w:lang w:val="en-GB"/>
        </w:rPr>
        <w:t xml:space="preserve"> identified a series of potential improvement opportunities with a focus on earlier identification, clearer communication and </w:t>
      </w:r>
      <w:r w:rsidRPr="57EA0190">
        <w:rPr>
          <w:i/>
          <w:iCs/>
          <w:lang w:val="en-GB"/>
        </w:rPr>
        <w:t xml:space="preserve">ensuring the </w:t>
      </w:r>
      <w:r w:rsidR="1CFADC58" w:rsidRPr="57EA0190">
        <w:rPr>
          <w:i/>
          <w:iCs/>
          <w:lang w:val="en-GB"/>
        </w:rPr>
        <w:t xml:space="preserve">consumer, carer and </w:t>
      </w:r>
      <w:r w:rsidRPr="57EA0190">
        <w:rPr>
          <w:i/>
          <w:iCs/>
          <w:lang w:val="en-GB"/>
        </w:rPr>
        <w:t>family voice is reflected throughout the process.</w:t>
      </w:r>
    </w:p>
    <w:p w14:paraId="3DA970E7" w14:textId="1FA750AC" w:rsidR="0AE93ABD" w:rsidRPr="005C5AF5" w:rsidRDefault="0AE93ABD" w:rsidP="00A3519B">
      <w:pPr>
        <w:pStyle w:val="Heading3"/>
        <w:rPr>
          <w:lang w:val="en-GB"/>
        </w:rPr>
      </w:pPr>
      <w:r w:rsidRPr="5EAC5C8C">
        <w:rPr>
          <w:lang w:val="en-GB"/>
        </w:rPr>
        <w:t>Key improvements</w:t>
      </w:r>
      <w:r w:rsidR="004C18E0" w:rsidRPr="5EAC5C8C">
        <w:rPr>
          <w:lang w:val="en-GB"/>
        </w:rPr>
        <w:t xml:space="preserve"> i</w:t>
      </w:r>
      <w:r w:rsidR="008868F6" w:rsidRPr="5EAC5C8C">
        <w:rPr>
          <w:lang w:val="en-GB"/>
        </w:rPr>
        <w:t>mplemented by St Vincent</w:t>
      </w:r>
      <w:r w:rsidR="00E77A81" w:rsidRPr="5EAC5C8C">
        <w:rPr>
          <w:lang w:val="en-GB"/>
        </w:rPr>
        <w:t>’</w:t>
      </w:r>
      <w:r w:rsidR="008868F6" w:rsidRPr="5EAC5C8C">
        <w:rPr>
          <w:lang w:val="en-GB"/>
        </w:rPr>
        <w:t>s</w:t>
      </w:r>
      <w:r w:rsidR="00F504B0" w:rsidRPr="5EAC5C8C">
        <w:rPr>
          <w:lang w:val="en-GB"/>
        </w:rPr>
        <w:t xml:space="preserve"> Health</w:t>
      </w:r>
    </w:p>
    <w:p w14:paraId="66A3ADE1" w14:textId="24141CDB" w:rsidR="00693984" w:rsidRPr="006F1353" w:rsidRDefault="21DCCDD7" w:rsidP="003D76A5">
      <w:pPr>
        <w:pStyle w:val="SCVbodyafterheading"/>
        <w:rPr>
          <w:b/>
          <w:bCs/>
          <w:lang w:val="en-GB"/>
        </w:rPr>
      </w:pPr>
      <w:r w:rsidRPr="006F1353">
        <w:rPr>
          <w:b/>
          <w:bCs/>
          <w:lang w:val="en-GB"/>
        </w:rPr>
        <w:t xml:space="preserve">Less </w:t>
      </w:r>
      <w:r w:rsidR="4745A284" w:rsidRPr="006F1353">
        <w:rPr>
          <w:b/>
          <w:bCs/>
          <w:lang w:val="en-GB"/>
        </w:rPr>
        <w:t xml:space="preserve">time </w:t>
      </w:r>
      <w:r w:rsidR="2F64A6D0" w:rsidRPr="006F1353">
        <w:rPr>
          <w:b/>
          <w:bCs/>
          <w:lang w:val="en-GB"/>
        </w:rPr>
        <w:t>to validate incident</w:t>
      </w:r>
      <w:r w:rsidRPr="006F1353">
        <w:rPr>
          <w:b/>
          <w:bCs/>
          <w:lang w:val="en-GB"/>
        </w:rPr>
        <w:t>s</w:t>
      </w:r>
    </w:p>
    <w:p w14:paraId="693C0A64" w14:textId="6301102D" w:rsidR="6920BDC5" w:rsidRPr="00913C8A" w:rsidRDefault="48B6ED19" w:rsidP="003D76A5">
      <w:pPr>
        <w:pStyle w:val="SCVbullet1"/>
        <w:rPr>
          <w:lang w:val="en-GB"/>
        </w:rPr>
      </w:pPr>
      <w:r w:rsidRPr="57EA0190">
        <w:rPr>
          <w:lang w:val="en-GB"/>
        </w:rPr>
        <w:lastRenderedPageBreak/>
        <w:t>Review</w:t>
      </w:r>
      <w:r w:rsidR="21DCCDD7" w:rsidRPr="57EA0190">
        <w:rPr>
          <w:lang w:val="en-GB"/>
        </w:rPr>
        <w:t>ed</w:t>
      </w:r>
      <w:r w:rsidRPr="57EA0190">
        <w:rPr>
          <w:lang w:val="en-GB"/>
        </w:rPr>
        <w:t xml:space="preserve"> the incident validation process </w:t>
      </w:r>
      <w:r w:rsidR="21DCCDD7" w:rsidRPr="57EA0190">
        <w:rPr>
          <w:lang w:val="en-GB"/>
        </w:rPr>
        <w:t>to</w:t>
      </w:r>
      <w:r w:rsidRPr="57EA0190">
        <w:rPr>
          <w:lang w:val="en-GB"/>
        </w:rPr>
        <w:t xml:space="preserve"> reduc</w:t>
      </w:r>
      <w:r w:rsidR="21DCCDD7" w:rsidRPr="57EA0190">
        <w:rPr>
          <w:lang w:val="en-GB"/>
        </w:rPr>
        <w:t>e</w:t>
      </w:r>
      <w:r w:rsidRPr="57EA0190">
        <w:rPr>
          <w:lang w:val="en-GB"/>
        </w:rPr>
        <w:t xml:space="preserve"> the time taken to validate an incident </w:t>
      </w:r>
      <w:r w:rsidR="2C5E4ACF" w:rsidRPr="57EA0190">
        <w:rPr>
          <w:lang w:val="en-GB"/>
        </w:rPr>
        <w:t>to</w:t>
      </w:r>
      <w:r w:rsidRPr="57EA0190">
        <w:rPr>
          <w:lang w:val="en-GB"/>
        </w:rPr>
        <w:t xml:space="preserve"> </w:t>
      </w:r>
      <w:r w:rsidR="21DCCDD7" w:rsidRPr="57EA0190">
        <w:rPr>
          <w:lang w:val="en-GB"/>
        </w:rPr>
        <w:t xml:space="preserve">ease </w:t>
      </w:r>
      <w:r w:rsidRPr="57EA0190">
        <w:rPr>
          <w:lang w:val="en-GB"/>
        </w:rPr>
        <w:t xml:space="preserve">stress </w:t>
      </w:r>
      <w:r w:rsidR="21DCCDD7" w:rsidRPr="57EA0190">
        <w:rPr>
          <w:lang w:val="en-GB"/>
        </w:rPr>
        <w:t>in</w:t>
      </w:r>
      <w:r w:rsidRPr="57EA0190">
        <w:rPr>
          <w:lang w:val="en-GB"/>
        </w:rPr>
        <w:t xml:space="preserve"> patients and families.</w:t>
      </w:r>
    </w:p>
    <w:p w14:paraId="0F0A356F" w14:textId="253824CC" w:rsidR="00795119" w:rsidRPr="006F1353" w:rsidRDefault="00795119" w:rsidP="003D76A5">
      <w:pPr>
        <w:pStyle w:val="SCVbodyafterheading"/>
        <w:rPr>
          <w:rFonts w:ascii="Arial" w:eastAsia="Aptos" w:hAnsi="Arial" w:cs="Arial"/>
          <w:b/>
          <w:bCs/>
          <w:szCs w:val="24"/>
          <w:lang w:val="en-GB"/>
        </w:rPr>
      </w:pPr>
      <w:r w:rsidRPr="006F1353">
        <w:rPr>
          <w:b/>
          <w:bCs/>
          <w:lang w:val="en-GB"/>
        </w:rPr>
        <w:t>Early</w:t>
      </w:r>
      <w:r w:rsidRPr="006F1353">
        <w:rPr>
          <w:rFonts w:ascii="Arial" w:eastAsia="Aptos" w:hAnsi="Arial" w:cs="Arial"/>
          <w:b/>
          <w:bCs/>
          <w:szCs w:val="24"/>
          <w:lang w:val="en-GB"/>
        </w:rPr>
        <w:t xml:space="preserve"> identification</w:t>
      </w:r>
      <w:r w:rsidR="00E95ACB" w:rsidRPr="006F1353">
        <w:rPr>
          <w:rFonts w:ascii="Arial" w:eastAsia="Aptos" w:hAnsi="Arial" w:cs="Arial"/>
          <w:b/>
          <w:bCs/>
          <w:szCs w:val="24"/>
          <w:lang w:val="en-GB"/>
        </w:rPr>
        <w:t xml:space="preserve"> of SAPSE</w:t>
      </w:r>
      <w:r w:rsidR="00B54B62" w:rsidRPr="006F1353">
        <w:rPr>
          <w:rFonts w:ascii="Arial" w:eastAsia="Aptos" w:hAnsi="Arial" w:cs="Arial"/>
          <w:b/>
          <w:bCs/>
          <w:szCs w:val="24"/>
          <w:lang w:val="en-GB"/>
        </w:rPr>
        <w:t>s</w:t>
      </w:r>
      <w:r w:rsidRPr="006F1353">
        <w:rPr>
          <w:rFonts w:ascii="Arial" w:eastAsia="Aptos" w:hAnsi="Arial" w:cs="Arial"/>
          <w:b/>
          <w:bCs/>
          <w:szCs w:val="24"/>
          <w:lang w:val="en-GB"/>
        </w:rPr>
        <w:t xml:space="preserve"> and proactive </w:t>
      </w:r>
      <w:r w:rsidR="000A78E9" w:rsidRPr="006F1353">
        <w:rPr>
          <w:rFonts w:ascii="Arial" w:eastAsia="Aptos" w:hAnsi="Arial" w:cs="Arial"/>
          <w:b/>
          <w:bCs/>
          <w:szCs w:val="24"/>
          <w:lang w:val="en-GB"/>
        </w:rPr>
        <w:t xml:space="preserve">implementation </w:t>
      </w:r>
    </w:p>
    <w:p w14:paraId="27EEE8C0" w14:textId="3AD68050" w:rsidR="0AE93ABD" w:rsidRDefault="48B6ED19" w:rsidP="003D76A5">
      <w:pPr>
        <w:pStyle w:val="SCVbullet1"/>
        <w:rPr>
          <w:lang w:val="en-GB"/>
        </w:rPr>
      </w:pPr>
      <w:r w:rsidRPr="57EA0190">
        <w:rPr>
          <w:lang w:val="en-GB"/>
        </w:rPr>
        <w:t xml:space="preserve">Daily incident reviews, held as part of the Quality and Patient Safety team morning huddle, allowing SAPSEs to be identified earlier and the review process to begin </w:t>
      </w:r>
      <w:r w:rsidR="21DCCDD7" w:rsidRPr="57EA0190">
        <w:rPr>
          <w:lang w:val="en-GB"/>
        </w:rPr>
        <w:t>sooner</w:t>
      </w:r>
      <w:r w:rsidRPr="57EA0190">
        <w:rPr>
          <w:lang w:val="en-GB"/>
        </w:rPr>
        <w:t>.</w:t>
      </w:r>
    </w:p>
    <w:p w14:paraId="7D1D179C" w14:textId="5C2E5518" w:rsidR="000A78E9" w:rsidRPr="006F1353" w:rsidRDefault="00B10F85" w:rsidP="003D76A5">
      <w:pPr>
        <w:pStyle w:val="SCVbodyafterheading"/>
        <w:rPr>
          <w:rFonts w:ascii="Arial" w:eastAsia="Aptos" w:hAnsi="Arial" w:cs="Arial"/>
          <w:b/>
          <w:bCs/>
          <w:szCs w:val="24"/>
          <w:lang w:val="en-GB"/>
        </w:rPr>
      </w:pPr>
      <w:r w:rsidRPr="006F1353">
        <w:rPr>
          <w:b/>
          <w:bCs/>
          <w:lang w:val="en-GB"/>
        </w:rPr>
        <w:t>Review</w:t>
      </w:r>
      <w:r w:rsidRPr="006F1353">
        <w:rPr>
          <w:rFonts w:ascii="Arial" w:eastAsia="Aptos" w:hAnsi="Arial" w:cs="Arial"/>
          <w:b/>
          <w:szCs w:val="24"/>
          <w:lang w:val="en-GB"/>
        </w:rPr>
        <w:t xml:space="preserve"> facilitator is </w:t>
      </w:r>
      <w:r w:rsidR="00C1142A" w:rsidRPr="006F1353">
        <w:rPr>
          <w:rFonts w:ascii="Arial" w:eastAsia="Aptos" w:hAnsi="Arial" w:cs="Arial"/>
          <w:b/>
          <w:bCs/>
          <w:szCs w:val="24"/>
          <w:lang w:val="en-GB"/>
        </w:rPr>
        <w:t>accessible</w:t>
      </w:r>
      <w:r w:rsidR="00C1142A" w:rsidRPr="006F1353">
        <w:rPr>
          <w:rFonts w:ascii="Arial" w:eastAsia="Aptos" w:hAnsi="Arial" w:cs="Arial"/>
          <w:b/>
          <w:szCs w:val="24"/>
          <w:lang w:val="en-GB"/>
        </w:rPr>
        <w:t xml:space="preserve"> early in the process</w:t>
      </w:r>
    </w:p>
    <w:p w14:paraId="67957AB5" w14:textId="70CE8CCE" w:rsidR="0AE93ABD" w:rsidRPr="00E712E6" w:rsidRDefault="48B6ED19" w:rsidP="003D76A5">
      <w:pPr>
        <w:pStyle w:val="SCVbullet1"/>
        <w:rPr>
          <w:lang w:val="en-GB"/>
        </w:rPr>
      </w:pPr>
      <w:r w:rsidRPr="57EA0190">
        <w:rPr>
          <w:lang w:val="en-GB"/>
        </w:rPr>
        <w:t xml:space="preserve">The SAPSE review facilitator now attends the initial </w:t>
      </w:r>
      <w:r w:rsidR="5323996A" w:rsidRPr="57EA0190">
        <w:rPr>
          <w:lang w:val="en-GB"/>
        </w:rPr>
        <w:t>SDC</w:t>
      </w:r>
      <w:r w:rsidRPr="57EA0190">
        <w:rPr>
          <w:lang w:val="en-GB"/>
        </w:rPr>
        <w:t xml:space="preserve"> meeting to hear the patient or family story first</w:t>
      </w:r>
      <w:r w:rsidR="0AE93ABD">
        <w:noBreakHyphen/>
      </w:r>
      <w:r w:rsidRPr="57EA0190">
        <w:rPr>
          <w:lang w:val="en-GB"/>
        </w:rPr>
        <w:t xml:space="preserve">hand </w:t>
      </w:r>
      <w:r w:rsidR="46A9B05F" w:rsidRPr="57EA0190">
        <w:rPr>
          <w:lang w:val="en-GB"/>
        </w:rPr>
        <w:t xml:space="preserve">to </w:t>
      </w:r>
      <w:r w:rsidRPr="57EA0190">
        <w:rPr>
          <w:lang w:val="en-GB"/>
        </w:rPr>
        <w:t>ensure it directly informs the review.</w:t>
      </w:r>
    </w:p>
    <w:p w14:paraId="3DE1EC37" w14:textId="258278DD" w:rsidR="0AE93ABD" w:rsidRDefault="0AE93ABD" w:rsidP="003D76A5">
      <w:pPr>
        <w:pStyle w:val="SCVbullet1"/>
        <w:rPr>
          <w:lang w:val="en-GB"/>
        </w:rPr>
      </w:pPr>
      <w:r w:rsidRPr="716FCA60">
        <w:rPr>
          <w:lang w:val="en-GB"/>
        </w:rPr>
        <w:t xml:space="preserve">Patients and families are asked for consent </w:t>
      </w:r>
      <w:r w:rsidR="001A1FF8">
        <w:rPr>
          <w:lang w:val="en-GB"/>
        </w:rPr>
        <w:t>for</w:t>
      </w:r>
      <w:r w:rsidRPr="716FCA60">
        <w:rPr>
          <w:lang w:val="en-GB"/>
        </w:rPr>
        <w:t xml:space="preserve"> the review facilitator </w:t>
      </w:r>
      <w:r w:rsidR="00156DD7">
        <w:rPr>
          <w:lang w:val="en-GB"/>
        </w:rPr>
        <w:t xml:space="preserve">to </w:t>
      </w:r>
      <w:r w:rsidR="001A1FF8">
        <w:rPr>
          <w:lang w:val="en-GB"/>
        </w:rPr>
        <w:t xml:space="preserve">make contact </w:t>
      </w:r>
      <w:r w:rsidRPr="716FCA60">
        <w:rPr>
          <w:lang w:val="en-GB"/>
        </w:rPr>
        <w:t xml:space="preserve">and are encouraged to </w:t>
      </w:r>
      <w:r w:rsidR="6EAF0076" w:rsidRPr="716FCA60">
        <w:rPr>
          <w:lang w:val="en-GB"/>
        </w:rPr>
        <w:t>provide</w:t>
      </w:r>
      <w:r w:rsidRPr="716FCA60">
        <w:rPr>
          <w:lang w:val="en-GB"/>
        </w:rPr>
        <w:t xml:space="preserve"> feedback at any stage.</w:t>
      </w:r>
    </w:p>
    <w:p w14:paraId="1221BC11" w14:textId="52C1E16F" w:rsidR="00394F43" w:rsidRPr="006F1353" w:rsidRDefault="00394F43" w:rsidP="003D76A5">
      <w:pPr>
        <w:pStyle w:val="SCVbodyafterheading"/>
        <w:rPr>
          <w:rFonts w:ascii="Arial" w:eastAsia="Aptos" w:hAnsi="Arial" w:cs="Arial"/>
          <w:b/>
          <w:bCs/>
          <w:szCs w:val="24"/>
          <w:lang w:val="en-GB"/>
        </w:rPr>
      </w:pPr>
      <w:r w:rsidRPr="006F1353">
        <w:rPr>
          <w:b/>
          <w:bCs/>
          <w:lang w:val="en-GB"/>
        </w:rPr>
        <w:t>Support</w:t>
      </w:r>
      <w:r w:rsidR="00D9509E" w:rsidRPr="006F1353">
        <w:rPr>
          <w:b/>
          <w:bCs/>
          <w:lang w:val="en-GB"/>
        </w:rPr>
        <w:t>ed</w:t>
      </w:r>
      <w:r w:rsidR="00D9509E" w:rsidRPr="006F1353">
        <w:rPr>
          <w:rFonts w:ascii="Arial" w:eastAsia="Aptos" w:hAnsi="Arial" w:cs="Arial"/>
          <w:b/>
          <w:szCs w:val="24"/>
          <w:lang w:val="en-GB"/>
        </w:rPr>
        <w:t>, safe environmen</w:t>
      </w:r>
      <w:r w:rsidR="00AC49FD" w:rsidRPr="006F1353">
        <w:rPr>
          <w:rFonts w:ascii="Arial" w:eastAsia="Aptos" w:hAnsi="Arial" w:cs="Arial"/>
          <w:b/>
          <w:bCs/>
          <w:szCs w:val="24"/>
          <w:lang w:val="en-GB"/>
        </w:rPr>
        <w:t>t</w:t>
      </w:r>
      <w:r w:rsidR="00D9509E" w:rsidRPr="006F1353">
        <w:rPr>
          <w:rFonts w:ascii="Arial" w:eastAsia="Aptos" w:hAnsi="Arial" w:cs="Arial"/>
          <w:b/>
          <w:szCs w:val="24"/>
          <w:lang w:val="en-GB"/>
        </w:rPr>
        <w:t xml:space="preserve"> for consumers </w:t>
      </w:r>
      <w:r w:rsidR="00F618BB" w:rsidRPr="006F1353">
        <w:rPr>
          <w:rFonts w:ascii="Arial" w:eastAsia="Aptos" w:hAnsi="Arial" w:cs="Arial"/>
          <w:b/>
          <w:bCs/>
          <w:szCs w:val="24"/>
          <w:lang w:val="en-GB"/>
        </w:rPr>
        <w:t>to participate</w:t>
      </w:r>
    </w:p>
    <w:p w14:paraId="49282767" w14:textId="1814E2B5" w:rsidR="00D9509E" w:rsidRDefault="0AE93ABD" w:rsidP="003D76A5">
      <w:pPr>
        <w:pStyle w:val="SCVbullet1"/>
        <w:rPr>
          <w:lang w:val="en-GB"/>
        </w:rPr>
      </w:pPr>
      <w:r w:rsidRPr="00F01327">
        <w:rPr>
          <w:lang w:val="en-GB"/>
        </w:rPr>
        <w:t xml:space="preserve">When patients are reluctant to meet, </w:t>
      </w:r>
      <w:r w:rsidR="00F32844">
        <w:rPr>
          <w:lang w:val="en-GB"/>
        </w:rPr>
        <w:t>St Vincent’s</w:t>
      </w:r>
      <w:r w:rsidR="00F32844" w:rsidRPr="00F01327">
        <w:rPr>
          <w:lang w:val="en-GB"/>
        </w:rPr>
        <w:t xml:space="preserve"> </w:t>
      </w:r>
      <w:r w:rsidRPr="00F01327">
        <w:rPr>
          <w:lang w:val="en-GB"/>
        </w:rPr>
        <w:t>make</w:t>
      </w:r>
      <w:r w:rsidR="00F32844">
        <w:rPr>
          <w:lang w:val="en-GB"/>
        </w:rPr>
        <w:t>s</w:t>
      </w:r>
      <w:r w:rsidRPr="00F01327">
        <w:rPr>
          <w:lang w:val="en-GB"/>
        </w:rPr>
        <w:t xml:space="preserve"> </w:t>
      </w:r>
      <w:r w:rsidR="00F32844">
        <w:rPr>
          <w:lang w:val="en-GB"/>
        </w:rPr>
        <w:t>extra</w:t>
      </w:r>
      <w:r w:rsidR="00F32844" w:rsidRPr="00F01327">
        <w:rPr>
          <w:lang w:val="en-GB"/>
        </w:rPr>
        <w:t xml:space="preserve"> </w:t>
      </w:r>
      <w:r w:rsidRPr="00F01327">
        <w:rPr>
          <w:lang w:val="en-GB"/>
        </w:rPr>
        <w:t>effort to involve them in a way that feels safe and supportive, recognising this often improves their experience and strengthens the quality of the review.</w:t>
      </w:r>
    </w:p>
    <w:p w14:paraId="2CE89789" w14:textId="14EDD961" w:rsidR="0048339B" w:rsidRPr="006F1353" w:rsidRDefault="00FB75E2" w:rsidP="003D76A5">
      <w:pPr>
        <w:pStyle w:val="SCVbodyafterheading"/>
        <w:rPr>
          <w:rFonts w:ascii="Arial" w:eastAsia="Aptos" w:hAnsi="Arial" w:cs="Arial"/>
          <w:szCs w:val="24"/>
          <w:lang w:val="en-GB"/>
        </w:rPr>
      </w:pPr>
      <w:r w:rsidRPr="006F1353">
        <w:rPr>
          <w:b/>
          <w:bCs/>
          <w:lang w:val="en-GB"/>
        </w:rPr>
        <w:t>Proactive</w:t>
      </w:r>
      <w:r w:rsidRPr="006F1353">
        <w:rPr>
          <w:rFonts w:ascii="Arial" w:eastAsia="Aptos" w:hAnsi="Arial" w:cs="Arial"/>
          <w:b/>
          <w:szCs w:val="24"/>
          <w:lang w:val="en-GB"/>
        </w:rPr>
        <w:t xml:space="preserve"> monitoring to</w:t>
      </w:r>
      <w:r w:rsidRPr="006F1353">
        <w:rPr>
          <w:rFonts w:ascii="Arial" w:eastAsia="Aptos" w:hAnsi="Arial" w:cs="Arial"/>
          <w:b/>
          <w:bCs/>
          <w:szCs w:val="24"/>
          <w:lang w:val="en-GB"/>
        </w:rPr>
        <w:t xml:space="preserve"> ensure timelines are met</w:t>
      </w:r>
    </w:p>
    <w:p w14:paraId="6112122D" w14:textId="196385C9" w:rsidR="00913C8A" w:rsidRPr="003D76A5" w:rsidRDefault="21DCCDD7" w:rsidP="003D76A5">
      <w:pPr>
        <w:pStyle w:val="SCVbullet1"/>
        <w:rPr>
          <w:lang w:val="en-GB"/>
        </w:rPr>
      </w:pPr>
      <w:r w:rsidRPr="57EA0190">
        <w:rPr>
          <w:lang w:val="en-GB"/>
        </w:rPr>
        <w:t>Implemented a</w:t>
      </w:r>
      <w:r w:rsidR="48B6ED19" w:rsidRPr="57EA0190">
        <w:rPr>
          <w:lang w:val="en-GB"/>
        </w:rPr>
        <w:t xml:space="preserve"> weekly </w:t>
      </w:r>
      <w:r w:rsidR="5A0416C8" w:rsidRPr="57EA0190">
        <w:rPr>
          <w:lang w:val="en-GB"/>
        </w:rPr>
        <w:t>process to consider</w:t>
      </w:r>
      <w:r w:rsidR="48B6ED19" w:rsidRPr="57EA0190">
        <w:rPr>
          <w:lang w:val="en-GB"/>
        </w:rPr>
        <w:t xml:space="preserve"> all open SAPSE reviews to monitor timelines and </w:t>
      </w:r>
      <w:r w:rsidR="439C6471" w:rsidRPr="57EA0190">
        <w:rPr>
          <w:lang w:val="en-GB"/>
        </w:rPr>
        <w:t>acti</w:t>
      </w:r>
      <w:r w:rsidR="49B6513B" w:rsidRPr="57EA0190">
        <w:rPr>
          <w:lang w:val="en-GB"/>
        </w:rPr>
        <w:t>ons</w:t>
      </w:r>
      <w:r w:rsidR="439C6471" w:rsidRPr="57EA0190">
        <w:rPr>
          <w:lang w:val="en-GB"/>
        </w:rPr>
        <w:t xml:space="preserve"> </w:t>
      </w:r>
      <w:r w:rsidR="48B6ED19" w:rsidRPr="57EA0190">
        <w:rPr>
          <w:lang w:val="en-GB"/>
        </w:rPr>
        <w:t>to identify and address any potential delays.</w:t>
      </w:r>
    </w:p>
    <w:p w14:paraId="6711C9E0" w14:textId="772AABD5" w:rsidR="00A12062" w:rsidRPr="006F1353" w:rsidRDefault="00364540" w:rsidP="003D76A5">
      <w:pPr>
        <w:pStyle w:val="SCVbodyafterheading"/>
        <w:rPr>
          <w:rFonts w:ascii="Arial" w:eastAsia="Aptos" w:hAnsi="Arial" w:cs="Arial"/>
          <w:b/>
          <w:bCs/>
          <w:szCs w:val="24"/>
          <w:lang w:val="en-GB"/>
        </w:rPr>
      </w:pPr>
      <w:r w:rsidRPr="006F1353">
        <w:rPr>
          <w:b/>
          <w:bCs/>
          <w:lang w:val="en-GB"/>
        </w:rPr>
        <w:t>Leader</w:t>
      </w:r>
      <w:r w:rsidR="00E95ACB" w:rsidRPr="006F1353">
        <w:rPr>
          <w:b/>
          <w:bCs/>
          <w:lang w:val="en-GB"/>
        </w:rPr>
        <w:t>s</w:t>
      </w:r>
      <w:r w:rsidR="00E95ACB" w:rsidRPr="006F1353">
        <w:rPr>
          <w:rFonts w:ascii="Arial" w:eastAsia="Aptos" w:hAnsi="Arial" w:cs="Arial"/>
          <w:b/>
          <w:bCs/>
          <w:szCs w:val="24"/>
          <w:lang w:val="en-GB"/>
        </w:rPr>
        <w:t xml:space="preserve"> seen to endorse the process and are accessible</w:t>
      </w:r>
    </w:p>
    <w:p w14:paraId="623D0558" w14:textId="1388ECF1" w:rsidR="0AE93ABD" w:rsidRDefault="48B6ED19" w:rsidP="003D76A5">
      <w:pPr>
        <w:pStyle w:val="SCVbullet1"/>
        <w:rPr>
          <w:lang w:val="en-GB"/>
        </w:rPr>
      </w:pPr>
      <w:r w:rsidRPr="57EA0190">
        <w:rPr>
          <w:lang w:val="en-GB"/>
        </w:rPr>
        <w:t xml:space="preserve">For all sentinel events reviews, the </w:t>
      </w:r>
      <w:r w:rsidR="4D492C59" w:rsidRPr="57EA0190">
        <w:rPr>
          <w:lang w:val="en-GB"/>
        </w:rPr>
        <w:t>c</w:t>
      </w:r>
      <w:r w:rsidRPr="57EA0190">
        <w:rPr>
          <w:lang w:val="en-GB"/>
        </w:rPr>
        <w:t xml:space="preserve">hief </w:t>
      </w:r>
      <w:r w:rsidR="4D492C59" w:rsidRPr="57EA0190">
        <w:rPr>
          <w:lang w:val="en-GB"/>
        </w:rPr>
        <w:t>m</w:t>
      </w:r>
      <w:r w:rsidRPr="57EA0190">
        <w:rPr>
          <w:lang w:val="en-GB"/>
        </w:rPr>
        <w:t xml:space="preserve">edical </w:t>
      </w:r>
      <w:r w:rsidR="4D492C59" w:rsidRPr="57EA0190">
        <w:rPr>
          <w:lang w:val="en-GB"/>
        </w:rPr>
        <w:t>o</w:t>
      </w:r>
      <w:r w:rsidRPr="57EA0190">
        <w:rPr>
          <w:lang w:val="en-GB"/>
        </w:rPr>
        <w:t>fficer is appointed as the contact for the patient/family</w:t>
      </w:r>
      <w:r w:rsidR="21DCCDD7" w:rsidRPr="57EA0190">
        <w:rPr>
          <w:lang w:val="en-GB"/>
        </w:rPr>
        <w:t>. They contact the patient/family</w:t>
      </w:r>
      <w:r w:rsidRPr="57EA0190">
        <w:rPr>
          <w:lang w:val="en-GB"/>
        </w:rPr>
        <w:t xml:space="preserve"> to introduce themsel</w:t>
      </w:r>
      <w:r w:rsidR="21DCCDD7" w:rsidRPr="57EA0190">
        <w:rPr>
          <w:lang w:val="en-GB"/>
        </w:rPr>
        <w:t>ves and</w:t>
      </w:r>
      <w:r w:rsidRPr="57EA0190">
        <w:rPr>
          <w:lang w:val="en-GB"/>
        </w:rPr>
        <w:t xml:space="preserve"> explain their role </w:t>
      </w:r>
      <w:r w:rsidR="144007EE" w:rsidRPr="57EA0190">
        <w:rPr>
          <w:lang w:val="en-GB"/>
        </w:rPr>
        <w:t>to</w:t>
      </w:r>
      <w:r w:rsidR="193A03F5" w:rsidRPr="57EA0190">
        <w:rPr>
          <w:lang w:val="en-GB"/>
        </w:rPr>
        <w:t xml:space="preserve"> </w:t>
      </w:r>
      <w:r w:rsidRPr="57EA0190">
        <w:rPr>
          <w:lang w:val="en-GB"/>
        </w:rPr>
        <w:t>reinforce</w:t>
      </w:r>
      <w:r w:rsidR="3D623DD2" w:rsidRPr="57EA0190">
        <w:rPr>
          <w:lang w:val="en-GB"/>
        </w:rPr>
        <w:t xml:space="preserve"> transparency.</w:t>
      </w:r>
      <w:r w:rsidRPr="57EA0190">
        <w:rPr>
          <w:lang w:val="en-GB"/>
        </w:rPr>
        <w:t xml:space="preserve"> </w:t>
      </w:r>
      <w:r w:rsidR="48085F71" w:rsidRPr="57EA0190">
        <w:rPr>
          <w:lang w:val="en-GB"/>
        </w:rPr>
        <w:t>They provide</w:t>
      </w:r>
      <w:r w:rsidRPr="57EA0190">
        <w:rPr>
          <w:lang w:val="en-GB"/>
        </w:rPr>
        <w:t xml:space="preserve"> updates on the progress of the review </w:t>
      </w:r>
      <w:r w:rsidR="21DCCDD7" w:rsidRPr="57EA0190">
        <w:rPr>
          <w:lang w:val="en-GB"/>
        </w:rPr>
        <w:t>before</w:t>
      </w:r>
      <w:r w:rsidRPr="57EA0190">
        <w:rPr>
          <w:lang w:val="en-GB"/>
        </w:rPr>
        <w:t xml:space="preserve"> the final report </w:t>
      </w:r>
      <w:r w:rsidR="21DCCDD7" w:rsidRPr="57EA0190">
        <w:rPr>
          <w:lang w:val="en-GB"/>
        </w:rPr>
        <w:t xml:space="preserve">is </w:t>
      </w:r>
      <w:r w:rsidRPr="57EA0190">
        <w:rPr>
          <w:lang w:val="en-GB"/>
        </w:rPr>
        <w:t>issued.</w:t>
      </w:r>
    </w:p>
    <w:p w14:paraId="0E2BC399" w14:textId="454C4DFC" w:rsidR="00E95ACB" w:rsidRPr="006F1353" w:rsidRDefault="3B1DEB64" w:rsidP="57EA0190">
      <w:pPr>
        <w:pStyle w:val="SCVbodyafterheading"/>
        <w:rPr>
          <w:rFonts w:ascii="Arial" w:eastAsia="Aptos" w:hAnsi="Arial" w:cs="Arial"/>
          <w:b/>
          <w:bCs/>
          <w:lang w:val="en-GB"/>
        </w:rPr>
      </w:pPr>
      <w:r w:rsidRPr="006F1353">
        <w:rPr>
          <w:b/>
          <w:bCs/>
          <w:lang w:val="en-GB"/>
        </w:rPr>
        <w:t>Provide</w:t>
      </w:r>
      <w:r w:rsidRPr="006F1353">
        <w:rPr>
          <w:rFonts w:ascii="Arial" w:eastAsia="Aptos" w:hAnsi="Arial" w:cs="Arial"/>
          <w:b/>
          <w:bCs/>
          <w:lang w:val="en-GB"/>
        </w:rPr>
        <w:t xml:space="preserve"> </w:t>
      </w:r>
      <w:r w:rsidR="296CBF20" w:rsidRPr="006F1353">
        <w:rPr>
          <w:rFonts w:ascii="Arial" w:eastAsia="Aptos" w:hAnsi="Arial" w:cs="Arial"/>
          <w:b/>
          <w:bCs/>
          <w:lang w:val="en-GB"/>
        </w:rPr>
        <w:t>counselling and support to consumers, families and carers who are impacted</w:t>
      </w:r>
    </w:p>
    <w:p w14:paraId="7C31E247" w14:textId="426385F8" w:rsidR="00D66DF0" w:rsidRPr="003D76A5" w:rsidRDefault="21DCCDD7" w:rsidP="003D76A5">
      <w:pPr>
        <w:pStyle w:val="SCVbullet1"/>
        <w:rPr>
          <w:lang w:val="en-GB"/>
        </w:rPr>
      </w:pPr>
      <w:r w:rsidRPr="57EA0190">
        <w:rPr>
          <w:lang w:val="en-GB"/>
        </w:rPr>
        <w:t>St Vincent’s offers</w:t>
      </w:r>
      <w:r w:rsidR="48B6ED19" w:rsidRPr="57EA0190">
        <w:rPr>
          <w:lang w:val="en-GB"/>
        </w:rPr>
        <w:t xml:space="preserve"> in-house psychological support for </w:t>
      </w:r>
      <w:r w:rsidR="76DED220" w:rsidRPr="57EA0190">
        <w:rPr>
          <w:lang w:val="en-GB"/>
        </w:rPr>
        <w:t xml:space="preserve">the </w:t>
      </w:r>
      <w:r w:rsidR="48B6ED19" w:rsidRPr="57EA0190">
        <w:rPr>
          <w:lang w:val="en-GB"/>
        </w:rPr>
        <w:t xml:space="preserve">patient/family and staff impacted by serious harm incidents and review processes. </w:t>
      </w:r>
    </w:p>
    <w:p w14:paraId="4F839103" w14:textId="77777777" w:rsidR="003B7311" w:rsidRPr="005C5AF5" w:rsidRDefault="003B7311" w:rsidP="003D76A5">
      <w:pPr>
        <w:pStyle w:val="Heading3"/>
        <w:rPr>
          <w:lang w:val="en-GB"/>
        </w:rPr>
      </w:pPr>
      <w:r w:rsidRPr="003D76A5">
        <w:t>Summary</w:t>
      </w:r>
    </w:p>
    <w:p w14:paraId="0B1E0D9F" w14:textId="77777777" w:rsidR="00F32F4B" w:rsidRDefault="001C7EDB" w:rsidP="003D76A5">
      <w:pPr>
        <w:pStyle w:val="SCVbody"/>
        <w:rPr>
          <w:lang w:val="en-GB"/>
        </w:rPr>
      </w:pPr>
      <w:r w:rsidRPr="00357AFB">
        <w:rPr>
          <w:rFonts w:ascii="Arial" w:hAnsi="Arial" w:cs="Arial"/>
          <w:lang w:val="en-GB"/>
        </w:rPr>
        <w:t>St Vincent’s Health</w:t>
      </w:r>
      <w:r>
        <w:rPr>
          <w:rFonts w:ascii="Arial" w:hAnsi="Arial" w:cs="Arial"/>
          <w:lang w:val="en-GB"/>
        </w:rPr>
        <w:t xml:space="preserve"> </w:t>
      </w:r>
      <w:r w:rsidR="0AE93ABD" w:rsidRPr="1DDDCA79">
        <w:rPr>
          <w:lang w:val="en-GB"/>
        </w:rPr>
        <w:t>has made meaningful improvements to the way SDC is operationalised, particularly in</w:t>
      </w:r>
      <w:r w:rsidR="00F32F4B">
        <w:rPr>
          <w:lang w:val="en-GB"/>
        </w:rPr>
        <w:t>:</w:t>
      </w:r>
      <w:r w:rsidR="0AE93ABD" w:rsidRPr="1DDDCA79">
        <w:rPr>
          <w:lang w:val="en-GB"/>
        </w:rPr>
        <w:t xml:space="preserve"> </w:t>
      </w:r>
    </w:p>
    <w:p w14:paraId="4D9087A7" w14:textId="0F9F7413" w:rsidR="00F32F4B" w:rsidRDefault="0AE93ABD" w:rsidP="00F32F4B">
      <w:pPr>
        <w:pStyle w:val="SCVbullet1"/>
        <w:rPr>
          <w:lang w:val="en-GB"/>
        </w:rPr>
      </w:pPr>
      <w:r w:rsidRPr="1DDDCA79">
        <w:rPr>
          <w:lang w:val="en-GB"/>
        </w:rPr>
        <w:t>strengthening communication</w:t>
      </w:r>
    </w:p>
    <w:p w14:paraId="04E95907" w14:textId="7334B805" w:rsidR="00F32F4B" w:rsidRDefault="48B6ED19" w:rsidP="00F32F4B">
      <w:pPr>
        <w:pStyle w:val="SCVbullet1"/>
        <w:rPr>
          <w:lang w:val="en-GB"/>
        </w:rPr>
      </w:pPr>
      <w:r w:rsidRPr="57EA0190">
        <w:rPr>
          <w:lang w:val="en-GB"/>
        </w:rPr>
        <w:t xml:space="preserve">embedding the </w:t>
      </w:r>
      <w:r w:rsidR="176E2BEE" w:rsidRPr="57EA0190">
        <w:rPr>
          <w:lang w:val="en-GB"/>
        </w:rPr>
        <w:t>consumer, family and carer voice</w:t>
      </w:r>
    </w:p>
    <w:p w14:paraId="51D511E5" w14:textId="66C07497" w:rsidR="003B7311" w:rsidRDefault="48B6ED19" w:rsidP="57EA0190">
      <w:pPr>
        <w:pStyle w:val="SCVbullet1"/>
        <w:rPr>
          <w:lang w:val="en-GB"/>
        </w:rPr>
      </w:pPr>
      <w:r w:rsidRPr="57EA0190">
        <w:rPr>
          <w:lang w:val="en-GB"/>
        </w:rPr>
        <w:lastRenderedPageBreak/>
        <w:t xml:space="preserve">improving the timeliness and oversight of reviews. </w:t>
      </w:r>
    </w:p>
    <w:p w14:paraId="6C4A9ED2" w14:textId="414FD7B2" w:rsidR="00ED43A4" w:rsidRDefault="48B6ED19" w:rsidP="57EA0190">
      <w:pPr>
        <w:pStyle w:val="SCVbodyafterheading"/>
        <w:rPr>
          <w:lang w:val="en-GB"/>
        </w:rPr>
      </w:pPr>
      <w:r w:rsidRPr="57EA0190">
        <w:rPr>
          <w:lang w:val="en-GB"/>
        </w:rPr>
        <w:t xml:space="preserve">Early </w:t>
      </w:r>
      <w:r w:rsidR="176E2BEE" w:rsidRPr="57EA0190">
        <w:rPr>
          <w:lang w:val="en-GB"/>
        </w:rPr>
        <w:t xml:space="preserve">engagement and responsive </w:t>
      </w:r>
      <w:r w:rsidRPr="57EA0190">
        <w:rPr>
          <w:lang w:val="en-GB"/>
        </w:rPr>
        <w:t xml:space="preserve">feedback </w:t>
      </w:r>
      <w:r w:rsidR="76DED220" w:rsidRPr="57EA0190">
        <w:rPr>
          <w:lang w:val="en-GB"/>
        </w:rPr>
        <w:t xml:space="preserve">show </w:t>
      </w:r>
      <w:r w:rsidRPr="57EA0190">
        <w:rPr>
          <w:lang w:val="en-GB"/>
        </w:rPr>
        <w:t xml:space="preserve">that these changes are improving </w:t>
      </w:r>
      <w:r w:rsidR="176E2BEE" w:rsidRPr="57EA0190">
        <w:rPr>
          <w:lang w:val="en-GB"/>
        </w:rPr>
        <w:t xml:space="preserve">consumer, family, carer </w:t>
      </w:r>
      <w:r w:rsidRPr="57EA0190">
        <w:rPr>
          <w:lang w:val="en-GB"/>
        </w:rPr>
        <w:t>and staff experience</w:t>
      </w:r>
      <w:r w:rsidR="76DED220" w:rsidRPr="57EA0190">
        <w:rPr>
          <w:lang w:val="en-GB"/>
        </w:rPr>
        <w:t>s,</w:t>
      </w:r>
      <w:r w:rsidRPr="57EA0190">
        <w:rPr>
          <w:lang w:val="en-GB"/>
        </w:rPr>
        <w:t xml:space="preserve"> reinforcing a </w:t>
      </w:r>
      <w:r w:rsidR="2DD03C60" w:rsidRPr="57EA0190">
        <w:rPr>
          <w:lang w:val="en-GB"/>
        </w:rPr>
        <w:t xml:space="preserve">just </w:t>
      </w:r>
      <w:r w:rsidRPr="57EA0190">
        <w:rPr>
          <w:lang w:val="en-GB"/>
        </w:rPr>
        <w:t xml:space="preserve">culture of openness and </w:t>
      </w:r>
      <w:r w:rsidR="2DD03C60" w:rsidRPr="57EA0190">
        <w:rPr>
          <w:lang w:val="en-GB"/>
        </w:rPr>
        <w:t xml:space="preserve">commitment to continuous </w:t>
      </w:r>
      <w:r w:rsidRPr="57EA0190">
        <w:rPr>
          <w:lang w:val="en-GB"/>
        </w:rPr>
        <w:t xml:space="preserve">learning. </w:t>
      </w:r>
    </w:p>
    <w:p w14:paraId="7290667A" w14:textId="46292D13" w:rsidR="00047BFF" w:rsidRDefault="2E6A33FF" w:rsidP="003D76A5">
      <w:pPr>
        <w:pStyle w:val="SCVbody"/>
        <w:rPr>
          <w:lang w:val="en-GB"/>
        </w:rPr>
      </w:pPr>
      <w:r w:rsidRPr="57EA0190">
        <w:rPr>
          <w:lang w:val="en-GB"/>
        </w:rPr>
        <w:t>D</w:t>
      </w:r>
      <w:r w:rsidR="48B6ED19" w:rsidRPr="57EA0190">
        <w:rPr>
          <w:lang w:val="en-GB"/>
        </w:rPr>
        <w:t xml:space="preserve">espite these advances, </w:t>
      </w:r>
      <w:r w:rsidRPr="57EA0190">
        <w:rPr>
          <w:lang w:val="en-GB"/>
        </w:rPr>
        <w:t>there are</w:t>
      </w:r>
      <w:r w:rsidR="5D55897D" w:rsidRPr="57EA0190">
        <w:rPr>
          <w:lang w:val="en-GB"/>
        </w:rPr>
        <w:t xml:space="preserve"> challenges </w:t>
      </w:r>
      <w:r w:rsidRPr="57EA0190">
        <w:rPr>
          <w:lang w:val="en-GB"/>
        </w:rPr>
        <w:t xml:space="preserve">with </w:t>
      </w:r>
      <w:r w:rsidR="589E5839" w:rsidRPr="57EA0190">
        <w:rPr>
          <w:lang w:val="en-GB"/>
        </w:rPr>
        <w:t>meet</w:t>
      </w:r>
      <w:r w:rsidR="1628256A" w:rsidRPr="57EA0190">
        <w:rPr>
          <w:lang w:val="en-GB"/>
        </w:rPr>
        <w:t>ing</w:t>
      </w:r>
      <w:r w:rsidR="589E5839" w:rsidRPr="57EA0190">
        <w:rPr>
          <w:lang w:val="en-GB"/>
        </w:rPr>
        <w:t xml:space="preserve"> the</w:t>
      </w:r>
      <w:r w:rsidR="703FC21C" w:rsidRPr="57EA0190">
        <w:rPr>
          <w:lang w:val="en-GB"/>
        </w:rPr>
        <w:t xml:space="preserve"> required</w:t>
      </w:r>
      <w:r w:rsidR="48B6ED19" w:rsidRPr="57EA0190">
        <w:rPr>
          <w:lang w:val="en-GB"/>
        </w:rPr>
        <w:t xml:space="preserve"> timeframes </w:t>
      </w:r>
      <w:r w:rsidR="703FC21C" w:rsidRPr="57EA0190">
        <w:rPr>
          <w:lang w:val="en-GB"/>
        </w:rPr>
        <w:t xml:space="preserve">in a </w:t>
      </w:r>
      <w:r w:rsidR="1D1937C9" w:rsidRPr="57EA0190">
        <w:rPr>
          <w:lang w:val="en-GB"/>
        </w:rPr>
        <w:t xml:space="preserve">way </w:t>
      </w:r>
      <w:r w:rsidR="703FC21C" w:rsidRPr="57EA0190">
        <w:rPr>
          <w:lang w:val="en-GB"/>
        </w:rPr>
        <w:t>that supports</w:t>
      </w:r>
      <w:r w:rsidR="5D55897D" w:rsidRPr="57EA0190">
        <w:rPr>
          <w:lang w:val="en-GB"/>
        </w:rPr>
        <w:t xml:space="preserve"> consumers, carers </w:t>
      </w:r>
      <w:r w:rsidR="48B6ED19" w:rsidRPr="57EA0190">
        <w:rPr>
          <w:lang w:val="en-GB"/>
        </w:rPr>
        <w:t xml:space="preserve">and families at such a difficult time. </w:t>
      </w:r>
    </w:p>
    <w:p w14:paraId="4A17301A" w14:textId="332E843C" w:rsidR="002315E5" w:rsidRDefault="1D1937C9" w:rsidP="003D76A5">
      <w:pPr>
        <w:pStyle w:val="SCVbody"/>
        <w:rPr>
          <w:lang w:val="en-GB"/>
        </w:rPr>
      </w:pPr>
      <w:r w:rsidRPr="57EA0190">
        <w:rPr>
          <w:lang w:val="en-GB"/>
        </w:rPr>
        <w:t xml:space="preserve">The framework needs to be refined </w:t>
      </w:r>
      <w:r w:rsidR="48B6ED19" w:rsidRPr="57EA0190">
        <w:rPr>
          <w:lang w:val="en-GB"/>
        </w:rPr>
        <w:t>to ensure it better supports compassionate, flexible and patient</w:t>
      </w:r>
      <w:r w:rsidR="0AE93ABD">
        <w:noBreakHyphen/>
      </w:r>
      <w:r w:rsidR="48B6ED19" w:rsidRPr="57EA0190">
        <w:rPr>
          <w:lang w:val="en-GB"/>
        </w:rPr>
        <w:t>centred engagement during serious harm reviews and that appropriate psychological support is available for patients, family and staff.</w:t>
      </w:r>
    </w:p>
    <w:p w14:paraId="2EB34826" w14:textId="2D01C2CA" w:rsidR="001B0FE7" w:rsidRPr="004972D9" w:rsidRDefault="005C5AF5" w:rsidP="001B0FE7">
      <w:pPr>
        <w:pStyle w:val="Heading3"/>
        <w:spacing w:line="276" w:lineRule="auto"/>
      </w:pPr>
      <w:r>
        <w:t xml:space="preserve">Improvement initiatives and </w:t>
      </w:r>
      <w:r w:rsidR="001B0FE7" w:rsidDel="00920AC0">
        <w:t>r</w:t>
      </w:r>
      <w:r w:rsidR="001B0FE7">
        <w:t>esources</w:t>
      </w:r>
    </w:p>
    <w:p w14:paraId="2EE3AC4D" w14:textId="15557AFE" w:rsidR="001B0FE7" w:rsidRPr="00084EE6" w:rsidRDefault="001B0FE7" w:rsidP="001B0FE7">
      <w:pPr>
        <w:pStyle w:val="SCVbody"/>
      </w:pPr>
      <w:r w:rsidRPr="00111164">
        <w:t xml:space="preserve">SCV has developed guidance to health services on how to strengthen these processes in </w:t>
      </w:r>
      <w:hyperlink r:id="rId78">
        <w:r w:rsidRPr="00561DBF">
          <w:rPr>
            <w:rStyle w:val="Hyperlink"/>
          </w:rPr>
          <w:t>Consumer involvement following a serious adverse patient safety event: a 9-step guide for health services</w:t>
        </w:r>
      </w:hyperlink>
      <w:r>
        <w:t xml:space="preserve"> &lt;</w:t>
      </w:r>
      <w:r w:rsidRPr="00806B59">
        <w:t>https://www.safercare.vic.gov.au/report-manage-issues/sentinel-events/adverse-event-review-and-response/resources-for-involving-impacted-consumers</w:t>
      </w:r>
      <w:r>
        <w:t>&gt;.</w:t>
      </w:r>
    </w:p>
    <w:p w14:paraId="6F55DF49" w14:textId="3CCD18B8" w:rsidR="001B0FE7" w:rsidRDefault="001B0FE7" w:rsidP="001B0FE7">
      <w:pPr>
        <w:pStyle w:val="SCVbody"/>
      </w:pPr>
      <w:r>
        <w:t xml:space="preserve">SCV also published a position statement outlining the obligation on health services to comply with the </w:t>
      </w:r>
      <w:r w:rsidRPr="005E7DE4">
        <w:t>Health Services Act</w:t>
      </w:r>
      <w:r>
        <w:t xml:space="preserve"> and to provide consumers, families and carers with the detailed SAPSE report that health services </w:t>
      </w:r>
      <w:r w:rsidR="00F32F4B">
        <w:t xml:space="preserve">submit </w:t>
      </w:r>
      <w:r>
        <w:t xml:space="preserve">in the sentinel event portal. View the </w:t>
      </w:r>
      <w:hyperlink r:id="rId79">
        <w:r w:rsidRPr="50870C46">
          <w:rPr>
            <w:rStyle w:val="Hyperlink"/>
          </w:rPr>
          <w:t>SCV Statement on abridged SAPSE review reports</w:t>
        </w:r>
      </w:hyperlink>
      <w:r>
        <w:t xml:space="preserve"> &lt;https://www.safercare.vic.gov.au/sites/default/files/2026-01/SCV%20Statement%20-%20Abridged%20SAPSE%20review%20reports_Dec%202025_FINAL.pdf&gt;.</w:t>
      </w:r>
    </w:p>
    <w:p w14:paraId="5A1978F8" w14:textId="2F08490B" w:rsidR="002315E5" w:rsidRDefault="002315E5" w:rsidP="003D76A5">
      <w:pPr>
        <w:pStyle w:val="SCVbody"/>
        <w:rPr>
          <w:lang w:val="en-GB"/>
        </w:rPr>
      </w:pPr>
    </w:p>
    <w:p w14:paraId="24C38DE7" w14:textId="34467B02" w:rsidR="00377835" w:rsidRPr="00443BC4" w:rsidRDefault="45AFFB28" w:rsidP="00EF295D">
      <w:pPr>
        <w:pStyle w:val="Heading1"/>
      </w:pPr>
      <w:bookmarkStart w:id="38" w:name="_Toc185595255"/>
      <w:bookmarkStart w:id="39" w:name="_Toc238026652"/>
      <w:bookmarkStart w:id="40" w:name="_Toc185595262"/>
      <w:bookmarkEnd w:id="38"/>
      <w:r w:rsidRPr="50870C46">
        <w:rPr>
          <w:rStyle w:val="normaltextrun"/>
        </w:rPr>
        <w:lastRenderedPageBreak/>
        <w:t>F</w:t>
      </w:r>
      <w:r w:rsidR="585A60BF" w:rsidRPr="50870C46">
        <w:rPr>
          <w:rStyle w:val="normaltextrun"/>
        </w:rPr>
        <w:t>urther</w:t>
      </w:r>
      <w:r w:rsidR="5811132B" w:rsidRPr="50870C46">
        <w:rPr>
          <w:rStyle w:val="normaltextrun"/>
        </w:rPr>
        <w:t xml:space="preserve"> </w:t>
      </w:r>
      <w:r w:rsidR="43E18D52" w:rsidRPr="50870C46">
        <w:rPr>
          <w:rStyle w:val="normaltextrun"/>
        </w:rPr>
        <w:t>r</w:t>
      </w:r>
      <w:r w:rsidR="585A60BF" w:rsidRPr="50870C46">
        <w:rPr>
          <w:rStyle w:val="normaltextrun"/>
        </w:rPr>
        <w:t>eading</w:t>
      </w:r>
      <w:r w:rsidR="4EE3A02D" w:rsidRPr="50870C46">
        <w:rPr>
          <w:rStyle w:val="normaltextrun"/>
        </w:rPr>
        <w:t>:</w:t>
      </w:r>
      <w:r w:rsidR="19400361" w:rsidRPr="50870C46">
        <w:rPr>
          <w:rStyle w:val="normaltextrun"/>
        </w:rPr>
        <w:t xml:space="preserve"> improvement initiatives</w:t>
      </w:r>
      <w:r w:rsidR="5811132B" w:rsidRPr="50870C46">
        <w:rPr>
          <w:rStyle w:val="normaltextrun"/>
        </w:rPr>
        <w:t xml:space="preserve"> </w:t>
      </w:r>
      <w:r w:rsidR="585A60BF" w:rsidRPr="50870C46">
        <w:rPr>
          <w:rStyle w:val="normaltextrun"/>
        </w:rPr>
        <w:t>and</w:t>
      </w:r>
      <w:r w:rsidR="5811132B" w:rsidRPr="50870C46">
        <w:rPr>
          <w:rStyle w:val="normaltextrun"/>
        </w:rPr>
        <w:t xml:space="preserve"> </w:t>
      </w:r>
      <w:r w:rsidR="43E18D52" w:rsidRPr="50870C46">
        <w:rPr>
          <w:rStyle w:val="normaltextrun"/>
        </w:rPr>
        <w:t>r</w:t>
      </w:r>
      <w:r w:rsidR="585A60BF" w:rsidRPr="50870C46">
        <w:rPr>
          <w:rStyle w:val="normaltextrun"/>
        </w:rPr>
        <w:t>esources</w:t>
      </w:r>
      <w:bookmarkEnd w:id="39"/>
      <w:r w:rsidR="5811132B" w:rsidRPr="50870C46">
        <w:rPr>
          <w:rFonts w:asciiTheme="minorHAnsi" w:eastAsiaTheme="minorEastAsia" w:hAnsiTheme="minorHAnsi" w:cstheme="minorBidi"/>
          <w:b w:val="0"/>
          <w:bCs w:val="0"/>
          <w:color w:val="auto"/>
        </w:rPr>
        <w:t xml:space="preserve"> </w:t>
      </w:r>
      <w:bookmarkEnd w:id="40"/>
    </w:p>
    <w:p w14:paraId="2B6D5923" w14:textId="09E2E621" w:rsidR="00472302" w:rsidRPr="00180959" w:rsidRDefault="00472302" w:rsidP="0057201C">
      <w:pPr>
        <w:pStyle w:val="SCVbody"/>
      </w:pPr>
      <w:r>
        <w:t>SCV</w:t>
      </w:r>
      <w:r w:rsidR="00824FA7">
        <w:t xml:space="preserve"> </w:t>
      </w:r>
      <w:r>
        <w:t>has</w:t>
      </w:r>
      <w:r w:rsidR="00824FA7">
        <w:t xml:space="preserve"> </w:t>
      </w:r>
      <w:r>
        <w:t>resources</w:t>
      </w:r>
      <w:r w:rsidR="00824FA7">
        <w:t xml:space="preserve"> </w:t>
      </w:r>
      <w:r>
        <w:t>and</w:t>
      </w:r>
      <w:r w:rsidR="00824FA7">
        <w:t xml:space="preserve"> </w:t>
      </w:r>
      <w:r>
        <w:t>information</w:t>
      </w:r>
      <w:r w:rsidR="00824FA7">
        <w:t xml:space="preserve"> </w:t>
      </w:r>
      <w:r>
        <w:t>available</w:t>
      </w:r>
      <w:r w:rsidR="00824FA7">
        <w:t xml:space="preserve"> </w:t>
      </w:r>
      <w:r>
        <w:t>to</w:t>
      </w:r>
      <w:r w:rsidR="00824FA7">
        <w:t xml:space="preserve"> </w:t>
      </w:r>
      <w:r>
        <w:t>support</w:t>
      </w:r>
      <w:r w:rsidR="00824FA7">
        <w:t xml:space="preserve"> </w:t>
      </w:r>
      <w:r>
        <w:t>health</w:t>
      </w:r>
      <w:r w:rsidR="00824FA7">
        <w:t xml:space="preserve"> </w:t>
      </w:r>
      <w:r>
        <w:t>services</w:t>
      </w:r>
      <w:r w:rsidR="00824FA7">
        <w:t xml:space="preserve"> </w:t>
      </w:r>
      <w:r>
        <w:t>and</w:t>
      </w:r>
      <w:r w:rsidR="00824FA7">
        <w:t xml:space="preserve"> </w:t>
      </w:r>
      <w:r>
        <w:t>consumers</w:t>
      </w:r>
      <w:r w:rsidR="00824FA7">
        <w:t xml:space="preserve"> </w:t>
      </w:r>
      <w:r>
        <w:t>to</w:t>
      </w:r>
      <w:r w:rsidR="00824FA7">
        <w:t xml:space="preserve"> </w:t>
      </w:r>
      <w:r>
        <w:t>improve</w:t>
      </w:r>
      <w:r w:rsidR="00824FA7">
        <w:t xml:space="preserve"> </w:t>
      </w:r>
      <w:r>
        <w:t>safety</w:t>
      </w:r>
      <w:r w:rsidR="00824FA7">
        <w:t xml:space="preserve"> </w:t>
      </w:r>
      <w:r>
        <w:t>culture</w:t>
      </w:r>
      <w:r w:rsidR="00824FA7">
        <w:t xml:space="preserve"> </w:t>
      </w:r>
      <w:r>
        <w:t>and</w:t>
      </w:r>
      <w:r w:rsidR="00824FA7">
        <w:t xml:space="preserve"> </w:t>
      </w:r>
      <w:r>
        <w:t>prevent</w:t>
      </w:r>
      <w:r w:rsidR="00824FA7">
        <w:t xml:space="preserve"> </w:t>
      </w:r>
      <w:r>
        <w:t>patient</w:t>
      </w:r>
      <w:r w:rsidR="00824FA7">
        <w:t xml:space="preserve"> </w:t>
      </w:r>
      <w:r>
        <w:t>harm.</w:t>
      </w:r>
      <w:r w:rsidR="00824FA7">
        <w:t xml:space="preserve"> </w:t>
      </w:r>
    </w:p>
    <w:p w14:paraId="1D01670A" w14:textId="30254E62" w:rsidR="00472302" w:rsidRPr="006F1353" w:rsidRDefault="4698FAFD" w:rsidP="00834EF2">
      <w:pPr>
        <w:pStyle w:val="Heading2"/>
        <w:rPr>
          <w:color w:val="007586" w:themeColor="text2"/>
        </w:rPr>
      </w:pPr>
      <w:bookmarkStart w:id="41" w:name="_Toc238026653"/>
      <w:r w:rsidRPr="006F1353">
        <w:rPr>
          <w:color w:val="007586" w:themeColor="text2"/>
        </w:rPr>
        <w:t>Resources</w:t>
      </w:r>
      <w:r w:rsidR="5811132B" w:rsidRPr="006F1353">
        <w:rPr>
          <w:color w:val="007586" w:themeColor="text2"/>
        </w:rPr>
        <w:t xml:space="preserve"> </w:t>
      </w:r>
      <w:r w:rsidRPr="006F1353">
        <w:rPr>
          <w:color w:val="007586" w:themeColor="text2"/>
        </w:rPr>
        <w:t>for</w:t>
      </w:r>
      <w:r w:rsidR="5811132B" w:rsidRPr="006F1353">
        <w:rPr>
          <w:color w:val="007586" w:themeColor="text2"/>
        </w:rPr>
        <w:t xml:space="preserve"> </w:t>
      </w:r>
      <w:r w:rsidRPr="006F1353">
        <w:rPr>
          <w:color w:val="007586" w:themeColor="text2"/>
        </w:rPr>
        <w:t>health</w:t>
      </w:r>
      <w:r w:rsidR="5811132B" w:rsidRPr="006F1353">
        <w:rPr>
          <w:color w:val="007586" w:themeColor="text2"/>
        </w:rPr>
        <w:t xml:space="preserve"> </w:t>
      </w:r>
      <w:r w:rsidRPr="006F1353">
        <w:rPr>
          <w:color w:val="007586" w:themeColor="text2"/>
        </w:rPr>
        <w:t>services</w:t>
      </w:r>
      <w:r w:rsidR="5811132B" w:rsidRPr="006F1353">
        <w:rPr>
          <w:color w:val="007586" w:themeColor="text2"/>
        </w:rPr>
        <w:t xml:space="preserve"> </w:t>
      </w:r>
      <w:r w:rsidRPr="006F1353">
        <w:rPr>
          <w:color w:val="007586" w:themeColor="text2"/>
        </w:rPr>
        <w:t>and</w:t>
      </w:r>
      <w:r w:rsidR="5811132B" w:rsidRPr="006F1353">
        <w:rPr>
          <w:color w:val="007586" w:themeColor="text2"/>
        </w:rPr>
        <w:t xml:space="preserve"> </w:t>
      </w:r>
      <w:r w:rsidRPr="006F1353">
        <w:rPr>
          <w:color w:val="007586" w:themeColor="text2"/>
        </w:rPr>
        <w:t>leaders</w:t>
      </w:r>
      <w:bookmarkEnd w:id="41"/>
      <w:r w:rsidR="5811132B" w:rsidRPr="006F1353">
        <w:rPr>
          <w:color w:val="007586" w:themeColor="text2"/>
        </w:rPr>
        <w:t xml:space="preserve"> </w:t>
      </w:r>
    </w:p>
    <w:p w14:paraId="59DA9D82" w14:textId="7181991D" w:rsidR="00472302" w:rsidRPr="00180959" w:rsidRDefault="6AF0D5F0" w:rsidP="0057201C">
      <w:pPr>
        <w:pStyle w:val="SCVbullet1"/>
      </w:pPr>
      <w:hyperlink r:id="rId80">
        <w:r w:rsidRPr="509B18F9">
          <w:rPr>
            <w:rStyle w:val="Hyperlink"/>
            <w:i/>
            <w:iCs/>
          </w:rPr>
          <w:t>Clinical</w:t>
        </w:r>
        <w:r w:rsidR="2FFC26C9" w:rsidRPr="509B18F9">
          <w:rPr>
            <w:rStyle w:val="Hyperlink"/>
            <w:i/>
            <w:iCs/>
          </w:rPr>
          <w:t xml:space="preserve"> </w:t>
        </w:r>
        <w:r w:rsidR="78832AF0" w:rsidRPr="509B18F9">
          <w:rPr>
            <w:rStyle w:val="Hyperlink"/>
            <w:i/>
            <w:iCs/>
          </w:rPr>
          <w:t>G</w:t>
        </w:r>
        <w:r w:rsidRPr="509B18F9">
          <w:rPr>
            <w:rStyle w:val="Hyperlink"/>
            <w:i/>
            <w:iCs/>
          </w:rPr>
          <w:t>overnance</w:t>
        </w:r>
        <w:r w:rsidR="2FFC26C9" w:rsidRPr="509B18F9">
          <w:rPr>
            <w:rStyle w:val="Hyperlink"/>
            <w:i/>
            <w:iCs/>
          </w:rPr>
          <w:t xml:space="preserve"> </w:t>
        </w:r>
        <w:r w:rsidR="6C245EF4" w:rsidRPr="509B18F9">
          <w:rPr>
            <w:rStyle w:val="Hyperlink"/>
            <w:i/>
            <w:iCs/>
          </w:rPr>
          <w:t>F</w:t>
        </w:r>
        <w:r w:rsidRPr="509B18F9">
          <w:rPr>
            <w:rStyle w:val="Hyperlink"/>
            <w:i/>
            <w:iCs/>
          </w:rPr>
          <w:t>ramework</w:t>
        </w:r>
      </w:hyperlink>
      <w:r w:rsidR="2FFC26C9">
        <w:t xml:space="preserve"> </w:t>
      </w:r>
      <w:r>
        <w:t>&lt;https://www.safercare.vic.gov.au/best-practice-improvement/publications/clinical-governance-framework&gt;</w:t>
      </w:r>
      <w:r w:rsidR="2FFC26C9">
        <w:t xml:space="preserve"> </w:t>
      </w:r>
    </w:p>
    <w:p w14:paraId="3DC694D6" w14:textId="3AE9BFEC" w:rsidR="00E62D7F" w:rsidRPr="00180959" w:rsidRDefault="0B61D9B0" w:rsidP="0057201C">
      <w:pPr>
        <w:pStyle w:val="SCVbullet1"/>
      </w:pPr>
      <w:hyperlink r:id="rId81">
        <w:r w:rsidRPr="509B18F9">
          <w:rPr>
            <w:rStyle w:val="Hyperlink"/>
            <w:i/>
            <w:iCs/>
          </w:rPr>
          <w:t>Victorian</w:t>
        </w:r>
        <w:r w:rsidR="2FFC26C9" w:rsidRPr="509B18F9">
          <w:rPr>
            <w:rStyle w:val="Hyperlink"/>
            <w:i/>
            <w:iCs/>
          </w:rPr>
          <w:t xml:space="preserve"> </w:t>
        </w:r>
        <w:r w:rsidR="4CF436B3" w:rsidRPr="509B18F9">
          <w:rPr>
            <w:rStyle w:val="Hyperlink"/>
            <w:i/>
            <w:iCs/>
          </w:rPr>
          <w:t>S</w:t>
        </w:r>
        <w:r w:rsidRPr="509B18F9">
          <w:rPr>
            <w:rStyle w:val="Hyperlink"/>
            <w:i/>
            <w:iCs/>
          </w:rPr>
          <w:t>afety</w:t>
        </w:r>
        <w:r w:rsidR="2FFC26C9" w:rsidRPr="509B18F9">
          <w:rPr>
            <w:rStyle w:val="Hyperlink"/>
            <w:i/>
            <w:iCs/>
          </w:rPr>
          <w:t xml:space="preserve"> </w:t>
        </w:r>
        <w:r w:rsidR="3CBC7F1E" w:rsidRPr="509B18F9">
          <w:rPr>
            <w:rStyle w:val="Hyperlink"/>
            <w:i/>
            <w:iCs/>
          </w:rPr>
          <w:t>C</w:t>
        </w:r>
        <w:r w:rsidRPr="509B18F9">
          <w:rPr>
            <w:rStyle w:val="Hyperlink"/>
            <w:i/>
            <w:iCs/>
          </w:rPr>
          <w:t>ulture</w:t>
        </w:r>
        <w:r w:rsidR="2FFC26C9" w:rsidRPr="509B18F9">
          <w:rPr>
            <w:rStyle w:val="Hyperlink"/>
            <w:i/>
            <w:iCs/>
          </w:rPr>
          <w:t xml:space="preserve"> </w:t>
        </w:r>
        <w:r w:rsidR="552D86C4" w:rsidRPr="509B18F9">
          <w:rPr>
            <w:rStyle w:val="Hyperlink"/>
            <w:i/>
            <w:iCs/>
          </w:rPr>
          <w:t>G</w:t>
        </w:r>
        <w:r w:rsidRPr="509B18F9">
          <w:rPr>
            <w:rStyle w:val="Hyperlink"/>
            <w:i/>
            <w:iCs/>
          </w:rPr>
          <w:t>uide</w:t>
        </w:r>
      </w:hyperlink>
      <w:r w:rsidR="2FFC26C9">
        <w:t xml:space="preserve"> </w:t>
      </w:r>
      <w:r w:rsidR="11959A06">
        <w:t>&lt;</w:t>
      </w:r>
      <w:r w:rsidR="513FFF6D">
        <w:t>https://www.safercare.vic.gov.au/publications/victorian-safety-culture-guide&gt;</w:t>
      </w:r>
    </w:p>
    <w:p w14:paraId="59E60DBB" w14:textId="78309701" w:rsidR="00472302" w:rsidRPr="00180959" w:rsidRDefault="6AF0D5F0" w:rsidP="0057201C">
      <w:pPr>
        <w:pStyle w:val="SCVbullet1"/>
      </w:pPr>
      <w:hyperlink r:id="rId82">
        <w:r w:rsidRPr="509B18F9">
          <w:rPr>
            <w:rStyle w:val="Hyperlink"/>
            <w:i/>
            <w:iCs/>
          </w:rPr>
          <w:t>Adverse</w:t>
        </w:r>
        <w:r w:rsidR="2FFC26C9" w:rsidRPr="509B18F9">
          <w:rPr>
            <w:rStyle w:val="Hyperlink"/>
            <w:i/>
            <w:iCs/>
          </w:rPr>
          <w:t xml:space="preserve"> </w:t>
        </w:r>
        <w:r w:rsidR="35DA6027" w:rsidRPr="509B18F9">
          <w:rPr>
            <w:rStyle w:val="Hyperlink"/>
            <w:i/>
            <w:iCs/>
          </w:rPr>
          <w:t>P</w:t>
        </w:r>
        <w:r w:rsidRPr="509B18F9">
          <w:rPr>
            <w:rStyle w:val="Hyperlink"/>
            <w:i/>
            <w:iCs/>
          </w:rPr>
          <w:t>atient</w:t>
        </w:r>
        <w:r w:rsidR="2FFC26C9" w:rsidRPr="509B18F9">
          <w:rPr>
            <w:rStyle w:val="Hyperlink"/>
            <w:i/>
            <w:iCs/>
          </w:rPr>
          <w:t xml:space="preserve"> </w:t>
        </w:r>
        <w:r w:rsidR="3D5F30B5" w:rsidRPr="509B18F9">
          <w:rPr>
            <w:rStyle w:val="Hyperlink"/>
            <w:i/>
            <w:iCs/>
          </w:rPr>
          <w:t>S</w:t>
        </w:r>
        <w:r w:rsidRPr="509B18F9">
          <w:rPr>
            <w:rStyle w:val="Hyperlink"/>
            <w:i/>
            <w:iCs/>
          </w:rPr>
          <w:t>afety</w:t>
        </w:r>
        <w:r w:rsidR="2FFC26C9" w:rsidRPr="509B18F9">
          <w:rPr>
            <w:rStyle w:val="Hyperlink"/>
            <w:i/>
            <w:iCs/>
          </w:rPr>
          <w:t xml:space="preserve"> </w:t>
        </w:r>
        <w:r w:rsidR="1F54FD8E" w:rsidRPr="509B18F9">
          <w:rPr>
            <w:rStyle w:val="Hyperlink"/>
            <w:i/>
            <w:iCs/>
          </w:rPr>
          <w:t>E</w:t>
        </w:r>
        <w:r w:rsidRPr="509B18F9">
          <w:rPr>
            <w:rStyle w:val="Hyperlink"/>
            <w:i/>
            <w:iCs/>
          </w:rPr>
          <w:t>vents</w:t>
        </w:r>
        <w:r w:rsidR="2FFC26C9" w:rsidRPr="509B18F9">
          <w:rPr>
            <w:rStyle w:val="Hyperlink"/>
            <w:i/>
            <w:iCs/>
          </w:rPr>
          <w:t xml:space="preserve"> </w:t>
        </w:r>
        <w:r w:rsidR="5F37FAB2" w:rsidRPr="509B18F9">
          <w:rPr>
            <w:rStyle w:val="Hyperlink"/>
            <w:i/>
            <w:iCs/>
          </w:rPr>
          <w:t>P</w:t>
        </w:r>
        <w:r w:rsidRPr="509B18F9">
          <w:rPr>
            <w:rStyle w:val="Hyperlink"/>
            <w:i/>
            <w:iCs/>
          </w:rPr>
          <w:t>olicy</w:t>
        </w:r>
      </w:hyperlink>
      <w:r w:rsidR="2FFC26C9">
        <w:t xml:space="preserve"> </w:t>
      </w:r>
      <w:r>
        <w:t>&lt;https://www.safercare.vic.gov.au/best-practice-improvement/publications/policy-adverse-patient-safety-events&gt;</w:t>
      </w:r>
      <w:r w:rsidR="2FFC26C9">
        <w:t xml:space="preserve"> </w:t>
      </w:r>
    </w:p>
    <w:p w14:paraId="69A9B086" w14:textId="45CB705D" w:rsidR="00472302" w:rsidRPr="00180959" w:rsidRDefault="6AF0D5F0" w:rsidP="0057201C">
      <w:pPr>
        <w:pStyle w:val="SCVbullet1"/>
      </w:pPr>
      <w:hyperlink r:id="rId83">
        <w:r w:rsidRPr="509B18F9">
          <w:rPr>
            <w:rStyle w:val="Hyperlink"/>
            <w:i/>
            <w:iCs/>
          </w:rPr>
          <w:t>Adverse</w:t>
        </w:r>
        <w:r w:rsidR="2FFC26C9" w:rsidRPr="509B18F9">
          <w:rPr>
            <w:rStyle w:val="Hyperlink"/>
            <w:i/>
            <w:iCs/>
          </w:rPr>
          <w:t xml:space="preserve"> </w:t>
        </w:r>
        <w:r w:rsidR="5D870BEF" w:rsidRPr="509B18F9">
          <w:rPr>
            <w:rStyle w:val="Hyperlink"/>
            <w:i/>
            <w:iCs/>
          </w:rPr>
          <w:t>P</w:t>
        </w:r>
        <w:r w:rsidRPr="509B18F9">
          <w:rPr>
            <w:rStyle w:val="Hyperlink"/>
            <w:i/>
            <w:iCs/>
          </w:rPr>
          <w:t>atient</w:t>
        </w:r>
        <w:r w:rsidR="2FFC26C9" w:rsidRPr="509B18F9">
          <w:rPr>
            <w:rStyle w:val="Hyperlink"/>
            <w:i/>
            <w:iCs/>
          </w:rPr>
          <w:t xml:space="preserve"> </w:t>
        </w:r>
        <w:r w:rsidR="11D84524" w:rsidRPr="509B18F9">
          <w:rPr>
            <w:rStyle w:val="Hyperlink"/>
            <w:i/>
            <w:iCs/>
          </w:rPr>
          <w:t>S</w:t>
        </w:r>
        <w:r w:rsidRPr="509B18F9">
          <w:rPr>
            <w:rStyle w:val="Hyperlink"/>
            <w:i/>
            <w:iCs/>
          </w:rPr>
          <w:t>afety</w:t>
        </w:r>
        <w:r w:rsidR="2FFC26C9" w:rsidRPr="509B18F9">
          <w:rPr>
            <w:rStyle w:val="Hyperlink"/>
            <w:i/>
            <w:iCs/>
          </w:rPr>
          <w:t xml:space="preserve"> </w:t>
        </w:r>
        <w:r w:rsidR="065A3DBE" w:rsidRPr="509B18F9">
          <w:rPr>
            <w:rStyle w:val="Hyperlink"/>
            <w:i/>
            <w:iCs/>
          </w:rPr>
          <w:t>E</w:t>
        </w:r>
        <w:r w:rsidRPr="509B18F9">
          <w:rPr>
            <w:rStyle w:val="Hyperlink"/>
            <w:i/>
            <w:iCs/>
          </w:rPr>
          <w:t>vent</w:t>
        </w:r>
        <w:r w:rsidR="2FFC26C9" w:rsidRPr="509B18F9">
          <w:rPr>
            <w:rStyle w:val="Hyperlink"/>
            <w:i/>
            <w:iCs/>
          </w:rPr>
          <w:t xml:space="preserve"> </w:t>
        </w:r>
        <w:r w:rsidR="685116F4" w:rsidRPr="509B18F9">
          <w:rPr>
            <w:rStyle w:val="Hyperlink"/>
            <w:i/>
            <w:iCs/>
          </w:rPr>
          <w:t>G</w:t>
        </w:r>
        <w:r w:rsidRPr="509B18F9">
          <w:rPr>
            <w:rStyle w:val="Hyperlink"/>
            <w:i/>
            <w:iCs/>
          </w:rPr>
          <w:t>uideline</w:t>
        </w:r>
      </w:hyperlink>
      <w:r w:rsidR="2FFC26C9">
        <w:t xml:space="preserve"> </w:t>
      </w:r>
      <w:r>
        <w:t>&lt;https://www.safercare.vic.gov.au/best-practice-improvement/publications/policy-adverse-patient-safety-events&gt;</w:t>
      </w:r>
      <w:r w:rsidR="2FFC26C9">
        <w:t xml:space="preserve"> </w:t>
      </w:r>
    </w:p>
    <w:p w14:paraId="0A9F93BA" w14:textId="724DC3D9" w:rsidR="7E230683" w:rsidRDefault="7E230683" w:rsidP="0057201C">
      <w:pPr>
        <w:pStyle w:val="SCVbullet1"/>
      </w:pPr>
      <w:hyperlink r:id="rId84" w:history="1">
        <w:r w:rsidRPr="00DA5433">
          <w:rPr>
            <w:rStyle w:val="Hyperlink"/>
          </w:rPr>
          <w:t>Falls</w:t>
        </w:r>
        <w:r w:rsidR="00824FA7" w:rsidRPr="00DA5433">
          <w:rPr>
            <w:rStyle w:val="Hyperlink"/>
          </w:rPr>
          <w:t xml:space="preserve"> </w:t>
        </w:r>
        <w:r w:rsidR="00DA5433" w:rsidRPr="00DA5433">
          <w:rPr>
            <w:rStyle w:val="Hyperlink"/>
          </w:rPr>
          <w:t>Review</w:t>
        </w:r>
        <w:r w:rsidR="00824FA7" w:rsidRPr="00DA5433">
          <w:rPr>
            <w:rStyle w:val="Hyperlink"/>
          </w:rPr>
          <w:t xml:space="preserve"> </w:t>
        </w:r>
        <w:r w:rsidRPr="00DA5433">
          <w:rPr>
            <w:rStyle w:val="Hyperlink"/>
          </w:rPr>
          <w:t>Tool</w:t>
        </w:r>
      </w:hyperlink>
      <w:r w:rsidR="00824FA7">
        <w:t xml:space="preserve"> </w:t>
      </w:r>
      <w:r w:rsidR="3035BBD7" w:rsidRPr="022B7525">
        <w:t>&lt;</w:t>
      </w:r>
      <w:r w:rsidR="00DA5433" w:rsidRPr="00AF75E0">
        <w:t>https://www.safercare.vic.gov.au/best-practice-improvement/improvement-projects/older-people-and-palliative-care/falls-review-tool-pilot-project</w:t>
      </w:r>
      <w:r w:rsidR="0C9DC7A8" w:rsidRPr="022B7525">
        <w:t>&gt;</w:t>
      </w:r>
    </w:p>
    <w:p w14:paraId="2DE5EC9B" w14:textId="3589FF31" w:rsidR="00472302" w:rsidRPr="00180959" w:rsidRDefault="00472302" w:rsidP="0057201C">
      <w:pPr>
        <w:pStyle w:val="SCVbullet1"/>
      </w:pPr>
      <w:hyperlink r:id="rId85" w:tgtFrame="_blank" w:history="1">
        <w:r w:rsidRPr="005E7DE4">
          <w:rPr>
            <w:rStyle w:val="Hyperlink"/>
            <w:i/>
            <w:iCs/>
          </w:rPr>
          <w:t>Partnering</w:t>
        </w:r>
        <w:r w:rsidR="00824FA7" w:rsidRPr="005E7DE4">
          <w:rPr>
            <w:rStyle w:val="Hyperlink"/>
            <w:i/>
            <w:iCs/>
          </w:rPr>
          <w:t xml:space="preserve"> </w:t>
        </w:r>
        <w:r w:rsidRPr="005E7DE4">
          <w:rPr>
            <w:rStyle w:val="Hyperlink"/>
            <w:i/>
            <w:iCs/>
          </w:rPr>
          <w:t>in</w:t>
        </w:r>
        <w:r w:rsidR="00824FA7" w:rsidRPr="005E7DE4">
          <w:rPr>
            <w:rStyle w:val="Hyperlink"/>
            <w:i/>
            <w:iCs/>
          </w:rPr>
          <w:t xml:space="preserve"> </w:t>
        </w:r>
        <w:r w:rsidRPr="005E7DE4">
          <w:rPr>
            <w:rStyle w:val="Hyperlink"/>
            <w:i/>
            <w:iCs/>
          </w:rPr>
          <w:t>healthcare</w:t>
        </w:r>
        <w:r w:rsidR="00824FA7" w:rsidRPr="005E7DE4">
          <w:rPr>
            <w:rStyle w:val="Hyperlink"/>
            <w:i/>
            <w:iCs/>
          </w:rPr>
          <w:t xml:space="preserve"> </w:t>
        </w:r>
        <w:r w:rsidRPr="005E7DE4">
          <w:rPr>
            <w:rStyle w:val="Hyperlink"/>
            <w:i/>
            <w:iCs/>
          </w:rPr>
          <w:t>framework</w:t>
        </w:r>
      </w:hyperlink>
      <w:r w:rsidR="00824FA7">
        <w:t xml:space="preserve"> </w:t>
      </w:r>
      <w:r w:rsidRPr="00180959">
        <w:t>&lt;https://www.safercare.vic.gov.au/publications/partnering-in-healthcare&gt;</w:t>
      </w:r>
    </w:p>
    <w:p w14:paraId="68B2CDAC" w14:textId="0C4C05CC" w:rsidR="00472302" w:rsidRPr="00180959" w:rsidRDefault="42D7235F" w:rsidP="0057201C">
      <w:pPr>
        <w:pStyle w:val="SCVbullet1"/>
      </w:pPr>
      <w:hyperlink r:id="rId86">
        <w:r w:rsidRPr="509B18F9">
          <w:rPr>
            <w:rStyle w:val="Hyperlink"/>
          </w:rPr>
          <w:t>ACSQHC sentinel events webpage</w:t>
        </w:r>
      </w:hyperlink>
      <w:r w:rsidR="2FFC26C9">
        <w:t xml:space="preserve">  </w:t>
      </w:r>
      <w:r w:rsidR="44FBBE92">
        <w:t>&lt;https://www.safetyandquality.gov.au/data-and-measurement/safety-and-quality-measures/sentinel-events&gt;</w:t>
      </w:r>
    </w:p>
    <w:p w14:paraId="2E8937BF" w14:textId="180B3437" w:rsidR="00472302" w:rsidRPr="00180959" w:rsidRDefault="6AF0D5F0" w:rsidP="0057201C">
      <w:pPr>
        <w:pStyle w:val="SCVbullet1"/>
      </w:pPr>
      <w:hyperlink r:id="rId87">
        <w:r w:rsidRPr="509B18F9">
          <w:rPr>
            <w:rStyle w:val="Hyperlink"/>
            <w:i/>
            <w:iCs/>
          </w:rPr>
          <w:t>Managing</w:t>
        </w:r>
        <w:r w:rsidR="2FFC26C9" w:rsidRPr="509B18F9">
          <w:rPr>
            <w:rStyle w:val="Hyperlink"/>
            <w:i/>
            <w:iCs/>
          </w:rPr>
          <w:t xml:space="preserve"> </w:t>
        </w:r>
        <w:r w:rsidRPr="509B18F9">
          <w:rPr>
            <w:rStyle w:val="Hyperlink"/>
            <w:i/>
            <w:iCs/>
          </w:rPr>
          <w:t>adverse</w:t>
        </w:r>
        <w:r w:rsidR="2FFC26C9" w:rsidRPr="509B18F9">
          <w:rPr>
            <w:rStyle w:val="Hyperlink"/>
            <w:i/>
            <w:iCs/>
          </w:rPr>
          <w:t xml:space="preserve"> </w:t>
        </w:r>
        <w:r w:rsidRPr="509B18F9">
          <w:rPr>
            <w:rStyle w:val="Hyperlink"/>
            <w:i/>
            <w:iCs/>
          </w:rPr>
          <w:t>event</w:t>
        </w:r>
        <w:r w:rsidR="42D7235F" w:rsidRPr="509B18F9">
          <w:rPr>
            <w:rStyle w:val="Hyperlink"/>
            <w:i/>
            <w:iCs/>
          </w:rPr>
          <w:t xml:space="preserve">s </w:t>
        </w:r>
        <w:r w:rsidR="42D7235F" w:rsidRPr="509B18F9">
          <w:rPr>
            <w:rStyle w:val="Hyperlink"/>
          </w:rPr>
          <w:t>policy and guideline</w:t>
        </w:r>
      </w:hyperlink>
      <w:r w:rsidR="2FFC26C9">
        <w:t xml:space="preserve"> </w:t>
      </w:r>
      <w:r w:rsidR="54139CE6">
        <w:t>&lt;https://www.safercare.vic.gov.au/report-manage-issues/adverse-events/policy&gt;</w:t>
      </w:r>
    </w:p>
    <w:p w14:paraId="612C6251" w14:textId="422A2C25" w:rsidR="00472302" w:rsidRPr="00180959" w:rsidRDefault="00472302" w:rsidP="0057201C">
      <w:pPr>
        <w:pStyle w:val="SCVbullet1"/>
      </w:pPr>
      <w:hyperlink r:id="rId88">
        <w:r w:rsidRPr="5EAC5C8C">
          <w:rPr>
            <w:rStyle w:val="Hyperlink"/>
          </w:rPr>
          <w:t>Guides</w:t>
        </w:r>
        <w:r w:rsidR="00824FA7" w:rsidRPr="5EAC5C8C">
          <w:rPr>
            <w:rStyle w:val="Hyperlink"/>
          </w:rPr>
          <w:t xml:space="preserve"> </w:t>
        </w:r>
        <w:r w:rsidRPr="5EAC5C8C">
          <w:rPr>
            <w:rStyle w:val="Hyperlink"/>
          </w:rPr>
          <w:t>to</w:t>
        </w:r>
        <w:r w:rsidR="00824FA7" w:rsidRPr="5EAC5C8C">
          <w:rPr>
            <w:rStyle w:val="Hyperlink"/>
          </w:rPr>
          <w:t xml:space="preserve"> </w:t>
        </w:r>
        <w:r w:rsidRPr="5EAC5C8C">
          <w:rPr>
            <w:rStyle w:val="Hyperlink"/>
          </w:rPr>
          <w:t>consumer</w:t>
        </w:r>
        <w:r w:rsidR="00824FA7" w:rsidRPr="5EAC5C8C">
          <w:rPr>
            <w:rStyle w:val="Hyperlink"/>
          </w:rPr>
          <w:t xml:space="preserve"> </w:t>
        </w:r>
        <w:r w:rsidRPr="5EAC5C8C">
          <w:rPr>
            <w:rStyle w:val="Hyperlink"/>
          </w:rPr>
          <w:t>representatives</w:t>
        </w:r>
        <w:r w:rsidR="00824FA7" w:rsidRPr="5EAC5C8C">
          <w:rPr>
            <w:rStyle w:val="Hyperlink"/>
          </w:rPr>
          <w:t xml:space="preserve"> </w:t>
        </w:r>
        <w:r w:rsidRPr="5EAC5C8C">
          <w:rPr>
            <w:rStyle w:val="Hyperlink"/>
          </w:rPr>
          <w:t>on</w:t>
        </w:r>
        <w:r w:rsidR="00824FA7" w:rsidRPr="5EAC5C8C">
          <w:rPr>
            <w:rStyle w:val="Hyperlink"/>
          </w:rPr>
          <w:t xml:space="preserve"> </w:t>
        </w:r>
        <w:r w:rsidRPr="5EAC5C8C">
          <w:rPr>
            <w:rStyle w:val="Hyperlink"/>
          </w:rPr>
          <w:t>adverse</w:t>
        </w:r>
        <w:r w:rsidR="00824FA7" w:rsidRPr="5EAC5C8C">
          <w:rPr>
            <w:rStyle w:val="Hyperlink"/>
          </w:rPr>
          <w:t xml:space="preserve"> </w:t>
        </w:r>
        <w:r w:rsidRPr="5EAC5C8C">
          <w:rPr>
            <w:rStyle w:val="Hyperlink"/>
          </w:rPr>
          <w:t>event</w:t>
        </w:r>
        <w:r w:rsidR="00824FA7" w:rsidRPr="5EAC5C8C">
          <w:rPr>
            <w:rStyle w:val="Hyperlink"/>
          </w:rPr>
          <w:t xml:space="preserve"> </w:t>
        </w:r>
        <w:r w:rsidRPr="5EAC5C8C">
          <w:rPr>
            <w:rStyle w:val="Hyperlink"/>
          </w:rPr>
          <w:t>reviews</w:t>
        </w:r>
      </w:hyperlink>
      <w:r w:rsidR="00824FA7">
        <w:t xml:space="preserve"> </w:t>
      </w:r>
      <w:r>
        <w:t>&lt;https://www.safercare.vic.gov.au/best-practice-improvement/publications/guides-to-consumer-representatives-on-adverse-event-reviews&gt;</w:t>
      </w:r>
      <w:r w:rsidR="00824FA7">
        <w:t xml:space="preserve"> </w:t>
      </w:r>
    </w:p>
    <w:p w14:paraId="0B019E20" w14:textId="054AA5D5" w:rsidR="00D221CD" w:rsidRPr="00180959" w:rsidRDefault="00D221CD" w:rsidP="0057201C">
      <w:pPr>
        <w:pStyle w:val="SCVbullet1"/>
      </w:pPr>
      <w:hyperlink r:id="rId89" w:history="1">
        <w:r w:rsidRPr="00180959">
          <w:rPr>
            <w:rStyle w:val="Hyperlink"/>
          </w:rPr>
          <w:t>Morbidity</w:t>
        </w:r>
        <w:r w:rsidR="00824FA7">
          <w:rPr>
            <w:rStyle w:val="Hyperlink"/>
          </w:rPr>
          <w:t xml:space="preserve"> </w:t>
        </w:r>
        <w:r w:rsidRPr="00180959">
          <w:rPr>
            <w:rStyle w:val="Hyperlink"/>
          </w:rPr>
          <w:t>and</w:t>
        </w:r>
        <w:r w:rsidR="00824FA7">
          <w:rPr>
            <w:rStyle w:val="Hyperlink"/>
          </w:rPr>
          <w:t xml:space="preserve"> </w:t>
        </w:r>
        <w:r w:rsidR="00DA5433">
          <w:rPr>
            <w:rStyle w:val="Hyperlink"/>
          </w:rPr>
          <w:t>m</w:t>
        </w:r>
        <w:r w:rsidRPr="00180959">
          <w:rPr>
            <w:rStyle w:val="Hyperlink"/>
          </w:rPr>
          <w:t>ortality</w:t>
        </w:r>
        <w:r w:rsidR="00824FA7">
          <w:rPr>
            <w:rStyle w:val="Hyperlink"/>
          </w:rPr>
          <w:t xml:space="preserve"> </w:t>
        </w:r>
        <w:r w:rsidR="00DA5433">
          <w:rPr>
            <w:rStyle w:val="Hyperlink"/>
          </w:rPr>
          <w:t>f</w:t>
        </w:r>
        <w:r w:rsidRPr="00180959">
          <w:rPr>
            <w:rStyle w:val="Hyperlink"/>
          </w:rPr>
          <w:t>ramework</w:t>
        </w:r>
        <w:r w:rsidR="00824FA7">
          <w:rPr>
            <w:rStyle w:val="Hyperlink"/>
          </w:rPr>
          <w:t xml:space="preserve"> </w:t>
        </w:r>
        <w:r w:rsidRPr="00180959">
          <w:rPr>
            <w:rStyle w:val="Hyperlink"/>
          </w:rPr>
          <w:t>and</w:t>
        </w:r>
        <w:r w:rsidR="00824FA7">
          <w:rPr>
            <w:rStyle w:val="Hyperlink"/>
          </w:rPr>
          <w:t xml:space="preserve"> </w:t>
        </w:r>
        <w:r w:rsidR="00DA5433">
          <w:rPr>
            <w:rStyle w:val="Hyperlink"/>
          </w:rPr>
          <w:t>t</w:t>
        </w:r>
        <w:r w:rsidRPr="00180959">
          <w:rPr>
            <w:rStyle w:val="Hyperlink"/>
          </w:rPr>
          <w:t>oolkit</w:t>
        </w:r>
      </w:hyperlink>
      <w:r w:rsidR="00824FA7">
        <w:t xml:space="preserve"> </w:t>
      </w:r>
      <w:r w:rsidRPr="00180959">
        <w:t>&lt;https://www.safercare.vic.gov.au/publications/morbidity-and-mortality-meetings-framework-and-toolkit&gt;</w:t>
      </w:r>
      <w:r w:rsidR="00824FA7">
        <w:t xml:space="preserve"> </w:t>
      </w:r>
    </w:p>
    <w:p w14:paraId="131EDB35" w14:textId="235FC836" w:rsidR="00D221CD" w:rsidRPr="00180959" w:rsidRDefault="005A39C7" w:rsidP="0057201C">
      <w:pPr>
        <w:pStyle w:val="SCVbullet1"/>
      </w:pPr>
      <w:hyperlink r:id="rId90" w:history="1">
        <w:r w:rsidRPr="1E8E3DA6">
          <w:rPr>
            <w:rStyle w:val="Hyperlink"/>
          </w:rPr>
          <w:t>Quality</w:t>
        </w:r>
        <w:r w:rsidR="00824FA7" w:rsidRPr="1E8E3DA6">
          <w:rPr>
            <w:rStyle w:val="Hyperlink"/>
          </w:rPr>
          <w:t xml:space="preserve"> </w:t>
        </w:r>
        <w:r w:rsidR="00DA5433" w:rsidRPr="1E8E3DA6">
          <w:rPr>
            <w:rStyle w:val="Hyperlink"/>
          </w:rPr>
          <w:t>i</w:t>
        </w:r>
        <w:r w:rsidRPr="1E8E3DA6">
          <w:rPr>
            <w:rStyle w:val="Hyperlink"/>
          </w:rPr>
          <w:t>mprovement</w:t>
        </w:r>
        <w:r w:rsidR="00824FA7" w:rsidRPr="1E8E3DA6">
          <w:rPr>
            <w:rStyle w:val="Hyperlink"/>
          </w:rPr>
          <w:t xml:space="preserve"> </w:t>
        </w:r>
        <w:r w:rsidR="00DA5433" w:rsidRPr="1E8E3DA6">
          <w:rPr>
            <w:rStyle w:val="Hyperlink"/>
          </w:rPr>
          <w:t>t</w:t>
        </w:r>
        <w:r w:rsidRPr="1E8E3DA6">
          <w:rPr>
            <w:rStyle w:val="Hyperlink"/>
          </w:rPr>
          <w:t>oolkit</w:t>
        </w:r>
      </w:hyperlink>
      <w:r w:rsidR="00824FA7">
        <w:t xml:space="preserve"> </w:t>
      </w:r>
      <w:r w:rsidRPr="00180959">
        <w:t>&lt;https://www.safercare.vic.gov.au/best-practice-improvement/quality-improvement/toolkit&gt;</w:t>
      </w:r>
      <w:r w:rsidR="00824FA7">
        <w:t xml:space="preserve"> </w:t>
      </w:r>
    </w:p>
    <w:p w14:paraId="6667F06B" w14:textId="5957D3B6" w:rsidR="00472302" w:rsidRPr="00180959" w:rsidRDefault="6AF0D5F0" w:rsidP="0057201C">
      <w:pPr>
        <w:pStyle w:val="SCVbullet1"/>
      </w:pPr>
      <w:hyperlink r:id="rId91" w:anchor="australian-open-disclosure-nbsp-framework">
        <w:r w:rsidRPr="509B18F9">
          <w:rPr>
            <w:rStyle w:val="Hyperlink"/>
          </w:rPr>
          <w:t>The</w:t>
        </w:r>
        <w:r w:rsidR="2FFC26C9" w:rsidRPr="509B18F9">
          <w:rPr>
            <w:rStyle w:val="Hyperlink"/>
          </w:rPr>
          <w:t xml:space="preserve"> </w:t>
        </w:r>
        <w:r w:rsidRPr="509B18F9">
          <w:rPr>
            <w:rStyle w:val="Hyperlink"/>
          </w:rPr>
          <w:t>Australian</w:t>
        </w:r>
        <w:r w:rsidR="2FFC26C9" w:rsidRPr="509B18F9">
          <w:rPr>
            <w:rStyle w:val="Hyperlink"/>
          </w:rPr>
          <w:t xml:space="preserve"> </w:t>
        </w:r>
        <w:r w:rsidR="05E35B67" w:rsidRPr="509B18F9">
          <w:rPr>
            <w:rStyle w:val="Hyperlink"/>
          </w:rPr>
          <w:t>O</w:t>
        </w:r>
        <w:r w:rsidRPr="509B18F9">
          <w:rPr>
            <w:rStyle w:val="Hyperlink"/>
          </w:rPr>
          <w:t>pen</w:t>
        </w:r>
        <w:r w:rsidR="2FFC26C9" w:rsidRPr="509B18F9">
          <w:rPr>
            <w:rStyle w:val="Hyperlink"/>
          </w:rPr>
          <w:t xml:space="preserve"> </w:t>
        </w:r>
        <w:r w:rsidR="7C216702" w:rsidRPr="509B18F9">
          <w:rPr>
            <w:rStyle w:val="Hyperlink"/>
          </w:rPr>
          <w:t>D</w:t>
        </w:r>
        <w:r w:rsidRPr="509B18F9">
          <w:rPr>
            <w:rStyle w:val="Hyperlink"/>
          </w:rPr>
          <w:t>isclosure</w:t>
        </w:r>
        <w:r w:rsidR="2FFC26C9" w:rsidRPr="509B18F9">
          <w:rPr>
            <w:rStyle w:val="Hyperlink"/>
          </w:rPr>
          <w:t xml:space="preserve"> </w:t>
        </w:r>
        <w:r w:rsidR="777CA73D" w:rsidRPr="509B18F9">
          <w:rPr>
            <w:rStyle w:val="Hyperlink"/>
          </w:rPr>
          <w:t>F</w:t>
        </w:r>
        <w:r w:rsidRPr="509B18F9">
          <w:rPr>
            <w:rStyle w:val="Hyperlink"/>
          </w:rPr>
          <w:t>ramework</w:t>
        </w:r>
      </w:hyperlink>
      <w:r w:rsidR="2FFC26C9">
        <w:t xml:space="preserve"> </w:t>
      </w:r>
      <w:r>
        <w:t>&lt;https://www.safetyandquality.gov.au/our-work/open-disclosure/the-open-disclosure-framework#australian-open-disclosure-nbsp-framework&gt;</w:t>
      </w:r>
      <w:r w:rsidR="2FFC26C9">
        <w:t xml:space="preserve"> </w:t>
      </w:r>
    </w:p>
    <w:p w14:paraId="3C7F369A" w14:textId="5CB91FEA" w:rsidR="00472302" w:rsidRPr="00180959" w:rsidRDefault="6AF0D5F0" w:rsidP="0057201C">
      <w:pPr>
        <w:pStyle w:val="SCVbullet1"/>
      </w:pPr>
      <w:hyperlink r:id="rId92">
        <w:r w:rsidRPr="509B18F9">
          <w:rPr>
            <w:rStyle w:val="Hyperlink"/>
          </w:rPr>
          <w:t>Online</w:t>
        </w:r>
        <w:r w:rsidR="2FFC26C9" w:rsidRPr="509B18F9">
          <w:rPr>
            <w:rStyle w:val="Hyperlink"/>
          </w:rPr>
          <w:t xml:space="preserve"> </w:t>
        </w:r>
        <w:r w:rsidRPr="509B18F9">
          <w:rPr>
            <w:rStyle w:val="Hyperlink"/>
          </w:rPr>
          <w:t>training</w:t>
        </w:r>
        <w:r w:rsidR="2FFC26C9" w:rsidRPr="509B18F9">
          <w:rPr>
            <w:rStyle w:val="Hyperlink"/>
          </w:rPr>
          <w:t xml:space="preserve"> </w:t>
        </w:r>
        <w:r w:rsidRPr="509B18F9">
          <w:rPr>
            <w:rStyle w:val="Hyperlink"/>
          </w:rPr>
          <w:t>modules</w:t>
        </w:r>
        <w:r w:rsidR="783CA22B" w:rsidRPr="509B18F9">
          <w:rPr>
            <w:rStyle w:val="Hyperlink"/>
          </w:rPr>
          <w:t>:</w:t>
        </w:r>
        <w:r w:rsidR="2FFC26C9" w:rsidRPr="509B18F9">
          <w:rPr>
            <w:rStyle w:val="Hyperlink"/>
          </w:rPr>
          <w:t xml:space="preserve"> </w:t>
        </w:r>
        <w:r w:rsidRPr="509B18F9">
          <w:rPr>
            <w:rStyle w:val="Hyperlink"/>
          </w:rPr>
          <w:t>SDC</w:t>
        </w:r>
      </w:hyperlink>
      <w:r w:rsidR="2FFC26C9">
        <w:t xml:space="preserve"> </w:t>
      </w:r>
      <w:r>
        <w:t>&lt;</w:t>
      </w:r>
      <w:r w:rsidR="1C733E82" w:rsidRPr="509B18F9">
        <w:rPr>
          <w:lang w:val="en-US"/>
        </w:rPr>
        <w:t>https://www.safercare.vic.gov.au/report-manage-issues/adverse-events/duty-of-candour</w:t>
      </w:r>
      <w:r w:rsidRPr="509B18F9">
        <w:rPr>
          <w:lang w:val="en-US"/>
        </w:rPr>
        <w:t>&gt;</w:t>
      </w:r>
      <w:r w:rsidR="2FFC26C9">
        <w:t xml:space="preserve"> </w:t>
      </w:r>
    </w:p>
    <w:p w14:paraId="7FF4BD65" w14:textId="20AD081A" w:rsidR="00472302" w:rsidRPr="00180959" w:rsidRDefault="6AF0D5F0" w:rsidP="0057201C">
      <w:pPr>
        <w:pStyle w:val="SCVbullet1"/>
      </w:pPr>
      <w:hyperlink r:id="rId93">
        <w:r w:rsidRPr="509B18F9">
          <w:rPr>
            <w:rStyle w:val="Hyperlink"/>
          </w:rPr>
          <w:t>About</w:t>
        </w:r>
        <w:r w:rsidR="2FFC26C9" w:rsidRPr="509B18F9">
          <w:rPr>
            <w:rStyle w:val="Hyperlink"/>
          </w:rPr>
          <w:t xml:space="preserve"> </w:t>
        </w:r>
        <w:r w:rsidRPr="509B18F9">
          <w:rPr>
            <w:rStyle w:val="Hyperlink"/>
          </w:rPr>
          <w:t>the</w:t>
        </w:r>
        <w:r w:rsidR="2FFC26C9" w:rsidRPr="509B18F9">
          <w:rPr>
            <w:rStyle w:val="Hyperlink"/>
          </w:rPr>
          <w:t xml:space="preserve"> </w:t>
        </w:r>
        <w:r w:rsidRPr="509B18F9">
          <w:rPr>
            <w:rStyle w:val="Hyperlink"/>
          </w:rPr>
          <w:t>sentinel</w:t>
        </w:r>
        <w:r w:rsidR="2FFC26C9" w:rsidRPr="509B18F9">
          <w:rPr>
            <w:rStyle w:val="Hyperlink"/>
          </w:rPr>
          <w:t xml:space="preserve"> </w:t>
        </w:r>
        <w:r w:rsidRPr="509B18F9">
          <w:rPr>
            <w:rStyle w:val="Hyperlink"/>
          </w:rPr>
          <w:t>events</w:t>
        </w:r>
        <w:r w:rsidR="2FFC26C9" w:rsidRPr="509B18F9">
          <w:rPr>
            <w:rStyle w:val="Hyperlink"/>
          </w:rPr>
          <w:t xml:space="preserve"> </w:t>
        </w:r>
        <w:r w:rsidRPr="509B18F9">
          <w:rPr>
            <w:rStyle w:val="Hyperlink"/>
          </w:rPr>
          <w:t>portal</w:t>
        </w:r>
      </w:hyperlink>
      <w:r w:rsidR="2FFC26C9">
        <w:t xml:space="preserve"> </w:t>
      </w:r>
      <w:r>
        <w:t>&lt;</w:t>
      </w:r>
      <w:r w:rsidR="16C96FA7" w:rsidRPr="509B18F9">
        <w:rPr>
          <w:lang w:val="en-US"/>
        </w:rPr>
        <w:t>https://www.safercare.vic.gov.au/report-manage-issues/about-the-sentinel-events-portal</w:t>
      </w:r>
      <w:r w:rsidRPr="509B18F9">
        <w:rPr>
          <w:lang w:val="en-US"/>
        </w:rPr>
        <w:t>&gt;</w:t>
      </w:r>
      <w:r w:rsidR="2FFC26C9">
        <w:t xml:space="preserve"> </w:t>
      </w:r>
    </w:p>
    <w:p w14:paraId="6B12DA47" w14:textId="514D76A2" w:rsidR="00472302" w:rsidRPr="00180959" w:rsidRDefault="00472302" w:rsidP="0057201C">
      <w:pPr>
        <w:pStyle w:val="SCVbullet1"/>
      </w:pPr>
      <w:hyperlink r:id="rId94" w:tgtFrame="_blank" w:history="1">
        <w:r w:rsidRPr="00180959">
          <w:rPr>
            <w:rStyle w:val="Hyperlink"/>
          </w:rPr>
          <w:t>Just</w:t>
        </w:r>
        <w:r w:rsidR="00824FA7">
          <w:rPr>
            <w:rStyle w:val="Hyperlink"/>
          </w:rPr>
          <w:t xml:space="preserve"> </w:t>
        </w:r>
        <w:r w:rsidR="00DA5433" w:rsidRPr="1E8E3DA6">
          <w:rPr>
            <w:rStyle w:val="Hyperlink"/>
          </w:rPr>
          <w:t>c</w:t>
        </w:r>
        <w:r w:rsidRPr="1E8E3DA6">
          <w:rPr>
            <w:rStyle w:val="Hyperlink"/>
          </w:rPr>
          <w:t>ulture</w:t>
        </w:r>
        <w:r w:rsidR="00824FA7">
          <w:rPr>
            <w:rStyle w:val="Hyperlink"/>
          </w:rPr>
          <w:t xml:space="preserve"> </w:t>
        </w:r>
        <w:r w:rsidRPr="00180959">
          <w:rPr>
            <w:rStyle w:val="Hyperlink"/>
          </w:rPr>
          <w:t>resources</w:t>
        </w:r>
      </w:hyperlink>
      <w:r w:rsidR="00824FA7">
        <w:t xml:space="preserve"> </w:t>
      </w:r>
      <w:r w:rsidRPr="00180959">
        <w:t>&lt;https://www.safercare.vic.gov.au/report-manage-issues/sentinel-events/adverse-event-review-and-response/just-culture-training-and-resources&gt;</w:t>
      </w:r>
      <w:r w:rsidR="00824FA7">
        <w:t xml:space="preserve"> </w:t>
      </w:r>
    </w:p>
    <w:p w14:paraId="4D4CC91B" w14:textId="362CDCE9" w:rsidR="00472302" w:rsidRDefault="00472302" w:rsidP="0057201C">
      <w:pPr>
        <w:pStyle w:val="SCVbullet1"/>
      </w:pPr>
      <w:hyperlink r:id="rId95" w:tgtFrame="_blank" w:history="1">
        <w:r w:rsidRPr="00180959">
          <w:rPr>
            <w:rStyle w:val="Hyperlink"/>
          </w:rPr>
          <w:t>Thematic</w:t>
        </w:r>
        <w:r w:rsidR="00824FA7">
          <w:rPr>
            <w:rStyle w:val="Hyperlink"/>
          </w:rPr>
          <w:t xml:space="preserve"> </w:t>
        </w:r>
        <w:r w:rsidRPr="00180959">
          <w:rPr>
            <w:rStyle w:val="Hyperlink"/>
          </w:rPr>
          <w:t>interrogation</w:t>
        </w:r>
        <w:r w:rsidR="00824FA7">
          <w:rPr>
            <w:rStyle w:val="Hyperlink"/>
          </w:rPr>
          <w:t xml:space="preserve"> </w:t>
        </w:r>
        <w:r w:rsidRPr="00180959">
          <w:rPr>
            <w:rStyle w:val="Hyperlink"/>
          </w:rPr>
          <w:t>of</w:t>
        </w:r>
        <w:r w:rsidR="00824FA7">
          <w:rPr>
            <w:rStyle w:val="Hyperlink"/>
          </w:rPr>
          <w:t xml:space="preserve"> </w:t>
        </w:r>
        <w:r w:rsidRPr="00180959">
          <w:rPr>
            <w:rStyle w:val="Hyperlink"/>
          </w:rPr>
          <w:t>patient</w:t>
        </w:r>
        <w:r w:rsidR="00824FA7">
          <w:rPr>
            <w:rStyle w:val="Hyperlink"/>
          </w:rPr>
          <w:t xml:space="preserve"> </w:t>
        </w:r>
        <w:r w:rsidRPr="00180959">
          <w:rPr>
            <w:rStyle w:val="Hyperlink"/>
          </w:rPr>
          <w:t>complaints</w:t>
        </w:r>
        <w:r w:rsidR="00824FA7">
          <w:rPr>
            <w:rStyle w:val="Hyperlink"/>
          </w:rPr>
          <w:t xml:space="preserve"> </w:t>
        </w:r>
        <w:r w:rsidRPr="00180959">
          <w:rPr>
            <w:rStyle w:val="Hyperlink"/>
          </w:rPr>
          <w:t>in</w:t>
        </w:r>
        <w:r w:rsidR="00824FA7">
          <w:rPr>
            <w:rStyle w:val="Hyperlink"/>
          </w:rPr>
          <w:t xml:space="preserve"> </w:t>
        </w:r>
        <w:r w:rsidRPr="00180959">
          <w:rPr>
            <w:rStyle w:val="Hyperlink"/>
          </w:rPr>
          <w:t>Victoria</w:t>
        </w:r>
      </w:hyperlink>
      <w:r w:rsidR="00824FA7">
        <w:t xml:space="preserve"> </w:t>
      </w:r>
      <w:r w:rsidRPr="00180959">
        <w:t>&lt;https://www.safercare.vic.gov.au/best-practice-improvement/publications/thematic-interrogation-of-patient-complaints-in-the-state-of-victoria&gt;</w:t>
      </w:r>
      <w:r w:rsidR="00824FA7">
        <w:t xml:space="preserve"> </w:t>
      </w:r>
    </w:p>
    <w:p w14:paraId="121C9B98" w14:textId="4B51F97C" w:rsidR="0086081E" w:rsidRPr="00180959" w:rsidRDefault="0086081E" w:rsidP="0057201C">
      <w:pPr>
        <w:pStyle w:val="SCVbullet1"/>
      </w:pPr>
      <w:hyperlink r:id="rId96">
        <w:r w:rsidRPr="28EDB995">
          <w:rPr>
            <w:rStyle w:val="Hyperlink"/>
            <w:rFonts w:ascii="Arial" w:hAnsi="Arial" w:cs="Arial"/>
          </w:rPr>
          <w:t>Maternal and Child Health (MCH) Systems Focused Review Tool</w:t>
        </w:r>
      </w:hyperlink>
      <w:r w:rsidRPr="28EDB995">
        <w:rPr>
          <w:rFonts w:ascii="Arial" w:hAnsi="Arial" w:cs="Arial"/>
        </w:rPr>
        <w:t xml:space="preserve"> and </w:t>
      </w:r>
      <w:hyperlink r:id="rId97">
        <w:r w:rsidRPr="28EDB995">
          <w:rPr>
            <w:rStyle w:val="Hyperlink"/>
            <w:rFonts w:ascii="Arial" w:hAnsi="Arial" w:cs="Arial"/>
          </w:rPr>
          <w:t>MCH Systems Focused Review Tool</w:t>
        </w:r>
        <w:r w:rsidR="006D014B">
          <w:rPr>
            <w:rStyle w:val="Hyperlink"/>
            <w:rFonts w:ascii="Arial" w:hAnsi="Arial" w:cs="Arial"/>
          </w:rPr>
          <w:t xml:space="preserve"> – </w:t>
        </w:r>
        <w:r w:rsidRPr="28EDB995">
          <w:rPr>
            <w:rStyle w:val="Hyperlink"/>
            <w:rFonts w:ascii="Arial" w:hAnsi="Arial" w:cs="Arial"/>
          </w:rPr>
          <w:t>Guidance</w:t>
        </w:r>
      </w:hyperlink>
      <w:r>
        <w:t xml:space="preserve"> &lt;</w:t>
      </w:r>
      <w:r w:rsidRPr="0086081E">
        <w:t>https://www.safercare.vic.gov.au/publications/mch-systems-focused-review-tool</w:t>
      </w:r>
      <w:r>
        <w:t>&gt;</w:t>
      </w:r>
    </w:p>
    <w:p w14:paraId="15CBFFA1" w14:textId="7D9B8793" w:rsidR="00472302" w:rsidRPr="006F1353" w:rsidRDefault="4698FAFD" w:rsidP="00834EF2">
      <w:pPr>
        <w:pStyle w:val="Heading2"/>
        <w:rPr>
          <w:color w:val="007586" w:themeColor="text2"/>
        </w:rPr>
      </w:pPr>
      <w:bookmarkStart w:id="42" w:name="_Toc238026654"/>
      <w:r w:rsidRPr="006F1353">
        <w:rPr>
          <w:color w:val="007586" w:themeColor="text2"/>
        </w:rPr>
        <w:t>Resources</w:t>
      </w:r>
      <w:r w:rsidR="5811132B" w:rsidRPr="006F1353">
        <w:rPr>
          <w:color w:val="007586" w:themeColor="text2"/>
        </w:rPr>
        <w:t xml:space="preserve"> </w:t>
      </w:r>
      <w:r w:rsidRPr="006F1353">
        <w:rPr>
          <w:color w:val="007586" w:themeColor="text2"/>
        </w:rPr>
        <w:t>for</w:t>
      </w:r>
      <w:r w:rsidR="5811132B" w:rsidRPr="006F1353">
        <w:rPr>
          <w:color w:val="007586" w:themeColor="text2"/>
        </w:rPr>
        <w:t xml:space="preserve"> </w:t>
      </w:r>
      <w:r w:rsidRPr="006F1353">
        <w:rPr>
          <w:color w:val="007586" w:themeColor="text2"/>
        </w:rPr>
        <w:t>patients,</w:t>
      </w:r>
      <w:r w:rsidR="5811132B" w:rsidRPr="006F1353">
        <w:rPr>
          <w:color w:val="007586" w:themeColor="text2"/>
        </w:rPr>
        <w:t xml:space="preserve"> </w:t>
      </w:r>
      <w:r w:rsidRPr="006F1353">
        <w:rPr>
          <w:color w:val="007586" w:themeColor="text2"/>
        </w:rPr>
        <w:t>families</w:t>
      </w:r>
      <w:r w:rsidR="5811132B" w:rsidRPr="006F1353">
        <w:rPr>
          <w:color w:val="007586" w:themeColor="text2"/>
        </w:rPr>
        <w:t xml:space="preserve"> </w:t>
      </w:r>
      <w:r w:rsidRPr="006F1353">
        <w:rPr>
          <w:color w:val="007586" w:themeColor="text2"/>
        </w:rPr>
        <w:t>and</w:t>
      </w:r>
      <w:r w:rsidR="5811132B" w:rsidRPr="006F1353">
        <w:rPr>
          <w:color w:val="007586" w:themeColor="text2"/>
        </w:rPr>
        <w:t xml:space="preserve"> </w:t>
      </w:r>
      <w:r w:rsidRPr="006F1353">
        <w:rPr>
          <w:color w:val="007586" w:themeColor="text2"/>
        </w:rPr>
        <w:t>carers</w:t>
      </w:r>
      <w:bookmarkEnd w:id="42"/>
      <w:r w:rsidR="5811132B" w:rsidRPr="006F1353">
        <w:rPr>
          <w:color w:val="007586" w:themeColor="text2"/>
        </w:rPr>
        <w:t xml:space="preserve"> </w:t>
      </w:r>
    </w:p>
    <w:p w14:paraId="4E1A8FC4" w14:textId="00D67CA6" w:rsidR="00472302" w:rsidRPr="00180959" w:rsidRDefault="00472302" w:rsidP="0057201C">
      <w:pPr>
        <w:pStyle w:val="SCVbullet1"/>
      </w:pPr>
      <w:hyperlink r:id="rId98" w:tgtFrame="_blank" w:history="1">
        <w:r w:rsidRPr="00180959">
          <w:rPr>
            <w:rStyle w:val="Hyperlink"/>
          </w:rPr>
          <w:t>What</w:t>
        </w:r>
        <w:r w:rsidR="00824FA7">
          <w:rPr>
            <w:rStyle w:val="Hyperlink"/>
          </w:rPr>
          <w:t xml:space="preserve"> </w:t>
        </w:r>
        <w:r w:rsidRPr="00180959">
          <w:rPr>
            <w:rStyle w:val="Hyperlink"/>
          </w:rPr>
          <w:t>are</w:t>
        </w:r>
        <w:r w:rsidR="00824FA7">
          <w:rPr>
            <w:rStyle w:val="Hyperlink"/>
          </w:rPr>
          <w:t xml:space="preserve"> </w:t>
        </w:r>
        <w:r w:rsidRPr="00180959">
          <w:rPr>
            <w:rStyle w:val="Hyperlink"/>
          </w:rPr>
          <w:t>adverse</w:t>
        </w:r>
        <w:r w:rsidR="00824FA7">
          <w:rPr>
            <w:rStyle w:val="Hyperlink"/>
          </w:rPr>
          <w:t xml:space="preserve"> </w:t>
        </w:r>
        <w:r w:rsidRPr="00180959">
          <w:rPr>
            <w:rStyle w:val="Hyperlink"/>
          </w:rPr>
          <w:t>and</w:t>
        </w:r>
        <w:r w:rsidR="00824FA7">
          <w:rPr>
            <w:rStyle w:val="Hyperlink"/>
          </w:rPr>
          <w:t xml:space="preserve"> </w:t>
        </w:r>
        <w:r w:rsidRPr="00180959">
          <w:rPr>
            <w:rStyle w:val="Hyperlink"/>
          </w:rPr>
          <w:t>sentinel</w:t>
        </w:r>
        <w:r w:rsidR="00824FA7">
          <w:rPr>
            <w:rStyle w:val="Hyperlink"/>
          </w:rPr>
          <w:t xml:space="preserve"> </w:t>
        </w:r>
        <w:r w:rsidRPr="00180959">
          <w:rPr>
            <w:rStyle w:val="Hyperlink"/>
          </w:rPr>
          <w:t>events?</w:t>
        </w:r>
      </w:hyperlink>
      <w:r w:rsidR="00824FA7">
        <w:t xml:space="preserve"> </w:t>
      </w:r>
      <w:r w:rsidRPr="00180959">
        <w:t>&lt;https://www.safercare.vic.gov.au/consumer-resources/what-adverse-sentinel-events&gt;</w:t>
      </w:r>
      <w:r w:rsidR="00824FA7">
        <w:t xml:space="preserve"> </w:t>
      </w:r>
    </w:p>
    <w:p w14:paraId="6C0A2898" w14:textId="1D9F6F06" w:rsidR="00472302" w:rsidRPr="00180959" w:rsidRDefault="00472302" w:rsidP="0057201C">
      <w:pPr>
        <w:pStyle w:val="SCVbullet1"/>
      </w:pPr>
      <w:hyperlink r:id="rId99" w:tgtFrame="_blank" w:history="1">
        <w:r w:rsidRPr="00180959">
          <w:rPr>
            <w:rStyle w:val="Hyperlink"/>
          </w:rPr>
          <w:t>Resources</w:t>
        </w:r>
        <w:r w:rsidR="00824FA7">
          <w:rPr>
            <w:rStyle w:val="Hyperlink"/>
          </w:rPr>
          <w:t xml:space="preserve"> </w:t>
        </w:r>
        <w:r w:rsidRPr="00180959">
          <w:rPr>
            <w:rStyle w:val="Hyperlink"/>
          </w:rPr>
          <w:t>for</w:t>
        </w:r>
        <w:r w:rsidR="00824FA7">
          <w:rPr>
            <w:rStyle w:val="Hyperlink"/>
          </w:rPr>
          <w:t xml:space="preserve"> </w:t>
        </w:r>
        <w:r w:rsidRPr="00180959">
          <w:rPr>
            <w:rStyle w:val="Hyperlink"/>
          </w:rPr>
          <w:t>involving</w:t>
        </w:r>
        <w:r w:rsidR="00824FA7">
          <w:rPr>
            <w:rStyle w:val="Hyperlink"/>
          </w:rPr>
          <w:t xml:space="preserve"> </w:t>
        </w:r>
        <w:r w:rsidRPr="00180959">
          <w:rPr>
            <w:rStyle w:val="Hyperlink"/>
          </w:rPr>
          <w:t>impacted</w:t>
        </w:r>
        <w:r w:rsidR="00824FA7">
          <w:rPr>
            <w:rStyle w:val="Hyperlink"/>
          </w:rPr>
          <w:t xml:space="preserve"> </w:t>
        </w:r>
        <w:r w:rsidRPr="00180959">
          <w:rPr>
            <w:rStyle w:val="Hyperlink"/>
          </w:rPr>
          <w:t>consumers</w:t>
        </w:r>
      </w:hyperlink>
      <w:r w:rsidR="00824FA7">
        <w:t xml:space="preserve"> </w:t>
      </w:r>
      <w:r w:rsidRPr="00180959">
        <w:t>&lt;https://www.safercare.vic.gov.au/report-manage-issues/sentinel-events/adverse-event-review-and-response/resources-for-involving-impacted-consumers&gt;</w:t>
      </w:r>
      <w:r w:rsidR="00824FA7">
        <w:t xml:space="preserve"> </w:t>
      </w:r>
    </w:p>
    <w:p w14:paraId="5CC4399E" w14:textId="11D87803" w:rsidR="00472302" w:rsidRPr="00180959" w:rsidRDefault="00472302" w:rsidP="0057201C">
      <w:pPr>
        <w:pStyle w:val="SCVbullet1"/>
      </w:pPr>
      <w:hyperlink r:id="rId100" w:tgtFrame="_blank" w:history="1">
        <w:r w:rsidRPr="00180959">
          <w:rPr>
            <w:rStyle w:val="Hyperlink"/>
          </w:rPr>
          <w:t>Guides</w:t>
        </w:r>
        <w:r w:rsidR="00824FA7">
          <w:rPr>
            <w:rStyle w:val="Hyperlink"/>
          </w:rPr>
          <w:t xml:space="preserve"> </w:t>
        </w:r>
        <w:r w:rsidRPr="00180959">
          <w:rPr>
            <w:rStyle w:val="Hyperlink"/>
          </w:rPr>
          <w:t>to</w:t>
        </w:r>
        <w:r w:rsidR="00824FA7">
          <w:rPr>
            <w:rStyle w:val="Hyperlink"/>
          </w:rPr>
          <w:t xml:space="preserve"> </w:t>
        </w:r>
        <w:r w:rsidRPr="00180959">
          <w:rPr>
            <w:rStyle w:val="Hyperlink"/>
          </w:rPr>
          <w:t>consumer</w:t>
        </w:r>
        <w:r w:rsidR="00824FA7">
          <w:rPr>
            <w:rStyle w:val="Hyperlink"/>
          </w:rPr>
          <w:t xml:space="preserve"> </w:t>
        </w:r>
        <w:r w:rsidRPr="00180959">
          <w:rPr>
            <w:rStyle w:val="Hyperlink"/>
          </w:rPr>
          <w:t>representatives</w:t>
        </w:r>
        <w:r w:rsidR="00824FA7">
          <w:rPr>
            <w:rStyle w:val="Hyperlink"/>
          </w:rPr>
          <w:t xml:space="preserve"> </w:t>
        </w:r>
        <w:r w:rsidRPr="00180959">
          <w:rPr>
            <w:rStyle w:val="Hyperlink"/>
          </w:rPr>
          <w:t>on</w:t>
        </w:r>
        <w:r w:rsidR="00824FA7">
          <w:rPr>
            <w:rStyle w:val="Hyperlink"/>
          </w:rPr>
          <w:t xml:space="preserve"> </w:t>
        </w:r>
        <w:r w:rsidRPr="00180959">
          <w:rPr>
            <w:rStyle w:val="Hyperlink"/>
          </w:rPr>
          <w:t>adverse</w:t>
        </w:r>
        <w:r w:rsidR="00824FA7">
          <w:rPr>
            <w:rStyle w:val="Hyperlink"/>
          </w:rPr>
          <w:t xml:space="preserve"> </w:t>
        </w:r>
        <w:r w:rsidRPr="00180959">
          <w:rPr>
            <w:rStyle w:val="Hyperlink"/>
          </w:rPr>
          <w:t>event</w:t>
        </w:r>
        <w:r w:rsidR="00824FA7">
          <w:rPr>
            <w:rStyle w:val="Hyperlink"/>
          </w:rPr>
          <w:t xml:space="preserve"> </w:t>
        </w:r>
        <w:r w:rsidRPr="00180959">
          <w:rPr>
            <w:rStyle w:val="Hyperlink"/>
          </w:rPr>
          <w:t>reviews</w:t>
        </w:r>
      </w:hyperlink>
      <w:r w:rsidR="00824FA7">
        <w:t xml:space="preserve"> </w:t>
      </w:r>
      <w:r w:rsidRPr="00180959">
        <w:t>&lt;https://www.safercare.vic.gov.au/best-practice-improvement/publications/guides-to-consumer-representatives-on-adverse-event-reviews&gt;</w:t>
      </w:r>
      <w:r w:rsidR="00824FA7">
        <w:t xml:space="preserve"> </w:t>
      </w:r>
    </w:p>
    <w:p w14:paraId="6EE3398A" w14:textId="09718F45" w:rsidR="00472302" w:rsidRDefault="00472302" w:rsidP="0057201C">
      <w:pPr>
        <w:pStyle w:val="SCVbullet1"/>
      </w:pPr>
      <w:hyperlink r:id="rId101">
        <w:r w:rsidRPr="1F4C26DF">
          <w:rPr>
            <w:rStyle w:val="Hyperlink"/>
          </w:rPr>
          <w:t>Duty</w:t>
        </w:r>
        <w:r w:rsidR="00824FA7" w:rsidRPr="1F4C26DF">
          <w:rPr>
            <w:rStyle w:val="Hyperlink"/>
          </w:rPr>
          <w:t xml:space="preserve"> </w:t>
        </w:r>
        <w:r w:rsidRPr="1F4C26DF">
          <w:rPr>
            <w:rStyle w:val="Hyperlink"/>
          </w:rPr>
          <w:t>of</w:t>
        </w:r>
        <w:r w:rsidR="00824FA7" w:rsidRPr="1F4C26DF">
          <w:rPr>
            <w:rStyle w:val="Hyperlink"/>
          </w:rPr>
          <w:t xml:space="preserve"> </w:t>
        </w:r>
        <w:r w:rsidR="00DA5433" w:rsidRPr="1F4C26DF">
          <w:rPr>
            <w:rStyle w:val="Hyperlink"/>
          </w:rPr>
          <w:t>c</w:t>
        </w:r>
        <w:r w:rsidRPr="1F4C26DF">
          <w:rPr>
            <w:rStyle w:val="Hyperlink"/>
          </w:rPr>
          <w:t>andour</w:t>
        </w:r>
        <w:r w:rsidR="00824FA7" w:rsidRPr="1F4C26DF">
          <w:rPr>
            <w:rStyle w:val="Hyperlink"/>
          </w:rPr>
          <w:t xml:space="preserve"> </w:t>
        </w:r>
        <w:r w:rsidRPr="1F4C26DF">
          <w:rPr>
            <w:rStyle w:val="Hyperlink"/>
          </w:rPr>
          <w:t>resources</w:t>
        </w:r>
        <w:r w:rsidR="00824FA7" w:rsidRPr="1F4C26DF">
          <w:rPr>
            <w:rStyle w:val="Hyperlink"/>
          </w:rPr>
          <w:t xml:space="preserve"> </w:t>
        </w:r>
        <w:r w:rsidRPr="1F4C26DF">
          <w:rPr>
            <w:rStyle w:val="Hyperlink"/>
          </w:rPr>
          <w:t>for</w:t>
        </w:r>
        <w:r w:rsidR="00824FA7" w:rsidRPr="1F4C26DF">
          <w:rPr>
            <w:rStyle w:val="Hyperlink"/>
          </w:rPr>
          <w:t xml:space="preserve"> </w:t>
        </w:r>
        <w:r w:rsidRPr="1F4C26DF">
          <w:rPr>
            <w:rStyle w:val="Hyperlink"/>
          </w:rPr>
          <w:t>patients,</w:t>
        </w:r>
        <w:r w:rsidR="00824FA7" w:rsidRPr="1F4C26DF">
          <w:rPr>
            <w:rStyle w:val="Hyperlink"/>
          </w:rPr>
          <w:t xml:space="preserve"> </w:t>
        </w:r>
        <w:r w:rsidRPr="1F4C26DF">
          <w:rPr>
            <w:rStyle w:val="Hyperlink"/>
          </w:rPr>
          <w:t>families</w:t>
        </w:r>
        <w:r w:rsidR="00824FA7" w:rsidRPr="1F4C26DF">
          <w:rPr>
            <w:rStyle w:val="Hyperlink"/>
          </w:rPr>
          <w:t xml:space="preserve"> </w:t>
        </w:r>
        <w:r w:rsidRPr="1F4C26DF">
          <w:rPr>
            <w:rStyle w:val="Hyperlink"/>
          </w:rPr>
          <w:t>and</w:t>
        </w:r>
        <w:r w:rsidR="00824FA7" w:rsidRPr="1F4C26DF">
          <w:rPr>
            <w:rStyle w:val="Hyperlink"/>
          </w:rPr>
          <w:t xml:space="preserve"> </w:t>
        </w:r>
        <w:r w:rsidRPr="1F4C26DF">
          <w:rPr>
            <w:rStyle w:val="Hyperlink"/>
          </w:rPr>
          <w:t>their</w:t>
        </w:r>
        <w:r w:rsidR="00824FA7" w:rsidRPr="1F4C26DF">
          <w:rPr>
            <w:rStyle w:val="Hyperlink"/>
          </w:rPr>
          <w:t xml:space="preserve"> </w:t>
        </w:r>
        <w:r w:rsidRPr="1F4C26DF">
          <w:rPr>
            <w:rStyle w:val="Hyperlink"/>
          </w:rPr>
          <w:t>carers</w:t>
        </w:r>
      </w:hyperlink>
      <w:r w:rsidR="00824FA7">
        <w:t xml:space="preserve"> </w:t>
      </w:r>
      <w:r>
        <w:t>&lt;https://www.safercare.vic.gov.au/consumer-resources/duty-of-candour-resources-for-patients-families-and-their-carers&gt;</w:t>
      </w:r>
      <w:r w:rsidR="00824FA7">
        <w:t xml:space="preserve"> </w:t>
      </w:r>
    </w:p>
    <w:p w14:paraId="006985BA" w14:textId="5139AD97" w:rsidR="00A93BC8" w:rsidRPr="00E712E6" w:rsidRDefault="00A93BC8" w:rsidP="0057201C">
      <w:pPr>
        <w:pStyle w:val="SCVbullet1"/>
      </w:pPr>
      <w:hyperlink r:id="rId102">
        <w:r w:rsidRPr="50870C46">
          <w:rPr>
            <w:rStyle w:val="cf01"/>
            <w:rFonts w:asciiTheme="minorHAnsi" w:hAnsiTheme="minorHAnsi" w:cstheme="minorBidi"/>
            <w:color w:val="004C97" w:themeColor="accent4"/>
            <w:sz w:val="24"/>
            <w:szCs w:val="24"/>
            <w:u w:val="single"/>
          </w:rPr>
          <w:t>Health Voices Victoria</w:t>
        </w:r>
      </w:hyperlink>
      <w:r w:rsidRPr="50870C46">
        <w:rPr>
          <w:color w:val="004C97" w:themeColor="accent4"/>
        </w:rPr>
        <w:t xml:space="preserve"> </w:t>
      </w:r>
      <w:r>
        <w:t>&lt;https://healthtransformation.deakin.edu.au/our-research/health-voices-victoria/&gt;</w:t>
      </w:r>
    </w:p>
    <w:p w14:paraId="6B14C395" w14:textId="77777777" w:rsidR="007137D5" w:rsidRPr="00180959" w:rsidRDefault="007137D5" w:rsidP="0057201C">
      <w:pPr>
        <w:pStyle w:val="SCVbody"/>
      </w:pPr>
    </w:p>
    <w:p w14:paraId="02A5C11B" w14:textId="3E6F2679" w:rsidR="00377835" w:rsidRPr="00371305" w:rsidRDefault="6D58C006" w:rsidP="716FCA60">
      <w:pPr>
        <w:pStyle w:val="Heading1"/>
        <w:rPr>
          <w:rStyle w:val="normaltextrun"/>
        </w:rPr>
      </w:pPr>
      <w:bookmarkStart w:id="43" w:name="_Toc185595265"/>
      <w:bookmarkStart w:id="44" w:name="_Toc238026655"/>
      <w:r w:rsidRPr="5EAC5C8C">
        <w:rPr>
          <w:rStyle w:val="normaltextrun"/>
        </w:rPr>
        <w:lastRenderedPageBreak/>
        <w:t xml:space="preserve">Appendix 1: </w:t>
      </w:r>
      <w:r w:rsidR="3AE075D2" w:rsidRPr="5EAC5C8C">
        <w:rPr>
          <w:rStyle w:val="normaltextrun"/>
        </w:rPr>
        <w:t>Data</w:t>
      </w:r>
      <w:r w:rsidR="5811132B" w:rsidRPr="5EAC5C8C">
        <w:rPr>
          <w:rStyle w:val="normaltextrun"/>
        </w:rPr>
        <w:t xml:space="preserve"> </w:t>
      </w:r>
      <w:r w:rsidR="5D46124A" w:rsidRPr="5EAC5C8C">
        <w:rPr>
          <w:rStyle w:val="normaltextrun"/>
        </w:rPr>
        <w:t>s</w:t>
      </w:r>
      <w:r w:rsidR="3AE075D2" w:rsidRPr="5EAC5C8C">
        <w:rPr>
          <w:rStyle w:val="normaltextrun"/>
        </w:rPr>
        <w:t>upplement</w:t>
      </w:r>
      <w:bookmarkEnd w:id="43"/>
      <w:bookmarkEnd w:id="44"/>
    </w:p>
    <w:p w14:paraId="0B5BBD63" w14:textId="36205049" w:rsidR="00C13834" w:rsidRPr="00180959" w:rsidRDefault="00C13834" w:rsidP="271C3A84">
      <w:pPr>
        <w:pStyle w:val="SCVbody"/>
      </w:pPr>
      <w:r>
        <w:t>Data</w:t>
      </w:r>
      <w:r w:rsidR="00824FA7">
        <w:t xml:space="preserve"> </w:t>
      </w:r>
      <w:r>
        <w:t>in</w:t>
      </w:r>
      <w:r w:rsidR="00824FA7">
        <w:t xml:space="preserve"> </w:t>
      </w:r>
      <w:r>
        <w:t>this</w:t>
      </w:r>
      <w:r w:rsidR="00824FA7">
        <w:t xml:space="preserve"> </w:t>
      </w:r>
      <w:r>
        <w:t>report</w:t>
      </w:r>
      <w:r w:rsidR="00824FA7">
        <w:t xml:space="preserve"> </w:t>
      </w:r>
      <w:r>
        <w:t>and</w:t>
      </w:r>
      <w:r w:rsidR="00824FA7">
        <w:t xml:space="preserve"> </w:t>
      </w:r>
      <w:r>
        <w:t>data</w:t>
      </w:r>
      <w:r w:rsidR="00824FA7">
        <w:t xml:space="preserve"> </w:t>
      </w:r>
      <w:r>
        <w:t>supplement</w:t>
      </w:r>
      <w:r w:rsidR="00824FA7">
        <w:t xml:space="preserve"> </w:t>
      </w:r>
      <w:r>
        <w:t>has</w:t>
      </w:r>
      <w:r w:rsidR="00824FA7">
        <w:t xml:space="preserve"> </w:t>
      </w:r>
      <w:r>
        <w:t>been</w:t>
      </w:r>
      <w:r w:rsidR="00824FA7">
        <w:t xml:space="preserve"> </w:t>
      </w:r>
      <w:r>
        <w:t>compared</w:t>
      </w:r>
      <w:r w:rsidR="00824FA7">
        <w:t xml:space="preserve"> </w:t>
      </w:r>
      <w:r w:rsidR="00182D8B">
        <w:t xml:space="preserve">with </w:t>
      </w:r>
      <w:r>
        <w:t>previous</w:t>
      </w:r>
      <w:r w:rsidR="00824FA7">
        <w:t xml:space="preserve"> </w:t>
      </w:r>
      <w:r>
        <w:t>years,</w:t>
      </w:r>
      <w:r w:rsidR="00824FA7">
        <w:t xml:space="preserve"> </w:t>
      </w:r>
      <w:r>
        <w:t>where</w:t>
      </w:r>
      <w:r w:rsidR="00824FA7">
        <w:t xml:space="preserve"> </w:t>
      </w:r>
      <w:r>
        <w:t>possible.</w:t>
      </w:r>
      <w:r w:rsidR="00824FA7">
        <w:t xml:space="preserve"> </w:t>
      </w:r>
      <w:r>
        <w:t>The</w:t>
      </w:r>
      <w:r w:rsidR="00824FA7">
        <w:t xml:space="preserve"> </w:t>
      </w:r>
      <w:r>
        <w:t>number</w:t>
      </w:r>
      <w:r w:rsidR="00824FA7">
        <w:t xml:space="preserve"> </w:t>
      </w:r>
      <w:r>
        <w:t>of</w:t>
      </w:r>
      <w:r w:rsidR="00824FA7">
        <w:t xml:space="preserve"> </w:t>
      </w:r>
      <w:r>
        <w:t>years</w:t>
      </w:r>
      <w:r w:rsidR="00824FA7">
        <w:t xml:space="preserve"> </w:t>
      </w:r>
      <w:r>
        <w:t>that</w:t>
      </w:r>
      <w:r w:rsidR="00824FA7">
        <w:t xml:space="preserve"> </w:t>
      </w:r>
      <w:r>
        <w:t>can</w:t>
      </w:r>
      <w:r w:rsidR="00824FA7">
        <w:t xml:space="preserve"> </w:t>
      </w:r>
      <w:r>
        <w:t>be</w:t>
      </w:r>
      <w:r w:rsidR="00824FA7">
        <w:t xml:space="preserve"> </w:t>
      </w:r>
      <w:r>
        <w:t>included</w:t>
      </w:r>
      <w:r w:rsidR="00824FA7">
        <w:t xml:space="preserve"> </w:t>
      </w:r>
      <w:r>
        <w:t>for</w:t>
      </w:r>
      <w:r w:rsidR="00824FA7">
        <w:t xml:space="preserve"> </w:t>
      </w:r>
      <w:r>
        <w:t>comparison</w:t>
      </w:r>
      <w:r w:rsidR="00824FA7">
        <w:t xml:space="preserve"> </w:t>
      </w:r>
      <w:r>
        <w:t>varies</w:t>
      </w:r>
      <w:r w:rsidR="00824FA7">
        <w:t xml:space="preserve"> </w:t>
      </w:r>
      <w:r>
        <w:t>between</w:t>
      </w:r>
      <w:r w:rsidR="00824FA7">
        <w:t xml:space="preserve"> </w:t>
      </w:r>
      <w:r>
        <w:t>indicators.</w:t>
      </w:r>
      <w:r w:rsidR="00824FA7">
        <w:t xml:space="preserve"> </w:t>
      </w:r>
      <w:r>
        <w:t>This</w:t>
      </w:r>
      <w:r w:rsidR="00824FA7">
        <w:t xml:space="preserve"> </w:t>
      </w:r>
      <w:r>
        <w:t>is</w:t>
      </w:r>
      <w:r w:rsidR="00824FA7">
        <w:t xml:space="preserve"> </w:t>
      </w:r>
      <w:r>
        <w:t>due</w:t>
      </w:r>
      <w:r w:rsidR="00824FA7">
        <w:t xml:space="preserve"> </w:t>
      </w:r>
      <w:r>
        <w:t>to</w:t>
      </w:r>
      <w:r w:rsidR="00824FA7">
        <w:t xml:space="preserve"> </w:t>
      </w:r>
      <w:r>
        <w:t>changes</w:t>
      </w:r>
      <w:r w:rsidR="00824FA7">
        <w:t xml:space="preserve"> </w:t>
      </w:r>
      <w:r>
        <w:t>to</w:t>
      </w:r>
      <w:r w:rsidR="00824FA7">
        <w:t xml:space="preserve"> </w:t>
      </w:r>
      <w:r>
        <w:t>the</w:t>
      </w:r>
      <w:r w:rsidR="00824FA7">
        <w:t xml:space="preserve"> </w:t>
      </w:r>
      <w:r>
        <w:t>reporting</w:t>
      </w:r>
      <w:r w:rsidR="00824FA7">
        <w:t xml:space="preserve"> </w:t>
      </w:r>
      <w:r>
        <w:t>requirements</w:t>
      </w:r>
      <w:r w:rsidR="00824FA7">
        <w:t xml:space="preserve"> </w:t>
      </w:r>
      <w:r>
        <w:t>for</w:t>
      </w:r>
      <w:r w:rsidR="00824FA7">
        <w:t xml:space="preserve"> </w:t>
      </w:r>
      <w:r>
        <w:t>health</w:t>
      </w:r>
      <w:r w:rsidR="00824FA7">
        <w:t xml:space="preserve"> </w:t>
      </w:r>
      <w:r>
        <w:t>services</w:t>
      </w:r>
      <w:r w:rsidR="00824FA7">
        <w:t xml:space="preserve"> </w:t>
      </w:r>
      <w:r>
        <w:t>and</w:t>
      </w:r>
      <w:r w:rsidR="00824FA7">
        <w:t xml:space="preserve"> </w:t>
      </w:r>
      <w:r>
        <w:t>the</w:t>
      </w:r>
      <w:r w:rsidR="00824FA7">
        <w:t xml:space="preserve"> </w:t>
      </w:r>
      <w:r>
        <w:t>methods</w:t>
      </w:r>
      <w:r w:rsidR="00824FA7">
        <w:t xml:space="preserve"> </w:t>
      </w:r>
      <w:r>
        <w:t>for</w:t>
      </w:r>
      <w:r w:rsidR="00824FA7">
        <w:t xml:space="preserve"> </w:t>
      </w:r>
      <w:r>
        <w:t>collecting</w:t>
      </w:r>
      <w:r w:rsidR="00824FA7">
        <w:t xml:space="preserve"> </w:t>
      </w:r>
      <w:r>
        <w:t>this</w:t>
      </w:r>
      <w:r w:rsidR="00824FA7">
        <w:t xml:space="preserve"> </w:t>
      </w:r>
      <w:r>
        <w:t>data</w:t>
      </w:r>
      <w:r w:rsidR="00824FA7">
        <w:t xml:space="preserve"> </w:t>
      </w:r>
      <w:r>
        <w:t>over</w:t>
      </w:r>
      <w:r w:rsidR="00824FA7">
        <w:t xml:space="preserve"> </w:t>
      </w:r>
      <w:r>
        <w:t>time.</w:t>
      </w:r>
      <w:r w:rsidR="0072387B">
        <w:t xml:space="preserve"> Table 1</w:t>
      </w:r>
      <w:r w:rsidR="34E7C63A">
        <w:t>5</w:t>
      </w:r>
      <w:r w:rsidR="0072387B">
        <w:t xml:space="preserve"> lists the sentinel event notifications by category over the past </w:t>
      </w:r>
      <w:r w:rsidR="4316072D">
        <w:t>three</w:t>
      </w:r>
      <w:r w:rsidR="0072387B">
        <w:t xml:space="preserve"> years.</w:t>
      </w:r>
    </w:p>
    <w:p w14:paraId="445E2E4A" w14:textId="4C477D01" w:rsidR="00484521" w:rsidRPr="006F1353" w:rsidRDefault="0A5BA70F" w:rsidP="57EA0190">
      <w:pPr>
        <w:pStyle w:val="Heading2"/>
        <w:rPr>
          <w:color w:val="007586" w:themeColor="text2"/>
        </w:rPr>
      </w:pPr>
      <w:bookmarkStart w:id="45" w:name="_Toc185595266"/>
      <w:bookmarkStart w:id="46" w:name="_Toc238026656"/>
      <w:r w:rsidRPr="006F1353">
        <w:rPr>
          <w:color w:val="007586" w:themeColor="text2"/>
        </w:rPr>
        <w:t>Sentinel</w:t>
      </w:r>
      <w:r w:rsidR="5811132B" w:rsidRPr="006F1353">
        <w:rPr>
          <w:color w:val="007586" w:themeColor="text2"/>
        </w:rPr>
        <w:t xml:space="preserve"> </w:t>
      </w:r>
      <w:r w:rsidRPr="006F1353">
        <w:rPr>
          <w:color w:val="007586" w:themeColor="text2"/>
        </w:rPr>
        <w:t>events</w:t>
      </w:r>
      <w:r w:rsidR="5811132B" w:rsidRPr="006F1353">
        <w:rPr>
          <w:color w:val="007586" w:themeColor="text2"/>
        </w:rPr>
        <w:t xml:space="preserve"> </w:t>
      </w:r>
      <w:r w:rsidRPr="006F1353">
        <w:rPr>
          <w:color w:val="007586" w:themeColor="text2"/>
        </w:rPr>
        <w:t>reporting</w:t>
      </w:r>
      <w:r w:rsidR="5811132B" w:rsidRPr="006F1353">
        <w:rPr>
          <w:color w:val="007586" w:themeColor="text2"/>
        </w:rPr>
        <w:t xml:space="preserve"> </w:t>
      </w:r>
      <w:r w:rsidRPr="006F1353">
        <w:rPr>
          <w:color w:val="007586" w:themeColor="text2"/>
        </w:rPr>
        <w:t>by</w:t>
      </w:r>
      <w:r w:rsidR="5811132B" w:rsidRPr="006F1353">
        <w:rPr>
          <w:color w:val="007586" w:themeColor="text2"/>
        </w:rPr>
        <w:t xml:space="preserve"> </w:t>
      </w:r>
      <w:r w:rsidRPr="006F1353">
        <w:rPr>
          <w:color w:val="007586" w:themeColor="text2"/>
        </w:rPr>
        <w:t>category</w:t>
      </w:r>
      <w:r w:rsidR="5811132B" w:rsidRPr="006F1353">
        <w:rPr>
          <w:color w:val="007586" w:themeColor="text2"/>
        </w:rPr>
        <w:t xml:space="preserve"> </w:t>
      </w:r>
      <w:r w:rsidRPr="006F1353">
        <w:rPr>
          <w:color w:val="007586" w:themeColor="text2"/>
        </w:rPr>
        <w:t>and</w:t>
      </w:r>
      <w:r w:rsidR="5811132B" w:rsidRPr="006F1353">
        <w:rPr>
          <w:color w:val="007586" w:themeColor="text2"/>
        </w:rPr>
        <w:t xml:space="preserve"> </w:t>
      </w:r>
      <w:r w:rsidRPr="006F1353">
        <w:rPr>
          <w:color w:val="007586" w:themeColor="text2"/>
        </w:rPr>
        <w:t>subcategory</w:t>
      </w:r>
      <w:bookmarkEnd w:id="45"/>
      <w:bookmarkEnd w:id="46"/>
    </w:p>
    <w:p w14:paraId="0AFF196F" w14:textId="3C7928F6" w:rsidR="003B6AC4" w:rsidRPr="00636959" w:rsidRDefault="00DF5494" w:rsidP="00DF3855">
      <w:pPr>
        <w:pStyle w:val="SCVtablecaption"/>
      </w:pPr>
      <w:r>
        <w:t>Table</w:t>
      </w:r>
      <w:r w:rsidR="00824FA7">
        <w:t xml:space="preserve"> </w:t>
      </w:r>
      <w:r w:rsidR="001F00A4">
        <w:t>1</w:t>
      </w:r>
      <w:r w:rsidR="18786F2A">
        <w:t>5</w:t>
      </w:r>
      <w:r w:rsidR="002008E3">
        <w:t>:</w:t>
      </w:r>
      <w:r w:rsidR="00824FA7">
        <w:t xml:space="preserve"> </w:t>
      </w:r>
      <w:r>
        <w:t>Sentinel</w:t>
      </w:r>
      <w:r w:rsidR="00824FA7">
        <w:t xml:space="preserve"> </w:t>
      </w:r>
      <w:r>
        <w:t>event</w:t>
      </w:r>
      <w:r w:rsidR="00824FA7">
        <w:t xml:space="preserve"> </w:t>
      </w:r>
      <w:r>
        <w:t>notification</w:t>
      </w:r>
      <w:r w:rsidR="00824FA7">
        <w:t xml:space="preserve"> </w:t>
      </w:r>
      <w:r>
        <w:t>by</w:t>
      </w:r>
      <w:r w:rsidR="00824FA7">
        <w:t xml:space="preserve"> </w:t>
      </w:r>
      <w:r>
        <w:t>category</w:t>
      </w:r>
      <w:r w:rsidR="002008E3">
        <w:t>,</w:t>
      </w:r>
      <w:r w:rsidR="00824FA7">
        <w:t xml:space="preserve"> </w:t>
      </w:r>
      <w:r w:rsidR="001F7668">
        <w:t>2022</w:t>
      </w:r>
      <w:r w:rsidR="00D146B6" w:rsidRPr="271C3A84">
        <w:rPr>
          <w:rFonts w:eastAsia="Times New Roman"/>
          <w:color w:val="006666"/>
        </w:rPr>
        <w:t>–</w:t>
      </w:r>
      <w:r w:rsidR="000F2D71">
        <w:t>23</w:t>
      </w:r>
      <w:r w:rsidR="001F7668">
        <w:t xml:space="preserve"> to 20</w:t>
      </w:r>
      <w:r w:rsidR="000F2D71">
        <w:t>24</w:t>
      </w:r>
      <w:r w:rsidR="00D146B6" w:rsidRPr="271C3A84">
        <w:rPr>
          <w:rFonts w:eastAsia="Times New Roman"/>
          <w:color w:val="006666"/>
        </w:rPr>
        <w:t>–</w:t>
      </w:r>
      <w:r w:rsidR="001F7668">
        <w:t>25</w:t>
      </w:r>
    </w:p>
    <w:tbl>
      <w:tblPr>
        <w:tblStyle w:val="TableGrid"/>
        <w:tblW w:w="10485" w:type="dxa"/>
        <w:tblLayout w:type="fixed"/>
        <w:tblLook w:val="04A0" w:firstRow="1" w:lastRow="0" w:firstColumn="1" w:lastColumn="0" w:noHBand="0" w:noVBand="1"/>
      </w:tblPr>
      <w:tblGrid>
        <w:gridCol w:w="6799"/>
        <w:gridCol w:w="1228"/>
        <w:gridCol w:w="1229"/>
        <w:gridCol w:w="1229"/>
      </w:tblGrid>
      <w:tr w:rsidR="00834EF2" w:rsidRPr="0087007B" w14:paraId="2A0F080C" w14:textId="77777777" w:rsidTr="00F7676F">
        <w:trPr>
          <w:cnfStyle w:val="100000000000" w:firstRow="1" w:lastRow="0" w:firstColumn="0" w:lastColumn="0" w:oddVBand="0" w:evenVBand="0" w:oddHBand="0" w:evenHBand="0" w:firstRowFirstColumn="0" w:firstRowLastColumn="0" w:lastRowFirstColumn="0" w:lastRowLastColumn="0"/>
          <w:trHeight w:val="286"/>
        </w:trPr>
        <w:tc>
          <w:tcPr>
            <w:tcW w:w="6799" w:type="dxa"/>
            <w:noWrap/>
            <w:hideMark/>
          </w:tcPr>
          <w:p w14:paraId="777F72BD" w14:textId="77777777" w:rsidR="003B6AC4" w:rsidRPr="0087007B" w:rsidRDefault="003B6AC4" w:rsidP="001B289D">
            <w:pPr>
              <w:pStyle w:val="SCVtablecolhead"/>
              <w:rPr>
                <w:sz w:val="24"/>
                <w:szCs w:val="24"/>
              </w:rPr>
            </w:pPr>
            <w:r w:rsidRPr="0087007B">
              <w:rPr>
                <w:sz w:val="24"/>
                <w:szCs w:val="24"/>
              </w:rPr>
              <w:t xml:space="preserve">Category </w:t>
            </w:r>
          </w:p>
        </w:tc>
        <w:tc>
          <w:tcPr>
            <w:tcW w:w="1228" w:type="dxa"/>
            <w:noWrap/>
            <w:vAlign w:val="center"/>
            <w:hideMark/>
          </w:tcPr>
          <w:p w14:paraId="6F61BE6F" w14:textId="0DFC8B56" w:rsidR="003B6AC4" w:rsidRPr="0087007B" w:rsidRDefault="003B6AC4" w:rsidP="00F7676F">
            <w:pPr>
              <w:pStyle w:val="SCVtablecolhead"/>
              <w:jc w:val="right"/>
              <w:rPr>
                <w:sz w:val="24"/>
                <w:szCs w:val="24"/>
              </w:rPr>
            </w:pPr>
            <w:r w:rsidRPr="0087007B">
              <w:rPr>
                <w:sz w:val="24"/>
                <w:szCs w:val="24"/>
              </w:rPr>
              <w:t>2022</w:t>
            </w:r>
            <w:r w:rsidR="002A1F17" w:rsidRPr="0087007B">
              <w:rPr>
                <w:sz w:val="24"/>
                <w:szCs w:val="24"/>
              </w:rPr>
              <w:t>–</w:t>
            </w:r>
            <w:r w:rsidRPr="0087007B">
              <w:rPr>
                <w:sz w:val="24"/>
                <w:szCs w:val="24"/>
              </w:rPr>
              <w:t>23</w:t>
            </w:r>
          </w:p>
        </w:tc>
        <w:tc>
          <w:tcPr>
            <w:tcW w:w="1229" w:type="dxa"/>
            <w:noWrap/>
            <w:vAlign w:val="center"/>
            <w:hideMark/>
          </w:tcPr>
          <w:p w14:paraId="13D3993F" w14:textId="2C7A1186" w:rsidR="003B6AC4" w:rsidRPr="0087007B" w:rsidRDefault="003B6AC4" w:rsidP="00F7676F">
            <w:pPr>
              <w:pStyle w:val="SCVtablecolhead"/>
              <w:jc w:val="right"/>
              <w:rPr>
                <w:sz w:val="24"/>
                <w:szCs w:val="24"/>
              </w:rPr>
            </w:pPr>
            <w:r w:rsidRPr="0087007B">
              <w:rPr>
                <w:sz w:val="24"/>
                <w:szCs w:val="24"/>
              </w:rPr>
              <w:t>2023</w:t>
            </w:r>
            <w:r w:rsidR="002A1F17" w:rsidRPr="0087007B">
              <w:rPr>
                <w:sz w:val="24"/>
                <w:szCs w:val="24"/>
              </w:rPr>
              <w:t>–</w:t>
            </w:r>
            <w:r w:rsidRPr="0087007B">
              <w:rPr>
                <w:sz w:val="24"/>
                <w:szCs w:val="24"/>
              </w:rPr>
              <w:t>24</w:t>
            </w:r>
          </w:p>
        </w:tc>
        <w:tc>
          <w:tcPr>
            <w:tcW w:w="1229" w:type="dxa"/>
            <w:noWrap/>
            <w:vAlign w:val="center"/>
            <w:hideMark/>
          </w:tcPr>
          <w:p w14:paraId="37AAAF2C" w14:textId="61FF0CC2" w:rsidR="003B6AC4" w:rsidRPr="0087007B" w:rsidRDefault="003B6AC4" w:rsidP="00F7676F">
            <w:pPr>
              <w:pStyle w:val="SCVtablecolhead"/>
              <w:jc w:val="right"/>
              <w:rPr>
                <w:sz w:val="24"/>
                <w:szCs w:val="24"/>
              </w:rPr>
            </w:pPr>
            <w:r w:rsidRPr="0087007B">
              <w:rPr>
                <w:sz w:val="24"/>
                <w:szCs w:val="24"/>
              </w:rPr>
              <w:t>2024</w:t>
            </w:r>
            <w:r w:rsidR="002A1F17" w:rsidRPr="0087007B">
              <w:rPr>
                <w:sz w:val="24"/>
                <w:szCs w:val="24"/>
              </w:rPr>
              <w:t>–</w:t>
            </w:r>
            <w:r w:rsidRPr="0087007B">
              <w:rPr>
                <w:sz w:val="24"/>
                <w:szCs w:val="24"/>
              </w:rPr>
              <w:t>25</w:t>
            </w:r>
          </w:p>
        </w:tc>
      </w:tr>
      <w:tr w:rsidR="003B6AC4" w:rsidRPr="0087007B" w14:paraId="58659D52" w14:textId="77777777" w:rsidTr="00F7676F">
        <w:trPr>
          <w:trHeight w:val="286"/>
        </w:trPr>
        <w:tc>
          <w:tcPr>
            <w:tcW w:w="6799" w:type="dxa"/>
            <w:hideMark/>
          </w:tcPr>
          <w:p w14:paraId="1DB47EC4"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1. Surgery or other invasive procedure performed on the wrong site resulting in serious harm or death</w:t>
            </w:r>
          </w:p>
        </w:tc>
        <w:tc>
          <w:tcPr>
            <w:tcW w:w="1228" w:type="dxa"/>
            <w:noWrap/>
            <w:vAlign w:val="center"/>
            <w:hideMark/>
          </w:tcPr>
          <w:p w14:paraId="306FE6D7" w14:textId="77777777" w:rsidR="003B6AC4" w:rsidRPr="0087007B" w:rsidRDefault="003B6AC4" w:rsidP="00F7676F">
            <w:pPr>
              <w:pStyle w:val="SCVtablebody"/>
              <w:jc w:val="right"/>
              <w:rPr>
                <w:sz w:val="24"/>
                <w:szCs w:val="24"/>
              </w:rPr>
            </w:pPr>
            <w:r w:rsidRPr="0087007B">
              <w:rPr>
                <w:sz w:val="24"/>
                <w:szCs w:val="24"/>
              </w:rPr>
              <w:t>3</w:t>
            </w:r>
          </w:p>
        </w:tc>
        <w:tc>
          <w:tcPr>
            <w:tcW w:w="1229" w:type="dxa"/>
            <w:noWrap/>
            <w:vAlign w:val="center"/>
            <w:hideMark/>
          </w:tcPr>
          <w:p w14:paraId="4FF7A471" w14:textId="77777777" w:rsidR="003B6AC4" w:rsidRPr="0087007B" w:rsidRDefault="003B6AC4" w:rsidP="00F7676F">
            <w:pPr>
              <w:pStyle w:val="SCVtablebody"/>
              <w:jc w:val="right"/>
              <w:rPr>
                <w:sz w:val="24"/>
                <w:szCs w:val="24"/>
              </w:rPr>
            </w:pPr>
            <w:r w:rsidRPr="0087007B">
              <w:rPr>
                <w:sz w:val="24"/>
                <w:szCs w:val="24"/>
              </w:rPr>
              <w:t>3</w:t>
            </w:r>
          </w:p>
        </w:tc>
        <w:tc>
          <w:tcPr>
            <w:tcW w:w="1229" w:type="dxa"/>
            <w:noWrap/>
            <w:vAlign w:val="center"/>
            <w:hideMark/>
          </w:tcPr>
          <w:p w14:paraId="6A6C50D3" w14:textId="77777777" w:rsidR="003B6AC4" w:rsidRPr="0087007B" w:rsidRDefault="003B6AC4" w:rsidP="00F7676F">
            <w:pPr>
              <w:pStyle w:val="SCVtablebody"/>
              <w:jc w:val="right"/>
              <w:rPr>
                <w:sz w:val="24"/>
                <w:szCs w:val="24"/>
              </w:rPr>
            </w:pPr>
            <w:r w:rsidRPr="0087007B">
              <w:rPr>
                <w:sz w:val="24"/>
                <w:szCs w:val="24"/>
              </w:rPr>
              <w:t>2</w:t>
            </w:r>
          </w:p>
        </w:tc>
      </w:tr>
      <w:tr w:rsidR="003B6AC4" w:rsidRPr="0087007B" w14:paraId="264881A5" w14:textId="77777777" w:rsidTr="00F7676F">
        <w:trPr>
          <w:trHeight w:val="310"/>
        </w:trPr>
        <w:tc>
          <w:tcPr>
            <w:tcW w:w="6799" w:type="dxa"/>
            <w:hideMark/>
          </w:tcPr>
          <w:p w14:paraId="4D51377E"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2. Surgery or other invasive procedure performed on the wrong patient resulting in serious harm or death</w:t>
            </w:r>
          </w:p>
        </w:tc>
        <w:tc>
          <w:tcPr>
            <w:tcW w:w="1228" w:type="dxa"/>
            <w:noWrap/>
            <w:vAlign w:val="center"/>
            <w:hideMark/>
          </w:tcPr>
          <w:p w14:paraId="3FCABB69"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5F846E6E"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768D5025" w14:textId="77777777" w:rsidR="003B6AC4" w:rsidRPr="0087007B" w:rsidRDefault="003B6AC4" w:rsidP="00F7676F">
            <w:pPr>
              <w:pStyle w:val="SCVtablebody"/>
              <w:jc w:val="right"/>
              <w:rPr>
                <w:sz w:val="24"/>
                <w:szCs w:val="24"/>
              </w:rPr>
            </w:pPr>
            <w:r w:rsidRPr="0087007B">
              <w:rPr>
                <w:sz w:val="24"/>
                <w:szCs w:val="24"/>
              </w:rPr>
              <w:t>0</w:t>
            </w:r>
          </w:p>
        </w:tc>
      </w:tr>
      <w:tr w:rsidR="003B6AC4" w:rsidRPr="0087007B" w14:paraId="2D6A883A" w14:textId="77777777" w:rsidTr="00F7676F">
        <w:trPr>
          <w:trHeight w:val="334"/>
        </w:trPr>
        <w:tc>
          <w:tcPr>
            <w:tcW w:w="6799" w:type="dxa"/>
            <w:hideMark/>
          </w:tcPr>
          <w:p w14:paraId="46A2677D"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3. Wrong surgical or other invasive procedure performed on a patient resulting in serious harm or death</w:t>
            </w:r>
          </w:p>
        </w:tc>
        <w:tc>
          <w:tcPr>
            <w:tcW w:w="1228" w:type="dxa"/>
            <w:noWrap/>
            <w:vAlign w:val="center"/>
            <w:hideMark/>
          </w:tcPr>
          <w:p w14:paraId="5F690A5D" w14:textId="77777777" w:rsidR="003B6AC4" w:rsidRPr="0087007B" w:rsidRDefault="003B6AC4" w:rsidP="00F7676F">
            <w:pPr>
              <w:pStyle w:val="SCVtablebody"/>
              <w:jc w:val="right"/>
              <w:rPr>
                <w:sz w:val="24"/>
                <w:szCs w:val="24"/>
              </w:rPr>
            </w:pPr>
            <w:r w:rsidRPr="0087007B">
              <w:rPr>
                <w:sz w:val="24"/>
                <w:szCs w:val="24"/>
              </w:rPr>
              <w:t>1</w:t>
            </w:r>
          </w:p>
        </w:tc>
        <w:tc>
          <w:tcPr>
            <w:tcW w:w="1229" w:type="dxa"/>
            <w:noWrap/>
            <w:vAlign w:val="center"/>
            <w:hideMark/>
          </w:tcPr>
          <w:p w14:paraId="5BBF7776"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5B56D65D" w14:textId="77777777" w:rsidR="003B6AC4" w:rsidRPr="0087007B" w:rsidRDefault="003B6AC4" w:rsidP="00F7676F">
            <w:pPr>
              <w:pStyle w:val="SCVtablebody"/>
              <w:jc w:val="right"/>
              <w:rPr>
                <w:sz w:val="24"/>
                <w:szCs w:val="24"/>
              </w:rPr>
            </w:pPr>
            <w:r w:rsidRPr="0087007B">
              <w:rPr>
                <w:sz w:val="24"/>
                <w:szCs w:val="24"/>
              </w:rPr>
              <w:t>1</w:t>
            </w:r>
          </w:p>
        </w:tc>
      </w:tr>
      <w:tr w:rsidR="003B6AC4" w:rsidRPr="0087007B" w14:paraId="24CD8546" w14:textId="77777777" w:rsidTr="00F7676F">
        <w:trPr>
          <w:trHeight w:val="573"/>
        </w:trPr>
        <w:tc>
          <w:tcPr>
            <w:tcW w:w="6799" w:type="dxa"/>
            <w:hideMark/>
          </w:tcPr>
          <w:p w14:paraId="6AF8D5C3"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4. Unintended retention of a foreign object in a patient after surgery or other invasive procedure resulting in serious harm or death</w:t>
            </w:r>
          </w:p>
        </w:tc>
        <w:tc>
          <w:tcPr>
            <w:tcW w:w="1228" w:type="dxa"/>
            <w:noWrap/>
            <w:vAlign w:val="center"/>
            <w:hideMark/>
          </w:tcPr>
          <w:p w14:paraId="672D789F" w14:textId="77777777" w:rsidR="003B6AC4" w:rsidRPr="0087007B" w:rsidRDefault="003B6AC4" w:rsidP="00F7676F">
            <w:pPr>
              <w:pStyle w:val="SCVtablebody"/>
              <w:jc w:val="right"/>
              <w:rPr>
                <w:sz w:val="24"/>
                <w:szCs w:val="24"/>
              </w:rPr>
            </w:pPr>
            <w:r w:rsidRPr="0087007B">
              <w:rPr>
                <w:sz w:val="24"/>
                <w:szCs w:val="24"/>
              </w:rPr>
              <w:t>4</w:t>
            </w:r>
          </w:p>
        </w:tc>
        <w:tc>
          <w:tcPr>
            <w:tcW w:w="1229" w:type="dxa"/>
            <w:noWrap/>
            <w:vAlign w:val="center"/>
            <w:hideMark/>
          </w:tcPr>
          <w:p w14:paraId="5679636C" w14:textId="77777777" w:rsidR="003B6AC4" w:rsidRPr="0087007B" w:rsidRDefault="003B6AC4" w:rsidP="00F7676F">
            <w:pPr>
              <w:pStyle w:val="SCVtablebody"/>
              <w:jc w:val="right"/>
              <w:rPr>
                <w:sz w:val="24"/>
                <w:szCs w:val="24"/>
              </w:rPr>
            </w:pPr>
            <w:r w:rsidRPr="0087007B">
              <w:rPr>
                <w:sz w:val="24"/>
                <w:szCs w:val="24"/>
              </w:rPr>
              <w:t>2</w:t>
            </w:r>
          </w:p>
        </w:tc>
        <w:tc>
          <w:tcPr>
            <w:tcW w:w="1229" w:type="dxa"/>
            <w:noWrap/>
            <w:vAlign w:val="center"/>
            <w:hideMark/>
          </w:tcPr>
          <w:p w14:paraId="09E80326" w14:textId="77777777" w:rsidR="003B6AC4" w:rsidRPr="0087007B" w:rsidRDefault="003B6AC4" w:rsidP="00F7676F">
            <w:pPr>
              <w:pStyle w:val="SCVtablebody"/>
              <w:jc w:val="right"/>
              <w:rPr>
                <w:sz w:val="24"/>
                <w:szCs w:val="24"/>
              </w:rPr>
            </w:pPr>
            <w:r w:rsidRPr="0087007B">
              <w:rPr>
                <w:sz w:val="24"/>
                <w:szCs w:val="24"/>
              </w:rPr>
              <w:t>3</w:t>
            </w:r>
          </w:p>
        </w:tc>
      </w:tr>
      <w:tr w:rsidR="003B6AC4" w:rsidRPr="0087007B" w14:paraId="7602AA52" w14:textId="77777777" w:rsidTr="00F7676F">
        <w:trPr>
          <w:trHeight w:val="573"/>
        </w:trPr>
        <w:tc>
          <w:tcPr>
            <w:tcW w:w="6799" w:type="dxa"/>
            <w:hideMark/>
          </w:tcPr>
          <w:p w14:paraId="7B7E984E"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5. Haemolytic blood transfusion reaction resulting from ABO incompatibility resulting in serious harm or death</w:t>
            </w:r>
          </w:p>
        </w:tc>
        <w:tc>
          <w:tcPr>
            <w:tcW w:w="1228" w:type="dxa"/>
            <w:noWrap/>
            <w:vAlign w:val="center"/>
            <w:hideMark/>
          </w:tcPr>
          <w:p w14:paraId="42A5EC49"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72668169"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617F91A1" w14:textId="77777777" w:rsidR="003B6AC4" w:rsidRPr="0087007B" w:rsidRDefault="003B6AC4" w:rsidP="00F7676F">
            <w:pPr>
              <w:pStyle w:val="SCVtablebody"/>
              <w:jc w:val="right"/>
              <w:rPr>
                <w:sz w:val="24"/>
                <w:szCs w:val="24"/>
              </w:rPr>
            </w:pPr>
            <w:r w:rsidRPr="0087007B">
              <w:rPr>
                <w:sz w:val="24"/>
                <w:szCs w:val="24"/>
              </w:rPr>
              <w:t>0</w:t>
            </w:r>
          </w:p>
        </w:tc>
      </w:tr>
      <w:tr w:rsidR="003B6AC4" w:rsidRPr="0087007B" w14:paraId="765DA26E" w14:textId="77777777" w:rsidTr="00F7676F">
        <w:trPr>
          <w:trHeight w:val="286"/>
        </w:trPr>
        <w:tc>
          <w:tcPr>
            <w:tcW w:w="6799" w:type="dxa"/>
            <w:hideMark/>
          </w:tcPr>
          <w:p w14:paraId="5F4D0E03"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6. Suspected suicide of a patient in an acute psychiatric unit or acute psychiatric ward</w:t>
            </w:r>
          </w:p>
        </w:tc>
        <w:tc>
          <w:tcPr>
            <w:tcW w:w="1228" w:type="dxa"/>
            <w:noWrap/>
            <w:vAlign w:val="center"/>
            <w:hideMark/>
          </w:tcPr>
          <w:p w14:paraId="2A1F7D9B" w14:textId="77777777" w:rsidR="003B6AC4" w:rsidRPr="0087007B" w:rsidRDefault="003B6AC4" w:rsidP="00F7676F">
            <w:pPr>
              <w:pStyle w:val="SCVtablebody"/>
              <w:jc w:val="right"/>
              <w:rPr>
                <w:sz w:val="24"/>
                <w:szCs w:val="24"/>
              </w:rPr>
            </w:pPr>
            <w:r w:rsidRPr="0087007B">
              <w:rPr>
                <w:sz w:val="24"/>
                <w:szCs w:val="24"/>
              </w:rPr>
              <w:t>2</w:t>
            </w:r>
          </w:p>
        </w:tc>
        <w:tc>
          <w:tcPr>
            <w:tcW w:w="1229" w:type="dxa"/>
            <w:noWrap/>
            <w:vAlign w:val="center"/>
            <w:hideMark/>
          </w:tcPr>
          <w:p w14:paraId="15226819" w14:textId="77777777" w:rsidR="003B6AC4" w:rsidRPr="0087007B" w:rsidRDefault="003B6AC4" w:rsidP="00F7676F">
            <w:pPr>
              <w:pStyle w:val="SCVtablebody"/>
              <w:jc w:val="right"/>
              <w:rPr>
                <w:sz w:val="24"/>
                <w:szCs w:val="24"/>
              </w:rPr>
            </w:pPr>
            <w:r w:rsidRPr="0087007B">
              <w:rPr>
                <w:sz w:val="24"/>
                <w:szCs w:val="24"/>
              </w:rPr>
              <w:t>6</w:t>
            </w:r>
          </w:p>
        </w:tc>
        <w:tc>
          <w:tcPr>
            <w:tcW w:w="1229" w:type="dxa"/>
            <w:noWrap/>
            <w:vAlign w:val="center"/>
            <w:hideMark/>
          </w:tcPr>
          <w:p w14:paraId="640030D1" w14:textId="77777777" w:rsidR="003B6AC4" w:rsidRPr="0087007B" w:rsidRDefault="003B6AC4" w:rsidP="00F7676F">
            <w:pPr>
              <w:pStyle w:val="SCVtablebody"/>
              <w:jc w:val="right"/>
              <w:rPr>
                <w:sz w:val="24"/>
                <w:szCs w:val="24"/>
              </w:rPr>
            </w:pPr>
            <w:r w:rsidRPr="0087007B">
              <w:rPr>
                <w:sz w:val="24"/>
                <w:szCs w:val="24"/>
              </w:rPr>
              <w:t>2</w:t>
            </w:r>
          </w:p>
        </w:tc>
      </w:tr>
      <w:tr w:rsidR="003B6AC4" w:rsidRPr="0087007B" w14:paraId="043278B3" w14:textId="77777777" w:rsidTr="00F7676F">
        <w:trPr>
          <w:trHeight w:val="286"/>
        </w:trPr>
        <w:tc>
          <w:tcPr>
            <w:tcW w:w="6799" w:type="dxa"/>
            <w:hideMark/>
          </w:tcPr>
          <w:p w14:paraId="012D545E"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7. Medication error resulting in serious harm or death</w:t>
            </w:r>
          </w:p>
        </w:tc>
        <w:tc>
          <w:tcPr>
            <w:tcW w:w="1228" w:type="dxa"/>
            <w:noWrap/>
            <w:vAlign w:val="center"/>
            <w:hideMark/>
          </w:tcPr>
          <w:p w14:paraId="430A5E1C" w14:textId="77777777" w:rsidR="003B6AC4" w:rsidRPr="0087007B" w:rsidRDefault="003B6AC4" w:rsidP="00F7676F">
            <w:pPr>
              <w:pStyle w:val="SCVtablebody"/>
              <w:jc w:val="right"/>
              <w:rPr>
                <w:sz w:val="24"/>
                <w:szCs w:val="24"/>
              </w:rPr>
            </w:pPr>
            <w:r w:rsidRPr="0087007B">
              <w:rPr>
                <w:sz w:val="24"/>
                <w:szCs w:val="24"/>
              </w:rPr>
              <w:t>22</w:t>
            </w:r>
          </w:p>
        </w:tc>
        <w:tc>
          <w:tcPr>
            <w:tcW w:w="1229" w:type="dxa"/>
            <w:noWrap/>
            <w:vAlign w:val="center"/>
            <w:hideMark/>
          </w:tcPr>
          <w:p w14:paraId="7FC92858" w14:textId="77777777" w:rsidR="003B6AC4" w:rsidRPr="0087007B" w:rsidRDefault="003B6AC4" w:rsidP="00F7676F">
            <w:pPr>
              <w:pStyle w:val="SCVtablebody"/>
              <w:jc w:val="right"/>
              <w:rPr>
                <w:sz w:val="24"/>
                <w:szCs w:val="24"/>
              </w:rPr>
            </w:pPr>
            <w:r w:rsidRPr="0087007B">
              <w:rPr>
                <w:sz w:val="24"/>
                <w:szCs w:val="24"/>
              </w:rPr>
              <w:t>13</w:t>
            </w:r>
          </w:p>
        </w:tc>
        <w:tc>
          <w:tcPr>
            <w:tcW w:w="1229" w:type="dxa"/>
            <w:noWrap/>
            <w:vAlign w:val="center"/>
            <w:hideMark/>
          </w:tcPr>
          <w:p w14:paraId="631DAAE8" w14:textId="77777777" w:rsidR="003B6AC4" w:rsidRPr="0087007B" w:rsidRDefault="003B6AC4" w:rsidP="00F7676F">
            <w:pPr>
              <w:pStyle w:val="SCVtablebody"/>
              <w:jc w:val="right"/>
              <w:rPr>
                <w:sz w:val="24"/>
                <w:szCs w:val="24"/>
              </w:rPr>
            </w:pPr>
            <w:r w:rsidRPr="0087007B">
              <w:rPr>
                <w:sz w:val="24"/>
                <w:szCs w:val="24"/>
              </w:rPr>
              <w:t>12</w:t>
            </w:r>
          </w:p>
        </w:tc>
      </w:tr>
      <w:tr w:rsidR="003B6AC4" w:rsidRPr="0087007B" w14:paraId="35AD6F04" w14:textId="77777777" w:rsidTr="00F7676F">
        <w:trPr>
          <w:trHeight w:val="286"/>
        </w:trPr>
        <w:tc>
          <w:tcPr>
            <w:tcW w:w="6799" w:type="dxa"/>
            <w:hideMark/>
          </w:tcPr>
          <w:p w14:paraId="1F4D2C84"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8. Use of physical or mechanical restraint resulting in serious harm or death</w:t>
            </w:r>
          </w:p>
        </w:tc>
        <w:tc>
          <w:tcPr>
            <w:tcW w:w="1228" w:type="dxa"/>
            <w:noWrap/>
            <w:vAlign w:val="center"/>
            <w:hideMark/>
          </w:tcPr>
          <w:p w14:paraId="6EB19459"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2D9516B7"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4B953209" w14:textId="77777777" w:rsidR="003B6AC4" w:rsidRPr="0087007B" w:rsidRDefault="003B6AC4" w:rsidP="00F7676F">
            <w:pPr>
              <w:pStyle w:val="SCVtablebody"/>
              <w:jc w:val="right"/>
              <w:rPr>
                <w:sz w:val="24"/>
                <w:szCs w:val="24"/>
              </w:rPr>
            </w:pPr>
            <w:r w:rsidRPr="0087007B">
              <w:rPr>
                <w:sz w:val="24"/>
                <w:szCs w:val="24"/>
              </w:rPr>
              <w:t>1</w:t>
            </w:r>
          </w:p>
        </w:tc>
      </w:tr>
      <w:tr w:rsidR="003B6AC4" w:rsidRPr="0087007B" w14:paraId="5BBF0E83" w14:textId="77777777" w:rsidTr="00F7676F">
        <w:trPr>
          <w:trHeight w:val="286"/>
        </w:trPr>
        <w:tc>
          <w:tcPr>
            <w:tcW w:w="6799" w:type="dxa"/>
            <w:hideMark/>
          </w:tcPr>
          <w:p w14:paraId="5988CDEF"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9. Discharge or release of an infant or child to an unauthorised person.</w:t>
            </w:r>
          </w:p>
        </w:tc>
        <w:tc>
          <w:tcPr>
            <w:tcW w:w="1228" w:type="dxa"/>
            <w:noWrap/>
            <w:vAlign w:val="center"/>
            <w:hideMark/>
          </w:tcPr>
          <w:p w14:paraId="70512FB9"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75A0CD9B"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34FCA7D3" w14:textId="77777777" w:rsidR="003B6AC4" w:rsidRPr="0087007B" w:rsidRDefault="003B6AC4" w:rsidP="00F7676F">
            <w:pPr>
              <w:pStyle w:val="SCVtablebody"/>
              <w:jc w:val="right"/>
              <w:rPr>
                <w:sz w:val="24"/>
                <w:szCs w:val="24"/>
              </w:rPr>
            </w:pPr>
            <w:r w:rsidRPr="0087007B">
              <w:rPr>
                <w:sz w:val="24"/>
                <w:szCs w:val="24"/>
              </w:rPr>
              <w:t>0</w:t>
            </w:r>
          </w:p>
        </w:tc>
      </w:tr>
      <w:tr w:rsidR="003B6AC4" w:rsidRPr="0087007B" w14:paraId="192B2ADB" w14:textId="77777777" w:rsidTr="00F7676F">
        <w:trPr>
          <w:trHeight w:val="286"/>
        </w:trPr>
        <w:tc>
          <w:tcPr>
            <w:tcW w:w="6799" w:type="dxa"/>
            <w:hideMark/>
          </w:tcPr>
          <w:p w14:paraId="4B9C8EA8" w14:textId="10994878"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 xml:space="preserve">10. Use of an incorrectly positioned </w:t>
            </w:r>
            <w:proofErr w:type="spellStart"/>
            <w:r w:rsidRPr="00F7676F">
              <w:rPr>
                <w:b/>
                <w:bCs/>
                <w:color w:val="007586" w:themeColor="text2"/>
                <w:sz w:val="24"/>
                <w:szCs w:val="24"/>
              </w:rPr>
              <w:t>oro</w:t>
            </w:r>
            <w:proofErr w:type="spellEnd"/>
            <w:r w:rsidRPr="00F7676F">
              <w:rPr>
                <w:b/>
                <w:bCs/>
                <w:color w:val="007586" w:themeColor="text2"/>
                <w:sz w:val="24"/>
                <w:szCs w:val="24"/>
              </w:rPr>
              <w:t xml:space="preserve">- or </w:t>
            </w:r>
            <w:proofErr w:type="spellStart"/>
            <w:r w:rsidRPr="00F7676F">
              <w:rPr>
                <w:b/>
                <w:bCs/>
                <w:color w:val="007586" w:themeColor="text2"/>
                <w:sz w:val="24"/>
                <w:szCs w:val="24"/>
              </w:rPr>
              <w:t>naso</w:t>
            </w:r>
            <w:proofErr w:type="spellEnd"/>
            <w:r w:rsidRPr="00F7676F">
              <w:rPr>
                <w:b/>
                <w:bCs/>
                <w:color w:val="007586" w:themeColor="text2"/>
                <w:sz w:val="24"/>
                <w:szCs w:val="24"/>
              </w:rPr>
              <w:t>-gastric tube resulting in serious harm or death</w:t>
            </w:r>
          </w:p>
        </w:tc>
        <w:tc>
          <w:tcPr>
            <w:tcW w:w="1228" w:type="dxa"/>
            <w:noWrap/>
            <w:vAlign w:val="center"/>
            <w:hideMark/>
          </w:tcPr>
          <w:p w14:paraId="50199F6B" w14:textId="77777777" w:rsidR="003B6AC4" w:rsidRPr="0087007B" w:rsidRDefault="003B6AC4" w:rsidP="00F7676F">
            <w:pPr>
              <w:pStyle w:val="SCVtablebody"/>
              <w:jc w:val="right"/>
              <w:rPr>
                <w:sz w:val="24"/>
                <w:szCs w:val="24"/>
              </w:rPr>
            </w:pPr>
            <w:r w:rsidRPr="0087007B">
              <w:rPr>
                <w:sz w:val="24"/>
                <w:szCs w:val="24"/>
              </w:rPr>
              <w:t>3</w:t>
            </w:r>
          </w:p>
        </w:tc>
        <w:tc>
          <w:tcPr>
            <w:tcW w:w="1229" w:type="dxa"/>
            <w:noWrap/>
            <w:vAlign w:val="center"/>
            <w:hideMark/>
          </w:tcPr>
          <w:p w14:paraId="0205A44A" w14:textId="77777777" w:rsidR="003B6AC4" w:rsidRPr="0087007B" w:rsidRDefault="003B6AC4" w:rsidP="00F7676F">
            <w:pPr>
              <w:pStyle w:val="SCVtablebody"/>
              <w:jc w:val="right"/>
              <w:rPr>
                <w:sz w:val="24"/>
                <w:szCs w:val="24"/>
              </w:rPr>
            </w:pPr>
            <w:r w:rsidRPr="0087007B">
              <w:rPr>
                <w:sz w:val="24"/>
                <w:szCs w:val="24"/>
              </w:rPr>
              <w:t>0</w:t>
            </w:r>
          </w:p>
        </w:tc>
        <w:tc>
          <w:tcPr>
            <w:tcW w:w="1229" w:type="dxa"/>
            <w:noWrap/>
            <w:vAlign w:val="center"/>
            <w:hideMark/>
          </w:tcPr>
          <w:p w14:paraId="2D7C6B3F" w14:textId="77777777" w:rsidR="003B6AC4" w:rsidRPr="0087007B" w:rsidRDefault="003B6AC4" w:rsidP="00F7676F">
            <w:pPr>
              <w:pStyle w:val="SCVtablebody"/>
              <w:jc w:val="right"/>
              <w:rPr>
                <w:sz w:val="24"/>
                <w:szCs w:val="24"/>
              </w:rPr>
            </w:pPr>
            <w:r w:rsidRPr="0087007B">
              <w:rPr>
                <w:sz w:val="24"/>
                <w:szCs w:val="24"/>
              </w:rPr>
              <w:t>0</w:t>
            </w:r>
          </w:p>
        </w:tc>
      </w:tr>
      <w:tr w:rsidR="003B6AC4" w:rsidRPr="0087007B" w14:paraId="24426015" w14:textId="77777777" w:rsidTr="00F7676F">
        <w:trPr>
          <w:trHeight w:val="286"/>
        </w:trPr>
        <w:tc>
          <w:tcPr>
            <w:tcW w:w="6799" w:type="dxa"/>
            <w:hideMark/>
          </w:tcPr>
          <w:p w14:paraId="2817CB4F" w14:textId="77777777" w:rsidR="003B6AC4" w:rsidRPr="00F7676F" w:rsidRDefault="003B6AC4" w:rsidP="003C3174">
            <w:pPr>
              <w:pStyle w:val="SCVtablebody"/>
              <w:rPr>
                <w:b/>
                <w:bCs/>
                <w:color w:val="007586" w:themeColor="text2"/>
                <w:sz w:val="24"/>
                <w:szCs w:val="24"/>
              </w:rPr>
            </w:pPr>
            <w:r w:rsidRPr="00F7676F">
              <w:rPr>
                <w:b/>
                <w:bCs/>
                <w:color w:val="007586" w:themeColor="text2"/>
                <w:sz w:val="24"/>
                <w:szCs w:val="24"/>
              </w:rPr>
              <w:t>11. All other adverse patient safety events resulting in serious harm or death</w:t>
            </w:r>
          </w:p>
        </w:tc>
        <w:tc>
          <w:tcPr>
            <w:tcW w:w="1228" w:type="dxa"/>
            <w:noWrap/>
            <w:vAlign w:val="center"/>
            <w:hideMark/>
          </w:tcPr>
          <w:p w14:paraId="33DF4E92" w14:textId="77777777" w:rsidR="003B6AC4" w:rsidRPr="0087007B" w:rsidRDefault="003B6AC4" w:rsidP="00F7676F">
            <w:pPr>
              <w:pStyle w:val="SCVtablebody"/>
              <w:jc w:val="right"/>
              <w:rPr>
                <w:sz w:val="24"/>
                <w:szCs w:val="24"/>
              </w:rPr>
            </w:pPr>
            <w:r w:rsidRPr="0087007B">
              <w:rPr>
                <w:sz w:val="24"/>
                <w:szCs w:val="24"/>
              </w:rPr>
              <w:t>210</w:t>
            </w:r>
          </w:p>
        </w:tc>
        <w:tc>
          <w:tcPr>
            <w:tcW w:w="1229" w:type="dxa"/>
            <w:noWrap/>
            <w:vAlign w:val="center"/>
            <w:hideMark/>
          </w:tcPr>
          <w:p w14:paraId="18D60BB6" w14:textId="77777777" w:rsidR="003B6AC4" w:rsidRPr="0087007B" w:rsidRDefault="003B6AC4" w:rsidP="00F7676F">
            <w:pPr>
              <w:pStyle w:val="SCVtablebody"/>
              <w:jc w:val="right"/>
              <w:rPr>
                <w:sz w:val="24"/>
                <w:szCs w:val="24"/>
              </w:rPr>
            </w:pPr>
            <w:r w:rsidRPr="0087007B">
              <w:rPr>
                <w:sz w:val="24"/>
                <w:szCs w:val="24"/>
              </w:rPr>
              <w:t>169</w:t>
            </w:r>
          </w:p>
        </w:tc>
        <w:tc>
          <w:tcPr>
            <w:tcW w:w="1229" w:type="dxa"/>
            <w:noWrap/>
            <w:vAlign w:val="center"/>
            <w:hideMark/>
          </w:tcPr>
          <w:p w14:paraId="668C0255" w14:textId="77777777" w:rsidR="003B6AC4" w:rsidRPr="0087007B" w:rsidRDefault="003B6AC4" w:rsidP="00F7676F">
            <w:pPr>
              <w:pStyle w:val="SCVtablebody"/>
              <w:jc w:val="right"/>
              <w:rPr>
                <w:sz w:val="24"/>
                <w:szCs w:val="24"/>
              </w:rPr>
            </w:pPr>
            <w:r w:rsidRPr="0087007B">
              <w:rPr>
                <w:sz w:val="24"/>
                <w:szCs w:val="24"/>
              </w:rPr>
              <w:t>196</w:t>
            </w:r>
          </w:p>
        </w:tc>
      </w:tr>
      <w:tr w:rsidR="003B6AC4" w:rsidRPr="0087007B" w14:paraId="30FB632C" w14:textId="77777777" w:rsidTr="00F7676F">
        <w:trPr>
          <w:trHeight w:val="286"/>
        </w:trPr>
        <w:tc>
          <w:tcPr>
            <w:tcW w:w="6799" w:type="dxa"/>
            <w:shd w:val="clear" w:color="auto" w:fill="F2F2F2" w:themeFill="background1" w:themeFillShade="F2"/>
            <w:noWrap/>
            <w:hideMark/>
          </w:tcPr>
          <w:p w14:paraId="216CBA02" w14:textId="637DDCD6" w:rsidR="003B6AC4" w:rsidRPr="00F7676F" w:rsidRDefault="003B6AC4" w:rsidP="003C3174">
            <w:pPr>
              <w:pStyle w:val="SCVtablebody"/>
              <w:rPr>
                <w:b/>
                <w:color w:val="007586" w:themeColor="text2"/>
                <w:sz w:val="24"/>
                <w:szCs w:val="24"/>
              </w:rPr>
            </w:pPr>
            <w:r w:rsidRPr="00F7676F">
              <w:rPr>
                <w:b/>
                <w:color w:val="007586" w:themeColor="text2"/>
                <w:sz w:val="24"/>
                <w:szCs w:val="24"/>
              </w:rPr>
              <w:lastRenderedPageBreak/>
              <w:t>Total</w:t>
            </w:r>
          </w:p>
        </w:tc>
        <w:tc>
          <w:tcPr>
            <w:tcW w:w="1228" w:type="dxa"/>
            <w:shd w:val="clear" w:color="auto" w:fill="F2F2F2" w:themeFill="background1" w:themeFillShade="F2"/>
            <w:noWrap/>
            <w:vAlign w:val="center"/>
            <w:hideMark/>
          </w:tcPr>
          <w:p w14:paraId="632890ED" w14:textId="77777777" w:rsidR="003B6AC4" w:rsidRPr="002E4A8E" w:rsidRDefault="003B6AC4" w:rsidP="00F7676F">
            <w:pPr>
              <w:pStyle w:val="SCVtablebody"/>
              <w:jc w:val="right"/>
              <w:rPr>
                <w:b/>
                <w:bCs/>
                <w:sz w:val="24"/>
                <w:szCs w:val="24"/>
              </w:rPr>
            </w:pPr>
            <w:r w:rsidRPr="002E4A8E">
              <w:rPr>
                <w:b/>
                <w:bCs/>
                <w:sz w:val="24"/>
                <w:szCs w:val="24"/>
              </w:rPr>
              <w:t>245</w:t>
            </w:r>
          </w:p>
        </w:tc>
        <w:tc>
          <w:tcPr>
            <w:tcW w:w="1229" w:type="dxa"/>
            <w:shd w:val="clear" w:color="auto" w:fill="F2F2F2" w:themeFill="background1" w:themeFillShade="F2"/>
            <w:noWrap/>
            <w:vAlign w:val="center"/>
            <w:hideMark/>
          </w:tcPr>
          <w:p w14:paraId="264CC8C3" w14:textId="77777777" w:rsidR="003B6AC4" w:rsidRPr="002E4A8E" w:rsidRDefault="003B6AC4" w:rsidP="00F7676F">
            <w:pPr>
              <w:pStyle w:val="SCVtablebody"/>
              <w:jc w:val="right"/>
              <w:rPr>
                <w:b/>
                <w:bCs/>
                <w:sz w:val="24"/>
                <w:szCs w:val="24"/>
              </w:rPr>
            </w:pPr>
            <w:r w:rsidRPr="002E4A8E">
              <w:rPr>
                <w:b/>
                <w:bCs/>
                <w:sz w:val="24"/>
                <w:szCs w:val="24"/>
              </w:rPr>
              <w:t>193</w:t>
            </w:r>
          </w:p>
        </w:tc>
        <w:tc>
          <w:tcPr>
            <w:tcW w:w="1229" w:type="dxa"/>
            <w:shd w:val="clear" w:color="auto" w:fill="F2F2F2" w:themeFill="background1" w:themeFillShade="F2"/>
            <w:noWrap/>
            <w:vAlign w:val="center"/>
            <w:hideMark/>
          </w:tcPr>
          <w:p w14:paraId="6ABEB38F" w14:textId="77777777" w:rsidR="003B6AC4" w:rsidRPr="0087007B" w:rsidRDefault="003B6AC4" w:rsidP="00F7676F">
            <w:pPr>
              <w:pStyle w:val="SCVtablebody"/>
              <w:jc w:val="right"/>
              <w:rPr>
                <w:b/>
                <w:sz w:val="24"/>
                <w:szCs w:val="24"/>
              </w:rPr>
            </w:pPr>
            <w:r w:rsidRPr="0087007B">
              <w:rPr>
                <w:b/>
                <w:sz w:val="24"/>
                <w:szCs w:val="24"/>
              </w:rPr>
              <w:t>217</w:t>
            </w:r>
          </w:p>
        </w:tc>
      </w:tr>
    </w:tbl>
    <w:p w14:paraId="25F67D27" w14:textId="5D60DD23" w:rsidR="007E6B9C" w:rsidRPr="00180959" w:rsidRDefault="008F07B8" w:rsidP="00C36A5D">
      <w:pPr>
        <w:pStyle w:val="SCVbody"/>
        <w:spacing w:before="240"/>
      </w:pPr>
      <w:r>
        <w:t>S</w:t>
      </w:r>
      <w:r w:rsidR="00F20B4F">
        <w:t>ubcategories</w:t>
      </w:r>
      <w:r w:rsidR="008F4D69">
        <w:t xml:space="preserve"> are used</w:t>
      </w:r>
      <w:r w:rsidR="00824FA7">
        <w:t xml:space="preserve"> </w:t>
      </w:r>
      <w:r w:rsidR="00F20B4F">
        <w:t>based</w:t>
      </w:r>
      <w:r w:rsidR="00824FA7">
        <w:t xml:space="preserve"> </w:t>
      </w:r>
      <w:r w:rsidR="00F20B4F">
        <w:t>on</w:t>
      </w:r>
      <w:r w:rsidR="00824FA7">
        <w:t xml:space="preserve"> </w:t>
      </w:r>
      <w:r w:rsidR="00F20B4F">
        <w:t>the</w:t>
      </w:r>
      <w:r w:rsidR="00824FA7">
        <w:t xml:space="preserve"> </w:t>
      </w:r>
      <w:r w:rsidR="00F20B4F">
        <w:t>World</w:t>
      </w:r>
      <w:r w:rsidR="00824FA7">
        <w:t xml:space="preserve"> </w:t>
      </w:r>
      <w:r w:rsidR="00F20B4F">
        <w:t>Health</w:t>
      </w:r>
      <w:r w:rsidR="00824FA7">
        <w:t xml:space="preserve"> </w:t>
      </w:r>
      <w:r w:rsidR="00F20B4F">
        <w:t>Organization’s</w:t>
      </w:r>
      <w:r w:rsidR="00824FA7">
        <w:t xml:space="preserve"> </w:t>
      </w:r>
      <w:r w:rsidR="00F20B4F">
        <w:t>International</w:t>
      </w:r>
      <w:r w:rsidR="00824FA7">
        <w:t xml:space="preserve"> </w:t>
      </w:r>
      <w:r w:rsidR="00F20B4F">
        <w:t>Classification</w:t>
      </w:r>
      <w:r w:rsidR="00824FA7">
        <w:t xml:space="preserve"> </w:t>
      </w:r>
      <w:r w:rsidR="00F20B4F">
        <w:t>for</w:t>
      </w:r>
      <w:r w:rsidR="00824FA7">
        <w:t xml:space="preserve"> </w:t>
      </w:r>
      <w:r w:rsidR="00F20B4F">
        <w:t>Patient</w:t>
      </w:r>
      <w:r w:rsidR="00824FA7">
        <w:t xml:space="preserve"> </w:t>
      </w:r>
      <w:r w:rsidR="00F20B4F">
        <w:t>Safety</w:t>
      </w:r>
      <w:r w:rsidR="00824FA7">
        <w:t xml:space="preserve"> </w:t>
      </w:r>
      <w:r w:rsidR="00F20B4F">
        <w:t>(ICPS)</w:t>
      </w:r>
      <w:r w:rsidR="00824FA7">
        <w:t xml:space="preserve"> </w:t>
      </w:r>
      <w:r w:rsidR="00F20B4F">
        <w:t>for</w:t>
      </w:r>
      <w:r w:rsidR="00824FA7">
        <w:t xml:space="preserve"> </w:t>
      </w:r>
      <w:r w:rsidR="00F20B4F">
        <w:t>events</w:t>
      </w:r>
      <w:r w:rsidR="00824FA7">
        <w:t xml:space="preserve"> </w:t>
      </w:r>
      <w:r w:rsidR="00F20B4F">
        <w:t>notified</w:t>
      </w:r>
      <w:r w:rsidR="00824FA7">
        <w:t xml:space="preserve"> </w:t>
      </w:r>
      <w:r w:rsidR="00F20B4F">
        <w:t>under</w:t>
      </w:r>
      <w:r w:rsidR="00824FA7">
        <w:t xml:space="preserve"> </w:t>
      </w:r>
      <w:r w:rsidR="00F20B4F">
        <w:t>the</w:t>
      </w:r>
      <w:r w:rsidR="00824FA7">
        <w:t xml:space="preserve"> </w:t>
      </w:r>
      <w:r w:rsidR="00F20B4F">
        <w:t>Victorian-only</w:t>
      </w:r>
      <w:r w:rsidR="00824FA7">
        <w:t xml:space="preserve"> </w:t>
      </w:r>
      <w:r w:rsidR="00876633">
        <w:t>c</w:t>
      </w:r>
      <w:r w:rsidR="00F20B4F">
        <w:t>ategory</w:t>
      </w:r>
      <w:r w:rsidR="00824FA7">
        <w:t xml:space="preserve"> </w:t>
      </w:r>
      <w:r w:rsidR="00F20B4F">
        <w:t>11</w:t>
      </w:r>
      <w:r w:rsidR="00B273A7">
        <w:t xml:space="preserve"> (Table </w:t>
      </w:r>
      <w:r w:rsidR="003B0EDA">
        <w:t>1</w:t>
      </w:r>
      <w:r w:rsidR="00417DE4">
        <w:t>4</w:t>
      </w:r>
      <w:r w:rsidR="00B273A7">
        <w:t>)</w:t>
      </w:r>
      <w:r w:rsidR="00F20B4F">
        <w:t>.</w:t>
      </w:r>
    </w:p>
    <w:p w14:paraId="73E68908" w14:textId="7BE2EE14" w:rsidR="009A3FEE" w:rsidRDefault="00D10A9F" w:rsidP="00D66DF0">
      <w:pPr>
        <w:pStyle w:val="SCVtablecaption"/>
      </w:pPr>
      <w:r>
        <w:t>Table</w:t>
      </w:r>
      <w:r w:rsidR="00824FA7">
        <w:t xml:space="preserve"> </w:t>
      </w:r>
      <w:r w:rsidR="001F00A4">
        <w:t>1</w:t>
      </w:r>
      <w:r w:rsidR="26726715">
        <w:t>6</w:t>
      </w:r>
      <w:r w:rsidR="002008E3">
        <w:t>:</w:t>
      </w:r>
      <w:r w:rsidR="00824FA7">
        <w:t xml:space="preserve"> </w:t>
      </w:r>
      <w:r>
        <w:t>Sentinel</w:t>
      </w:r>
      <w:r w:rsidR="00824FA7">
        <w:t xml:space="preserve"> </w:t>
      </w:r>
      <w:r>
        <w:t>event</w:t>
      </w:r>
      <w:r w:rsidR="00824FA7">
        <w:t xml:space="preserve"> </w:t>
      </w:r>
      <w:r>
        <w:t>notifications</w:t>
      </w:r>
      <w:r w:rsidR="00824FA7">
        <w:t xml:space="preserve"> </w:t>
      </w:r>
      <w:r>
        <w:t>as</w:t>
      </w:r>
      <w:r w:rsidR="00824FA7">
        <w:t xml:space="preserve"> </w:t>
      </w:r>
      <w:r>
        <w:t>a</w:t>
      </w:r>
      <w:r w:rsidR="00824FA7">
        <w:t xml:space="preserve"> </w:t>
      </w:r>
      <w:r>
        <w:t>percentage</w:t>
      </w:r>
      <w:r w:rsidR="00824FA7">
        <w:t xml:space="preserve"> </w:t>
      </w:r>
      <w:r>
        <w:t>of</w:t>
      </w:r>
      <w:r w:rsidR="00824FA7">
        <w:t xml:space="preserve"> </w:t>
      </w:r>
      <w:r>
        <w:t>all</w:t>
      </w:r>
      <w:r w:rsidR="00824FA7">
        <w:t xml:space="preserve"> </w:t>
      </w:r>
      <w:proofErr w:type="gramStart"/>
      <w:r w:rsidR="00876633">
        <w:t>c</w:t>
      </w:r>
      <w:r>
        <w:t>ategory</w:t>
      </w:r>
      <w:proofErr w:type="gramEnd"/>
      <w:r w:rsidR="00824FA7">
        <w:t xml:space="preserve"> </w:t>
      </w:r>
      <w:r>
        <w:t>11</w:t>
      </w:r>
      <w:r w:rsidR="00824FA7">
        <w:t xml:space="preserve"> </w:t>
      </w:r>
      <w:r>
        <w:t>events</w:t>
      </w:r>
      <w:r w:rsidR="00B00262">
        <w:t>, 2022</w:t>
      </w:r>
      <w:r w:rsidR="00B00262" w:rsidRPr="271C3A84">
        <w:rPr>
          <w:rFonts w:eastAsia="Times New Roman"/>
          <w:color w:val="006666"/>
        </w:rPr>
        <w:t>–</w:t>
      </w:r>
      <w:r w:rsidR="00B00262">
        <w:t>23 to 2024</w:t>
      </w:r>
      <w:r w:rsidR="00B00262" w:rsidRPr="271C3A84">
        <w:rPr>
          <w:rFonts w:eastAsia="Times New Roman"/>
          <w:color w:val="006666"/>
        </w:rPr>
        <w:t>–</w:t>
      </w:r>
      <w:r w:rsidR="00B00262">
        <w:t>25</w:t>
      </w:r>
    </w:p>
    <w:tbl>
      <w:tblPr>
        <w:tblStyle w:val="TableGrid"/>
        <w:tblW w:w="9890" w:type="dxa"/>
        <w:tblLook w:val="04A0" w:firstRow="1" w:lastRow="0" w:firstColumn="1" w:lastColumn="0" w:noHBand="0" w:noVBand="1"/>
      </w:tblPr>
      <w:tblGrid>
        <w:gridCol w:w="5588"/>
        <w:gridCol w:w="1434"/>
        <w:gridCol w:w="1434"/>
        <w:gridCol w:w="1434"/>
      </w:tblGrid>
      <w:tr w:rsidR="009A3FEE" w:rsidRPr="00EE4D49" w14:paraId="67B4A51F" w14:textId="77777777" w:rsidTr="00F7676F">
        <w:trPr>
          <w:cnfStyle w:val="100000000000" w:firstRow="1" w:lastRow="0" w:firstColumn="0" w:lastColumn="0" w:oddVBand="0" w:evenVBand="0" w:oddHBand="0" w:evenHBand="0" w:firstRowFirstColumn="0" w:firstRowLastColumn="0" w:lastRowFirstColumn="0" w:lastRowLastColumn="0"/>
          <w:trHeight w:val="280"/>
        </w:trPr>
        <w:tc>
          <w:tcPr>
            <w:tcW w:w="5588" w:type="dxa"/>
            <w:noWrap/>
            <w:hideMark/>
          </w:tcPr>
          <w:p w14:paraId="649E37BF" w14:textId="31729EB7" w:rsidR="009A3FEE" w:rsidRPr="00EE4D49" w:rsidRDefault="009A3FEE" w:rsidP="00D66DF0">
            <w:pPr>
              <w:pStyle w:val="SCVtablecolhead"/>
              <w:rPr>
                <w:sz w:val="24"/>
                <w:szCs w:val="24"/>
              </w:rPr>
            </w:pPr>
            <w:r w:rsidRPr="00EE4D49">
              <w:rPr>
                <w:sz w:val="24"/>
                <w:szCs w:val="24"/>
              </w:rPr>
              <w:t>Sub-category</w:t>
            </w:r>
          </w:p>
        </w:tc>
        <w:tc>
          <w:tcPr>
            <w:tcW w:w="1434" w:type="dxa"/>
            <w:noWrap/>
            <w:vAlign w:val="center"/>
            <w:hideMark/>
          </w:tcPr>
          <w:p w14:paraId="24CD878F" w14:textId="638FA8D2" w:rsidR="009A3FEE" w:rsidRPr="00EE4D49" w:rsidRDefault="009A3FEE" w:rsidP="00F7676F">
            <w:pPr>
              <w:pStyle w:val="SCVtablecolhead"/>
              <w:jc w:val="right"/>
              <w:rPr>
                <w:sz w:val="24"/>
                <w:szCs w:val="24"/>
              </w:rPr>
            </w:pPr>
            <w:r w:rsidRPr="00EE4D49">
              <w:rPr>
                <w:sz w:val="24"/>
                <w:szCs w:val="24"/>
              </w:rPr>
              <w:t>2022</w:t>
            </w:r>
            <w:r w:rsidR="00C709B6" w:rsidRPr="00EE4D49">
              <w:rPr>
                <w:bCs/>
                <w:sz w:val="24"/>
                <w:szCs w:val="24"/>
              </w:rPr>
              <w:t>–</w:t>
            </w:r>
            <w:r w:rsidRPr="00EE4D49">
              <w:rPr>
                <w:sz w:val="24"/>
                <w:szCs w:val="24"/>
              </w:rPr>
              <w:t>23</w:t>
            </w:r>
          </w:p>
        </w:tc>
        <w:tc>
          <w:tcPr>
            <w:tcW w:w="1434" w:type="dxa"/>
            <w:noWrap/>
            <w:vAlign w:val="center"/>
            <w:hideMark/>
          </w:tcPr>
          <w:p w14:paraId="7BD6455F" w14:textId="0B4B902C" w:rsidR="009A3FEE" w:rsidRPr="00EE4D49" w:rsidRDefault="009A3FEE" w:rsidP="00F7676F">
            <w:pPr>
              <w:pStyle w:val="SCVtablecolhead"/>
              <w:jc w:val="right"/>
              <w:rPr>
                <w:sz w:val="24"/>
                <w:szCs w:val="24"/>
              </w:rPr>
            </w:pPr>
            <w:r w:rsidRPr="00EE4D49">
              <w:rPr>
                <w:sz w:val="24"/>
                <w:szCs w:val="24"/>
              </w:rPr>
              <w:t>2023</w:t>
            </w:r>
            <w:r w:rsidR="00C709B6" w:rsidRPr="00EE4D49">
              <w:rPr>
                <w:bCs/>
                <w:sz w:val="24"/>
                <w:szCs w:val="24"/>
              </w:rPr>
              <w:t>–</w:t>
            </w:r>
            <w:r w:rsidRPr="00EE4D49">
              <w:rPr>
                <w:sz w:val="24"/>
                <w:szCs w:val="24"/>
              </w:rPr>
              <w:t>24</w:t>
            </w:r>
          </w:p>
        </w:tc>
        <w:tc>
          <w:tcPr>
            <w:tcW w:w="1434" w:type="dxa"/>
            <w:noWrap/>
            <w:vAlign w:val="center"/>
            <w:hideMark/>
          </w:tcPr>
          <w:p w14:paraId="66305834" w14:textId="4AD0C6A1" w:rsidR="009A3FEE" w:rsidRPr="00EE4D49" w:rsidRDefault="009A3FEE" w:rsidP="00F7676F">
            <w:pPr>
              <w:pStyle w:val="SCVtablecolhead"/>
              <w:jc w:val="right"/>
              <w:rPr>
                <w:color w:val="FFFFFF"/>
                <w:sz w:val="24"/>
                <w:szCs w:val="24"/>
              </w:rPr>
            </w:pPr>
            <w:r w:rsidRPr="00EE4D49">
              <w:rPr>
                <w:bCs/>
                <w:sz w:val="24"/>
                <w:szCs w:val="24"/>
              </w:rPr>
              <w:t>2024</w:t>
            </w:r>
            <w:r w:rsidR="00C709B6" w:rsidRPr="00EE4D49">
              <w:rPr>
                <w:bCs/>
                <w:sz w:val="24"/>
                <w:szCs w:val="24"/>
              </w:rPr>
              <w:t>–</w:t>
            </w:r>
            <w:r w:rsidRPr="00EE4D49">
              <w:rPr>
                <w:bCs/>
                <w:sz w:val="24"/>
                <w:szCs w:val="24"/>
              </w:rPr>
              <w:t>25</w:t>
            </w:r>
          </w:p>
        </w:tc>
      </w:tr>
      <w:tr w:rsidR="009A3FEE" w:rsidRPr="00EE4D49" w14:paraId="3181A7A6" w14:textId="77777777" w:rsidTr="00F7676F">
        <w:trPr>
          <w:trHeight w:val="280"/>
        </w:trPr>
        <w:tc>
          <w:tcPr>
            <w:tcW w:w="5588" w:type="dxa"/>
            <w:noWrap/>
            <w:hideMark/>
          </w:tcPr>
          <w:p w14:paraId="182F7520"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Nutrition</w:t>
            </w:r>
          </w:p>
        </w:tc>
        <w:tc>
          <w:tcPr>
            <w:tcW w:w="1434" w:type="dxa"/>
            <w:noWrap/>
            <w:vAlign w:val="center"/>
            <w:hideMark/>
          </w:tcPr>
          <w:p w14:paraId="6FACFE73" w14:textId="77777777" w:rsidR="009A3FEE" w:rsidRPr="00EE4D49" w:rsidRDefault="009A3FEE" w:rsidP="00F7676F">
            <w:pPr>
              <w:pStyle w:val="SCVtablebody"/>
              <w:jc w:val="right"/>
              <w:rPr>
                <w:color w:val="000000"/>
                <w:sz w:val="24"/>
                <w:szCs w:val="24"/>
              </w:rPr>
            </w:pPr>
            <w:r w:rsidRPr="00EE4D49">
              <w:rPr>
                <w:color w:val="000000"/>
                <w:sz w:val="24"/>
                <w:szCs w:val="24"/>
              </w:rPr>
              <w:t>0%</w:t>
            </w:r>
          </w:p>
        </w:tc>
        <w:tc>
          <w:tcPr>
            <w:tcW w:w="1434" w:type="dxa"/>
            <w:noWrap/>
            <w:vAlign w:val="center"/>
            <w:hideMark/>
          </w:tcPr>
          <w:p w14:paraId="5AAA79F6" w14:textId="77777777" w:rsidR="009A3FEE" w:rsidRPr="00EE4D49" w:rsidRDefault="009A3FEE" w:rsidP="00F7676F">
            <w:pPr>
              <w:pStyle w:val="SCVtablebody"/>
              <w:jc w:val="right"/>
              <w:rPr>
                <w:color w:val="000000"/>
                <w:sz w:val="24"/>
                <w:szCs w:val="24"/>
              </w:rPr>
            </w:pPr>
            <w:r w:rsidRPr="00EE4D49">
              <w:rPr>
                <w:color w:val="000000"/>
                <w:sz w:val="24"/>
                <w:szCs w:val="24"/>
              </w:rPr>
              <w:t>1%</w:t>
            </w:r>
          </w:p>
        </w:tc>
        <w:tc>
          <w:tcPr>
            <w:tcW w:w="1434" w:type="dxa"/>
            <w:noWrap/>
            <w:vAlign w:val="center"/>
            <w:hideMark/>
          </w:tcPr>
          <w:p w14:paraId="5915B9B1" w14:textId="77777777" w:rsidR="009A3FEE" w:rsidRPr="00EE4D49" w:rsidRDefault="009A3FEE" w:rsidP="00F7676F">
            <w:pPr>
              <w:pStyle w:val="SCVtablebody"/>
              <w:jc w:val="right"/>
              <w:rPr>
                <w:color w:val="000000"/>
                <w:sz w:val="24"/>
                <w:szCs w:val="24"/>
              </w:rPr>
            </w:pPr>
            <w:r w:rsidRPr="00EE4D49">
              <w:rPr>
                <w:color w:val="000000"/>
                <w:sz w:val="24"/>
                <w:szCs w:val="24"/>
              </w:rPr>
              <w:t>2%</w:t>
            </w:r>
          </w:p>
        </w:tc>
      </w:tr>
      <w:tr w:rsidR="009A3FEE" w:rsidRPr="00EE4D49" w14:paraId="38FC0539" w14:textId="77777777" w:rsidTr="00F7676F">
        <w:trPr>
          <w:trHeight w:val="280"/>
        </w:trPr>
        <w:tc>
          <w:tcPr>
            <w:tcW w:w="5588" w:type="dxa"/>
            <w:noWrap/>
            <w:hideMark/>
          </w:tcPr>
          <w:p w14:paraId="560957CE"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Medical device or equipment</w:t>
            </w:r>
          </w:p>
        </w:tc>
        <w:tc>
          <w:tcPr>
            <w:tcW w:w="1434" w:type="dxa"/>
            <w:noWrap/>
            <w:vAlign w:val="center"/>
            <w:hideMark/>
          </w:tcPr>
          <w:p w14:paraId="3F7A6522" w14:textId="77777777" w:rsidR="009A3FEE" w:rsidRPr="00EE4D49" w:rsidRDefault="009A3FEE" w:rsidP="00F7676F">
            <w:pPr>
              <w:pStyle w:val="SCVtablebody"/>
              <w:jc w:val="right"/>
              <w:rPr>
                <w:color w:val="000000"/>
                <w:sz w:val="24"/>
                <w:szCs w:val="24"/>
              </w:rPr>
            </w:pPr>
            <w:r w:rsidRPr="00EE4D49">
              <w:rPr>
                <w:color w:val="000000"/>
                <w:sz w:val="24"/>
                <w:szCs w:val="24"/>
              </w:rPr>
              <w:t>2%</w:t>
            </w:r>
          </w:p>
        </w:tc>
        <w:tc>
          <w:tcPr>
            <w:tcW w:w="1434" w:type="dxa"/>
            <w:noWrap/>
            <w:vAlign w:val="center"/>
            <w:hideMark/>
          </w:tcPr>
          <w:p w14:paraId="5586A763" w14:textId="77777777" w:rsidR="009A3FEE" w:rsidRPr="00EE4D49" w:rsidRDefault="009A3FEE" w:rsidP="00F7676F">
            <w:pPr>
              <w:pStyle w:val="SCVtablebody"/>
              <w:jc w:val="right"/>
              <w:rPr>
                <w:color w:val="000000"/>
                <w:sz w:val="24"/>
                <w:szCs w:val="24"/>
              </w:rPr>
            </w:pPr>
            <w:r w:rsidRPr="00EE4D49">
              <w:rPr>
                <w:color w:val="000000"/>
                <w:sz w:val="24"/>
                <w:szCs w:val="24"/>
              </w:rPr>
              <w:t>2%</w:t>
            </w:r>
          </w:p>
        </w:tc>
        <w:tc>
          <w:tcPr>
            <w:tcW w:w="1434" w:type="dxa"/>
            <w:noWrap/>
            <w:vAlign w:val="center"/>
            <w:hideMark/>
          </w:tcPr>
          <w:p w14:paraId="29D0593B" w14:textId="77777777" w:rsidR="009A3FEE" w:rsidRPr="00EE4D49" w:rsidRDefault="009A3FEE" w:rsidP="00F7676F">
            <w:pPr>
              <w:pStyle w:val="SCVtablebody"/>
              <w:jc w:val="right"/>
              <w:rPr>
                <w:color w:val="000000"/>
                <w:sz w:val="24"/>
                <w:szCs w:val="24"/>
              </w:rPr>
            </w:pPr>
            <w:r w:rsidRPr="00EE4D49">
              <w:rPr>
                <w:color w:val="000000"/>
                <w:sz w:val="24"/>
                <w:szCs w:val="24"/>
              </w:rPr>
              <w:t>3%</w:t>
            </w:r>
          </w:p>
        </w:tc>
      </w:tr>
      <w:tr w:rsidR="009A3FEE" w:rsidRPr="00EE4D49" w14:paraId="4745831E" w14:textId="77777777" w:rsidTr="00F7676F">
        <w:trPr>
          <w:trHeight w:val="280"/>
        </w:trPr>
        <w:tc>
          <w:tcPr>
            <w:tcW w:w="5588" w:type="dxa"/>
            <w:noWrap/>
            <w:hideMark/>
          </w:tcPr>
          <w:p w14:paraId="37613EEA"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Patient accident</w:t>
            </w:r>
          </w:p>
        </w:tc>
        <w:tc>
          <w:tcPr>
            <w:tcW w:w="1434" w:type="dxa"/>
            <w:noWrap/>
            <w:vAlign w:val="center"/>
            <w:hideMark/>
          </w:tcPr>
          <w:p w14:paraId="28B75D5E" w14:textId="77777777" w:rsidR="009A3FEE" w:rsidRPr="00EE4D49" w:rsidRDefault="009A3FEE" w:rsidP="00F7676F">
            <w:pPr>
              <w:pStyle w:val="SCVtablebody"/>
              <w:jc w:val="right"/>
              <w:rPr>
                <w:color w:val="000000"/>
                <w:sz w:val="24"/>
                <w:szCs w:val="24"/>
              </w:rPr>
            </w:pPr>
            <w:r w:rsidRPr="00EE4D49">
              <w:rPr>
                <w:color w:val="000000"/>
                <w:sz w:val="24"/>
                <w:szCs w:val="24"/>
              </w:rPr>
              <w:t>2%</w:t>
            </w:r>
          </w:p>
        </w:tc>
        <w:tc>
          <w:tcPr>
            <w:tcW w:w="1434" w:type="dxa"/>
            <w:noWrap/>
            <w:vAlign w:val="center"/>
            <w:hideMark/>
          </w:tcPr>
          <w:p w14:paraId="1D85A822" w14:textId="77777777" w:rsidR="009A3FEE" w:rsidRPr="00EE4D49" w:rsidRDefault="009A3FEE" w:rsidP="00F7676F">
            <w:pPr>
              <w:pStyle w:val="SCVtablebody"/>
              <w:jc w:val="right"/>
              <w:rPr>
                <w:color w:val="000000"/>
                <w:sz w:val="24"/>
                <w:szCs w:val="24"/>
              </w:rPr>
            </w:pPr>
            <w:r w:rsidRPr="00EE4D49">
              <w:rPr>
                <w:color w:val="000000"/>
                <w:sz w:val="24"/>
                <w:szCs w:val="24"/>
              </w:rPr>
              <w:t>1%</w:t>
            </w:r>
          </w:p>
        </w:tc>
        <w:tc>
          <w:tcPr>
            <w:tcW w:w="1434" w:type="dxa"/>
            <w:noWrap/>
            <w:vAlign w:val="center"/>
            <w:hideMark/>
          </w:tcPr>
          <w:p w14:paraId="2B8FD0AF" w14:textId="77777777" w:rsidR="009A3FEE" w:rsidRPr="00EE4D49" w:rsidRDefault="009A3FEE" w:rsidP="00F7676F">
            <w:pPr>
              <w:pStyle w:val="SCVtablebody"/>
              <w:jc w:val="right"/>
              <w:rPr>
                <w:color w:val="000000"/>
                <w:sz w:val="24"/>
                <w:szCs w:val="24"/>
              </w:rPr>
            </w:pPr>
            <w:r w:rsidRPr="00EE4D49">
              <w:rPr>
                <w:color w:val="000000"/>
                <w:sz w:val="24"/>
                <w:szCs w:val="24"/>
              </w:rPr>
              <w:t>0%</w:t>
            </w:r>
          </w:p>
        </w:tc>
      </w:tr>
      <w:tr w:rsidR="009A3FEE" w:rsidRPr="00EE4D49" w14:paraId="14B77177" w14:textId="77777777" w:rsidTr="00F7676F">
        <w:trPr>
          <w:trHeight w:val="280"/>
        </w:trPr>
        <w:tc>
          <w:tcPr>
            <w:tcW w:w="5588" w:type="dxa"/>
            <w:noWrap/>
            <w:hideMark/>
          </w:tcPr>
          <w:p w14:paraId="50C402EB"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Resource or organisational management</w:t>
            </w:r>
          </w:p>
        </w:tc>
        <w:tc>
          <w:tcPr>
            <w:tcW w:w="1434" w:type="dxa"/>
            <w:noWrap/>
            <w:vAlign w:val="center"/>
            <w:hideMark/>
          </w:tcPr>
          <w:p w14:paraId="0AB0D63A" w14:textId="77777777" w:rsidR="009A3FEE" w:rsidRPr="00EE4D49" w:rsidRDefault="009A3FEE" w:rsidP="00F7676F">
            <w:pPr>
              <w:pStyle w:val="SCVtablebody"/>
              <w:jc w:val="right"/>
              <w:rPr>
                <w:color w:val="000000"/>
                <w:sz w:val="24"/>
                <w:szCs w:val="24"/>
              </w:rPr>
            </w:pPr>
            <w:r w:rsidRPr="00EE4D49">
              <w:rPr>
                <w:color w:val="000000"/>
                <w:sz w:val="24"/>
                <w:szCs w:val="24"/>
              </w:rPr>
              <w:t>5%</w:t>
            </w:r>
          </w:p>
        </w:tc>
        <w:tc>
          <w:tcPr>
            <w:tcW w:w="1434" w:type="dxa"/>
            <w:noWrap/>
            <w:vAlign w:val="center"/>
            <w:hideMark/>
          </w:tcPr>
          <w:p w14:paraId="3D173547" w14:textId="77777777" w:rsidR="009A3FEE" w:rsidRPr="00EE4D49" w:rsidRDefault="009A3FEE" w:rsidP="00F7676F">
            <w:pPr>
              <w:pStyle w:val="SCVtablebody"/>
              <w:jc w:val="right"/>
              <w:rPr>
                <w:color w:val="000000"/>
                <w:sz w:val="24"/>
                <w:szCs w:val="24"/>
              </w:rPr>
            </w:pPr>
            <w:r w:rsidRPr="00EE4D49">
              <w:rPr>
                <w:color w:val="000000"/>
                <w:sz w:val="24"/>
                <w:szCs w:val="24"/>
              </w:rPr>
              <w:t>1%</w:t>
            </w:r>
          </w:p>
        </w:tc>
        <w:tc>
          <w:tcPr>
            <w:tcW w:w="1434" w:type="dxa"/>
            <w:noWrap/>
            <w:vAlign w:val="center"/>
            <w:hideMark/>
          </w:tcPr>
          <w:p w14:paraId="3E63C633" w14:textId="77777777" w:rsidR="009A3FEE" w:rsidRPr="00EE4D49" w:rsidRDefault="009A3FEE" w:rsidP="00F7676F">
            <w:pPr>
              <w:pStyle w:val="SCVtablebody"/>
              <w:jc w:val="right"/>
              <w:rPr>
                <w:color w:val="000000"/>
                <w:sz w:val="24"/>
                <w:szCs w:val="24"/>
              </w:rPr>
            </w:pPr>
            <w:r w:rsidRPr="00EE4D49">
              <w:rPr>
                <w:color w:val="000000"/>
                <w:sz w:val="24"/>
                <w:szCs w:val="24"/>
              </w:rPr>
              <w:t>1%</w:t>
            </w:r>
          </w:p>
        </w:tc>
      </w:tr>
      <w:tr w:rsidR="009A3FEE" w:rsidRPr="00EE4D49" w14:paraId="7FCE15AA" w14:textId="77777777" w:rsidTr="00F7676F">
        <w:trPr>
          <w:trHeight w:val="280"/>
        </w:trPr>
        <w:tc>
          <w:tcPr>
            <w:tcW w:w="5588" w:type="dxa"/>
            <w:noWrap/>
            <w:hideMark/>
          </w:tcPr>
          <w:p w14:paraId="5C889B06"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Communication of clinical information</w:t>
            </w:r>
          </w:p>
        </w:tc>
        <w:tc>
          <w:tcPr>
            <w:tcW w:w="1434" w:type="dxa"/>
            <w:noWrap/>
            <w:vAlign w:val="center"/>
            <w:hideMark/>
          </w:tcPr>
          <w:p w14:paraId="7FB0293D" w14:textId="77777777" w:rsidR="009A3FEE" w:rsidRPr="00EE4D49" w:rsidRDefault="009A3FEE" w:rsidP="00F7676F">
            <w:pPr>
              <w:pStyle w:val="SCVtablebody"/>
              <w:jc w:val="right"/>
              <w:rPr>
                <w:color w:val="000000"/>
                <w:sz w:val="24"/>
                <w:szCs w:val="24"/>
              </w:rPr>
            </w:pPr>
            <w:r w:rsidRPr="00EE4D49">
              <w:rPr>
                <w:color w:val="000000"/>
                <w:sz w:val="24"/>
                <w:szCs w:val="24"/>
              </w:rPr>
              <w:t>6%</w:t>
            </w:r>
          </w:p>
        </w:tc>
        <w:tc>
          <w:tcPr>
            <w:tcW w:w="1434" w:type="dxa"/>
            <w:noWrap/>
            <w:vAlign w:val="center"/>
            <w:hideMark/>
          </w:tcPr>
          <w:p w14:paraId="242B173A" w14:textId="77777777" w:rsidR="009A3FEE" w:rsidRPr="00EE4D49" w:rsidRDefault="009A3FEE" w:rsidP="00F7676F">
            <w:pPr>
              <w:pStyle w:val="SCVtablebody"/>
              <w:jc w:val="right"/>
              <w:rPr>
                <w:color w:val="000000"/>
                <w:sz w:val="24"/>
                <w:szCs w:val="24"/>
              </w:rPr>
            </w:pPr>
            <w:r w:rsidRPr="00EE4D49">
              <w:rPr>
                <w:color w:val="000000"/>
                <w:sz w:val="24"/>
                <w:szCs w:val="24"/>
              </w:rPr>
              <w:t>11%</w:t>
            </w:r>
          </w:p>
        </w:tc>
        <w:tc>
          <w:tcPr>
            <w:tcW w:w="1434" w:type="dxa"/>
            <w:noWrap/>
            <w:vAlign w:val="center"/>
            <w:hideMark/>
          </w:tcPr>
          <w:p w14:paraId="2426CE89" w14:textId="77777777" w:rsidR="009A3FEE" w:rsidRPr="00EE4D49" w:rsidRDefault="009A3FEE" w:rsidP="00F7676F">
            <w:pPr>
              <w:pStyle w:val="SCVtablebody"/>
              <w:jc w:val="right"/>
              <w:rPr>
                <w:color w:val="000000"/>
                <w:sz w:val="24"/>
                <w:szCs w:val="24"/>
              </w:rPr>
            </w:pPr>
            <w:r w:rsidRPr="00EE4D49">
              <w:rPr>
                <w:color w:val="000000"/>
                <w:sz w:val="24"/>
                <w:szCs w:val="24"/>
              </w:rPr>
              <w:t>7%</w:t>
            </w:r>
          </w:p>
        </w:tc>
      </w:tr>
      <w:tr w:rsidR="009A3FEE" w:rsidRPr="00EE4D49" w14:paraId="6E7BEC02" w14:textId="77777777" w:rsidTr="00F7676F">
        <w:trPr>
          <w:trHeight w:val="280"/>
        </w:trPr>
        <w:tc>
          <w:tcPr>
            <w:tcW w:w="5588" w:type="dxa"/>
            <w:noWrap/>
            <w:hideMark/>
          </w:tcPr>
          <w:p w14:paraId="202207EE"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Self-harm</w:t>
            </w:r>
          </w:p>
        </w:tc>
        <w:tc>
          <w:tcPr>
            <w:tcW w:w="1434" w:type="dxa"/>
            <w:noWrap/>
            <w:vAlign w:val="center"/>
            <w:hideMark/>
          </w:tcPr>
          <w:p w14:paraId="549701F6" w14:textId="77777777" w:rsidR="009A3FEE" w:rsidRPr="00EE4D49" w:rsidRDefault="009A3FEE" w:rsidP="00F7676F">
            <w:pPr>
              <w:pStyle w:val="SCVtablebody"/>
              <w:jc w:val="right"/>
              <w:rPr>
                <w:color w:val="000000"/>
                <w:sz w:val="24"/>
                <w:szCs w:val="24"/>
              </w:rPr>
            </w:pPr>
            <w:r w:rsidRPr="00EE4D49">
              <w:rPr>
                <w:color w:val="000000"/>
                <w:sz w:val="24"/>
                <w:szCs w:val="24"/>
              </w:rPr>
              <w:t>7%</w:t>
            </w:r>
          </w:p>
        </w:tc>
        <w:tc>
          <w:tcPr>
            <w:tcW w:w="1434" w:type="dxa"/>
            <w:noWrap/>
            <w:vAlign w:val="center"/>
            <w:hideMark/>
          </w:tcPr>
          <w:p w14:paraId="403325AA" w14:textId="77777777" w:rsidR="009A3FEE" w:rsidRPr="00EE4D49" w:rsidRDefault="009A3FEE" w:rsidP="00F7676F">
            <w:pPr>
              <w:pStyle w:val="SCVtablebody"/>
              <w:jc w:val="right"/>
              <w:rPr>
                <w:color w:val="000000"/>
                <w:sz w:val="24"/>
                <w:szCs w:val="24"/>
              </w:rPr>
            </w:pPr>
            <w:r w:rsidRPr="00EE4D49">
              <w:rPr>
                <w:color w:val="000000"/>
                <w:sz w:val="24"/>
                <w:szCs w:val="24"/>
              </w:rPr>
              <w:t>10%</w:t>
            </w:r>
          </w:p>
        </w:tc>
        <w:tc>
          <w:tcPr>
            <w:tcW w:w="1434" w:type="dxa"/>
            <w:noWrap/>
            <w:vAlign w:val="center"/>
            <w:hideMark/>
          </w:tcPr>
          <w:p w14:paraId="0538C8CC" w14:textId="77777777" w:rsidR="009A3FEE" w:rsidRPr="00EE4D49" w:rsidRDefault="009A3FEE" w:rsidP="00F7676F">
            <w:pPr>
              <w:pStyle w:val="SCVtablebody"/>
              <w:jc w:val="right"/>
              <w:rPr>
                <w:color w:val="000000"/>
                <w:sz w:val="24"/>
                <w:szCs w:val="24"/>
              </w:rPr>
            </w:pPr>
            <w:r w:rsidRPr="00EE4D49">
              <w:rPr>
                <w:color w:val="000000"/>
                <w:sz w:val="24"/>
                <w:szCs w:val="24"/>
              </w:rPr>
              <w:t>12%</w:t>
            </w:r>
          </w:p>
        </w:tc>
      </w:tr>
      <w:tr w:rsidR="009A3FEE" w:rsidRPr="00EE4D49" w14:paraId="4D6DE40A" w14:textId="77777777" w:rsidTr="00F7676F">
        <w:trPr>
          <w:trHeight w:val="280"/>
        </w:trPr>
        <w:tc>
          <w:tcPr>
            <w:tcW w:w="5588" w:type="dxa"/>
            <w:noWrap/>
            <w:hideMark/>
          </w:tcPr>
          <w:p w14:paraId="231A07E2" w14:textId="153FA98D"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Healthcare</w:t>
            </w:r>
            <w:r w:rsidR="00A7620C" w:rsidRPr="00F7676F">
              <w:rPr>
                <w:b/>
                <w:bCs/>
                <w:color w:val="007586" w:themeColor="text2"/>
                <w:sz w:val="24"/>
                <w:szCs w:val="24"/>
              </w:rPr>
              <w:t>-</w:t>
            </w:r>
            <w:r w:rsidRPr="00F7676F">
              <w:rPr>
                <w:b/>
                <w:bCs/>
                <w:color w:val="007586" w:themeColor="text2"/>
                <w:sz w:val="24"/>
                <w:szCs w:val="24"/>
              </w:rPr>
              <w:t>associated infection</w:t>
            </w:r>
          </w:p>
        </w:tc>
        <w:tc>
          <w:tcPr>
            <w:tcW w:w="1434" w:type="dxa"/>
            <w:noWrap/>
            <w:vAlign w:val="center"/>
            <w:hideMark/>
          </w:tcPr>
          <w:p w14:paraId="38AD2605" w14:textId="77777777" w:rsidR="009A3FEE" w:rsidRPr="00EE4D49" w:rsidRDefault="009A3FEE" w:rsidP="00F7676F">
            <w:pPr>
              <w:pStyle w:val="SCVtablebody"/>
              <w:jc w:val="right"/>
              <w:rPr>
                <w:color w:val="000000"/>
                <w:sz w:val="24"/>
                <w:szCs w:val="24"/>
              </w:rPr>
            </w:pPr>
            <w:r w:rsidRPr="00EE4D49">
              <w:rPr>
                <w:color w:val="000000"/>
                <w:sz w:val="24"/>
                <w:szCs w:val="24"/>
              </w:rPr>
              <w:t>9%</w:t>
            </w:r>
          </w:p>
        </w:tc>
        <w:tc>
          <w:tcPr>
            <w:tcW w:w="1434" w:type="dxa"/>
            <w:noWrap/>
            <w:vAlign w:val="center"/>
            <w:hideMark/>
          </w:tcPr>
          <w:p w14:paraId="65985B24" w14:textId="77777777" w:rsidR="009A3FEE" w:rsidRPr="00EE4D49" w:rsidRDefault="009A3FEE" w:rsidP="00F7676F">
            <w:pPr>
              <w:pStyle w:val="SCVtablebody"/>
              <w:jc w:val="right"/>
              <w:rPr>
                <w:color w:val="000000"/>
                <w:sz w:val="24"/>
                <w:szCs w:val="24"/>
              </w:rPr>
            </w:pPr>
            <w:r w:rsidRPr="00EE4D49">
              <w:rPr>
                <w:color w:val="000000"/>
                <w:sz w:val="24"/>
                <w:szCs w:val="24"/>
              </w:rPr>
              <w:t>1%</w:t>
            </w:r>
          </w:p>
        </w:tc>
        <w:tc>
          <w:tcPr>
            <w:tcW w:w="1434" w:type="dxa"/>
            <w:noWrap/>
            <w:vAlign w:val="center"/>
            <w:hideMark/>
          </w:tcPr>
          <w:p w14:paraId="20ED5F4D" w14:textId="77777777" w:rsidR="009A3FEE" w:rsidRPr="00EE4D49" w:rsidRDefault="009A3FEE" w:rsidP="00F7676F">
            <w:pPr>
              <w:pStyle w:val="SCVtablebody"/>
              <w:jc w:val="right"/>
              <w:rPr>
                <w:color w:val="000000"/>
                <w:sz w:val="24"/>
                <w:szCs w:val="24"/>
              </w:rPr>
            </w:pPr>
            <w:r w:rsidRPr="00EE4D49">
              <w:rPr>
                <w:color w:val="000000"/>
                <w:sz w:val="24"/>
                <w:szCs w:val="24"/>
              </w:rPr>
              <w:t>1%</w:t>
            </w:r>
          </w:p>
        </w:tc>
      </w:tr>
      <w:tr w:rsidR="009A3FEE" w:rsidRPr="00EE4D49" w14:paraId="7C33B807" w14:textId="77777777" w:rsidTr="00F7676F">
        <w:trPr>
          <w:trHeight w:val="280"/>
        </w:trPr>
        <w:tc>
          <w:tcPr>
            <w:tcW w:w="5588" w:type="dxa"/>
            <w:noWrap/>
            <w:hideMark/>
          </w:tcPr>
          <w:p w14:paraId="0BD23006"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Falls</w:t>
            </w:r>
          </w:p>
        </w:tc>
        <w:tc>
          <w:tcPr>
            <w:tcW w:w="1434" w:type="dxa"/>
            <w:noWrap/>
            <w:vAlign w:val="center"/>
            <w:hideMark/>
          </w:tcPr>
          <w:p w14:paraId="1989083C" w14:textId="77777777" w:rsidR="009A3FEE" w:rsidRPr="00EE4D49" w:rsidRDefault="009A3FEE" w:rsidP="00F7676F">
            <w:pPr>
              <w:pStyle w:val="SCVtablebody"/>
              <w:jc w:val="right"/>
              <w:rPr>
                <w:color w:val="000000"/>
                <w:sz w:val="24"/>
                <w:szCs w:val="24"/>
              </w:rPr>
            </w:pPr>
            <w:r w:rsidRPr="00EE4D49">
              <w:rPr>
                <w:color w:val="000000"/>
                <w:sz w:val="24"/>
                <w:szCs w:val="24"/>
              </w:rPr>
              <w:t>9%</w:t>
            </w:r>
          </w:p>
        </w:tc>
        <w:tc>
          <w:tcPr>
            <w:tcW w:w="1434" w:type="dxa"/>
            <w:noWrap/>
            <w:vAlign w:val="center"/>
            <w:hideMark/>
          </w:tcPr>
          <w:p w14:paraId="390DA629" w14:textId="77777777" w:rsidR="009A3FEE" w:rsidRPr="00EE4D49" w:rsidRDefault="009A3FEE" w:rsidP="00F7676F">
            <w:pPr>
              <w:pStyle w:val="SCVtablebody"/>
              <w:jc w:val="right"/>
              <w:rPr>
                <w:color w:val="000000"/>
                <w:sz w:val="24"/>
                <w:szCs w:val="24"/>
              </w:rPr>
            </w:pPr>
            <w:r w:rsidRPr="00EE4D49">
              <w:rPr>
                <w:color w:val="000000"/>
                <w:sz w:val="24"/>
                <w:szCs w:val="24"/>
              </w:rPr>
              <w:t>3%</w:t>
            </w:r>
          </w:p>
        </w:tc>
        <w:tc>
          <w:tcPr>
            <w:tcW w:w="1434" w:type="dxa"/>
            <w:noWrap/>
            <w:vAlign w:val="center"/>
            <w:hideMark/>
          </w:tcPr>
          <w:p w14:paraId="5BAC4DDB" w14:textId="77777777" w:rsidR="009A3FEE" w:rsidRPr="00EE4D49" w:rsidRDefault="009A3FEE" w:rsidP="00F7676F">
            <w:pPr>
              <w:pStyle w:val="SCVtablebody"/>
              <w:jc w:val="right"/>
              <w:rPr>
                <w:color w:val="000000"/>
                <w:sz w:val="24"/>
                <w:szCs w:val="24"/>
              </w:rPr>
            </w:pPr>
            <w:r w:rsidRPr="00EE4D49">
              <w:rPr>
                <w:color w:val="000000"/>
                <w:sz w:val="24"/>
                <w:szCs w:val="24"/>
              </w:rPr>
              <w:t>6%</w:t>
            </w:r>
          </w:p>
        </w:tc>
      </w:tr>
      <w:tr w:rsidR="009A3FEE" w:rsidRPr="00EE4D49" w14:paraId="01E848AB" w14:textId="77777777" w:rsidTr="00F7676F">
        <w:trPr>
          <w:trHeight w:val="280"/>
        </w:trPr>
        <w:tc>
          <w:tcPr>
            <w:tcW w:w="5588" w:type="dxa"/>
            <w:noWrap/>
            <w:hideMark/>
          </w:tcPr>
          <w:p w14:paraId="6727CCD7" w14:textId="77777777"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Clinical process or procedure</w:t>
            </w:r>
          </w:p>
        </w:tc>
        <w:tc>
          <w:tcPr>
            <w:tcW w:w="1434" w:type="dxa"/>
            <w:noWrap/>
            <w:vAlign w:val="center"/>
            <w:hideMark/>
          </w:tcPr>
          <w:p w14:paraId="7CEA4E4F" w14:textId="77777777" w:rsidR="009A3FEE" w:rsidRPr="00EE4D49" w:rsidRDefault="009A3FEE" w:rsidP="00F7676F">
            <w:pPr>
              <w:pStyle w:val="SCVtablebody"/>
              <w:jc w:val="right"/>
              <w:rPr>
                <w:color w:val="000000"/>
                <w:sz w:val="24"/>
                <w:szCs w:val="24"/>
              </w:rPr>
            </w:pPr>
            <w:r w:rsidRPr="00EE4D49">
              <w:rPr>
                <w:color w:val="000000"/>
                <w:sz w:val="24"/>
                <w:szCs w:val="24"/>
              </w:rPr>
              <w:t>28%</w:t>
            </w:r>
          </w:p>
        </w:tc>
        <w:tc>
          <w:tcPr>
            <w:tcW w:w="1434" w:type="dxa"/>
            <w:noWrap/>
            <w:vAlign w:val="center"/>
            <w:hideMark/>
          </w:tcPr>
          <w:p w14:paraId="43CB36B8" w14:textId="77777777" w:rsidR="009A3FEE" w:rsidRPr="00EE4D49" w:rsidRDefault="009A3FEE" w:rsidP="00F7676F">
            <w:pPr>
              <w:pStyle w:val="SCVtablebody"/>
              <w:jc w:val="right"/>
              <w:rPr>
                <w:color w:val="000000"/>
                <w:sz w:val="24"/>
                <w:szCs w:val="24"/>
              </w:rPr>
            </w:pPr>
            <w:r w:rsidRPr="00EE4D49">
              <w:rPr>
                <w:color w:val="000000"/>
                <w:sz w:val="24"/>
                <w:szCs w:val="24"/>
              </w:rPr>
              <w:t>38%</w:t>
            </w:r>
          </w:p>
        </w:tc>
        <w:tc>
          <w:tcPr>
            <w:tcW w:w="1434" w:type="dxa"/>
            <w:noWrap/>
            <w:vAlign w:val="center"/>
            <w:hideMark/>
          </w:tcPr>
          <w:p w14:paraId="65FEFACC" w14:textId="77777777" w:rsidR="009A3FEE" w:rsidRPr="00EE4D49" w:rsidRDefault="009A3FEE" w:rsidP="00F7676F">
            <w:pPr>
              <w:pStyle w:val="SCVtablebody"/>
              <w:jc w:val="right"/>
              <w:rPr>
                <w:color w:val="000000"/>
                <w:sz w:val="24"/>
                <w:szCs w:val="24"/>
              </w:rPr>
            </w:pPr>
            <w:r w:rsidRPr="00EE4D49">
              <w:rPr>
                <w:color w:val="000000"/>
                <w:sz w:val="24"/>
                <w:szCs w:val="24"/>
              </w:rPr>
              <w:t>38%</w:t>
            </w:r>
          </w:p>
        </w:tc>
      </w:tr>
      <w:tr w:rsidR="009A3FEE" w:rsidRPr="00EE4D49" w14:paraId="2C961F07" w14:textId="77777777" w:rsidTr="00F7676F">
        <w:trPr>
          <w:trHeight w:val="280"/>
        </w:trPr>
        <w:tc>
          <w:tcPr>
            <w:tcW w:w="5588" w:type="dxa"/>
            <w:noWrap/>
            <w:hideMark/>
          </w:tcPr>
          <w:p w14:paraId="47387275" w14:textId="46583C3F" w:rsidR="009A3FEE" w:rsidRPr="00F7676F" w:rsidRDefault="00D60108" w:rsidP="00D66DF0">
            <w:pPr>
              <w:pStyle w:val="SCVtablebody"/>
              <w:rPr>
                <w:b/>
                <w:bCs/>
                <w:color w:val="007586" w:themeColor="text2"/>
                <w:sz w:val="24"/>
                <w:szCs w:val="24"/>
              </w:rPr>
            </w:pPr>
            <w:r w:rsidRPr="00F7676F">
              <w:rPr>
                <w:b/>
                <w:bCs/>
                <w:color w:val="007586" w:themeColor="text2"/>
                <w:sz w:val="24"/>
                <w:szCs w:val="24"/>
              </w:rPr>
              <w:t>Recogni</w:t>
            </w:r>
            <w:r w:rsidR="00D66DF0" w:rsidRPr="00F7676F">
              <w:rPr>
                <w:b/>
                <w:bCs/>
                <w:color w:val="007586" w:themeColor="text2"/>
                <w:sz w:val="24"/>
                <w:szCs w:val="24"/>
              </w:rPr>
              <w:t>s</w:t>
            </w:r>
            <w:r w:rsidRPr="00F7676F">
              <w:rPr>
                <w:b/>
                <w:bCs/>
                <w:color w:val="007586" w:themeColor="text2"/>
                <w:sz w:val="24"/>
                <w:szCs w:val="24"/>
              </w:rPr>
              <w:t>ing and responding to clinical deterioration</w:t>
            </w:r>
          </w:p>
        </w:tc>
        <w:tc>
          <w:tcPr>
            <w:tcW w:w="1434" w:type="dxa"/>
            <w:noWrap/>
            <w:vAlign w:val="center"/>
            <w:hideMark/>
          </w:tcPr>
          <w:p w14:paraId="5B8BBE08" w14:textId="77777777" w:rsidR="009A3FEE" w:rsidRPr="00EE4D49" w:rsidRDefault="009A3FEE" w:rsidP="00F7676F">
            <w:pPr>
              <w:pStyle w:val="SCVtablebody"/>
              <w:jc w:val="right"/>
              <w:rPr>
                <w:color w:val="000000"/>
                <w:sz w:val="24"/>
                <w:szCs w:val="24"/>
              </w:rPr>
            </w:pPr>
            <w:r w:rsidRPr="00EE4D49">
              <w:rPr>
                <w:color w:val="000000"/>
                <w:sz w:val="24"/>
                <w:szCs w:val="24"/>
              </w:rPr>
              <w:t>33%</w:t>
            </w:r>
          </w:p>
        </w:tc>
        <w:tc>
          <w:tcPr>
            <w:tcW w:w="1434" w:type="dxa"/>
            <w:noWrap/>
            <w:vAlign w:val="center"/>
            <w:hideMark/>
          </w:tcPr>
          <w:p w14:paraId="1B062D59" w14:textId="77777777" w:rsidR="009A3FEE" w:rsidRPr="00EE4D49" w:rsidRDefault="009A3FEE" w:rsidP="00F7676F">
            <w:pPr>
              <w:pStyle w:val="SCVtablebody"/>
              <w:jc w:val="right"/>
              <w:rPr>
                <w:color w:val="000000"/>
                <w:sz w:val="24"/>
                <w:szCs w:val="24"/>
              </w:rPr>
            </w:pPr>
            <w:r w:rsidRPr="00EE4D49">
              <w:rPr>
                <w:color w:val="000000"/>
                <w:sz w:val="24"/>
                <w:szCs w:val="24"/>
              </w:rPr>
              <w:t>31%</w:t>
            </w:r>
          </w:p>
        </w:tc>
        <w:tc>
          <w:tcPr>
            <w:tcW w:w="1434" w:type="dxa"/>
            <w:noWrap/>
            <w:vAlign w:val="center"/>
            <w:hideMark/>
          </w:tcPr>
          <w:p w14:paraId="57066D26" w14:textId="77777777" w:rsidR="009A3FEE" w:rsidRPr="00EE4D49" w:rsidRDefault="009A3FEE" w:rsidP="00F7676F">
            <w:pPr>
              <w:pStyle w:val="SCVtablebody"/>
              <w:jc w:val="right"/>
              <w:rPr>
                <w:color w:val="000000"/>
                <w:sz w:val="24"/>
                <w:szCs w:val="24"/>
              </w:rPr>
            </w:pPr>
            <w:r w:rsidRPr="00EE4D49">
              <w:rPr>
                <w:color w:val="000000"/>
                <w:sz w:val="24"/>
                <w:szCs w:val="24"/>
              </w:rPr>
              <w:t>32%</w:t>
            </w:r>
          </w:p>
        </w:tc>
      </w:tr>
      <w:tr w:rsidR="009A3FEE" w:rsidRPr="00EE4D49" w14:paraId="7E7853B8" w14:textId="77777777" w:rsidTr="00F7676F">
        <w:trPr>
          <w:trHeight w:val="280"/>
        </w:trPr>
        <w:tc>
          <w:tcPr>
            <w:tcW w:w="5588" w:type="dxa"/>
            <w:shd w:val="clear" w:color="auto" w:fill="F2F2F2" w:themeFill="background1" w:themeFillShade="F2"/>
            <w:noWrap/>
            <w:hideMark/>
          </w:tcPr>
          <w:p w14:paraId="16310951" w14:textId="420C154D" w:rsidR="009A3FEE" w:rsidRPr="00F7676F" w:rsidRDefault="009A3FEE" w:rsidP="00D66DF0">
            <w:pPr>
              <w:pStyle w:val="SCVtablebody"/>
              <w:rPr>
                <w:b/>
                <w:bCs/>
                <w:color w:val="007586" w:themeColor="text2"/>
                <w:sz w:val="24"/>
                <w:szCs w:val="24"/>
              </w:rPr>
            </w:pPr>
            <w:r w:rsidRPr="00F7676F">
              <w:rPr>
                <w:b/>
                <w:bCs/>
                <w:color w:val="007586" w:themeColor="text2"/>
                <w:sz w:val="24"/>
                <w:szCs w:val="24"/>
              </w:rPr>
              <w:t>Total</w:t>
            </w:r>
          </w:p>
        </w:tc>
        <w:tc>
          <w:tcPr>
            <w:tcW w:w="1434" w:type="dxa"/>
            <w:shd w:val="clear" w:color="auto" w:fill="F2F2F2" w:themeFill="background1" w:themeFillShade="F2"/>
            <w:noWrap/>
            <w:vAlign w:val="center"/>
            <w:hideMark/>
          </w:tcPr>
          <w:p w14:paraId="723F1D9F" w14:textId="77777777" w:rsidR="009A3FEE" w:rsidRPr="00EE4D49" w:rsidRDefault="009A3FEE" w:rsidP="00F7676F">
            <w:pPr>
              <w:pStyle w:val="SCVtablebody"/>
              <w:jc w:val="right"/>
              <w:rPr>
                <w:b/>
                <w:bCs/>
                <w:color w:val="000000"/>
                <w:sz w:val="24"/>
                <w:szCs w:val="24"/>
              </w:rPr>
            </w:pPr>
            <w:r w:rsidRPr="00EE4D49">
              <w:rPr>
                <w:b/>
                <w:bCs/>
                <w:color w:val="000000"/>
                <w:sz w:val="24"/>
                <w:szCs w:val="24"/>
              </w:rPr>
              <w:t>100%</w:t>
            </w:r>
          </w:p>
        </w:tc>
        <w:tc>
          <w:tcPr>
            <w:tcW w:w="1434" w:type="dxa"/>
            <w:shd w:val="clear" w:color="auto" w:fill="F2F2F2" w:themeFill="background1" w:themeFillShade="F2"/>
            <w:noWrap/>
            <w:vAlign w:val="center"/>
            <w:hideMark/>
          </w:tcPr>
          <w:p w14:paraId="7A605B9D" w14:textId="77777777" w:rsidR="009A3FEE" w:rsidRPr="00EE4D49" w:rsidRDefault="009A3FEE" w:rsidP="00F7676F">
            <w:pPr>
              <w:pStyle w:val="SCVtablebody"/>
              <w:jc w:val="right"/>
              <w:rPr>
                <w:b/>
                <w:bCs/>
                <w:color w:val="000000"/>
                <w:sz w:val="24"/>
                <w:szCs w:val="24"/>
              </w:rPr>
            </w:pPr>
            <w:r w:rsidRPr="00EE4D49">
              <w:rPr>
                <w:b/>
                <w:bCs/>
                <w:color w:val="000000"/>
                <w:sz w:val="24"/>
                <w:szCs w:val="24"/>
              </w:rPr>
              <w:t>100%</w:t>
            </w:r>
          </w:p>
        </w:tc>
        <w:tc>
          <w:tcPr>
            <w:tcW w:w="1434" w:type="dxa"/>
            <w:shd w:val="clear" w:color="auto" w:fill="F2F2F2" w:themeFill="background1" w:themeFillShade="F2"/>
            <w:noWrap/>
            <w:vAlign w:val="center"/>
            <w:hideMark/>
          </w:tcPr>
          <w:p w14:paraId="5DA783CE" w14:textId="77777777" w:rsidR="009A3FEE" w:rsidRPr="00EE4D49" w:rsidRDefault="009A3FEE" w:rsidP="00F7676F">
            <w:pPr>
              <w:pStyle w:val="SCVtablebody"/>
              <w:jc w:val="right"/>
              <w:rPr>
                <w:b/>
                <w:bCs/>
                <w:color w:val="000000"/>
                <w:sz w:val="24"/>
                <w:szCs w:val="24"/>
              </w:rPr>
            </w:pPr>
            <w:r w:rsidRPr="00EE4D49">
              <w:rPr>
                <w:b/>
                <w:bCs/>
                <w:color w:val="000000"/>
                <w:sz w:val="24"/>
                <w:szCs w:val="24"/>
              </w:rPr>
              <w:t>100%</w:t>
            </w:r>
          </w:p>
        </w:tc>
      </w:tr>
    </w:tbl>
    <w:p w14:paraId="2E39B7D1" w14:textId="716E285D" w:rsidR="00F20B4F" w:rsidRPr="00180959" w:rsidRDefault="00B00262" w:rsidP="00834EF2">
      <w:pPr>
        <w:pStyle w:val="SCVbodyaftertablefigure"/>
      </w:pPr>
      <w:r>
        <w:t>O</w:t>
      </w:r>
      <w:r w:rsidR="003C77C9">
        <w:t>bserv</w:t>
      </w:r>
      <w:r w:rsidR="00B9733B">
        <w:t>ations</w:t>
      </w:r>
      <w:r>
        <w:t xml:space="preserve"> from 2024–25 </w:t>
      </w:r>
      <w:r w:rsidR="00B9733B">
        <w:t>include</w:t>
      </w:r>
      <w:r w:rsidR="003C77C9">
        <w:t>:</w:t>
      </w:r>
    </w:p>
    <w:p w14:paraId="365DDAFC" w14:textId="05A5DAFF" w:rsidR="00147DB1" w:rsidRPr="00180959" w:rsidRDefault="00377070" w:rsidP="00834EF2">
      <w:pPr>
        <w:pStyle w:val="SCVbullet1"/>
      </w:pPr>
      <w:r>
        <w:t>‘</w:t>
      </w:r>
      <w:r w:rsidR="00147DB1" w:rsidRPr="00180959">
        <w:t>Clinical</w:t>
      </w:r>
      <w:r w:rsidR="00824FA7">
        <w:t xml:space="preserve"> </w:t>
      </w:r>
      <w:r w:rsidR="00147DB1" w:rsidRPr="00180959">
        <w:t>process</w:t>
      </w:r>
      <w:r w:rsidR="00824FA7">
        <w:t xml:space="preserve"> </w:t>
      </w:r>
      <w:r w:rsidR="00147DB1" w:rsidRPr="00180959">
        <w:t>and</w:t>
      </w:r>
      <w:r w:rsidR="00824FA7">
        <w:t xml:space="preserve"> </w:t>
      </w:r>
      <w:r w:rsidR="00147DB1" w:rsidRPr="00180959">
        <w:t>procedure</w:t>
      </w:r>
      <w:r>
        <w:t>’</w:t>
      </w:r>
      <w:r w:rsidR="00824FA7">
        <w:t xml:space="preserve"> </w:t>
      </w:r>
      <w:r w:rsidR="00255030">
        <w:t>were</w:t>
      </w:r>
      <w:r w:rsidR="00824FA7">
        <w:t xml:space="preserve"> </w:t>
      </w:r>
      <w:r w:rsidR="00147DB1" w:rsidRPr="00180959">
        <w:t>the</w:t>
      </w:r>
      <w:r w:rsidR="00824FA7">
        <w:t xml:space="preserve"> </w:t>
      </w:r>
      <w:r w:rsidR="00147DB1" w:rsidRPr="00180959">
        <w:t>most</w:t>
      </w:r>
      <w:r w:rsidR="00824FA7">
        <w:t xml:space="preserve"> </w:t>
      </w:r>
      <w:r w:rsidR="00147DB1" w:rsidRPr="00180959">
        <w:t>common</w:t>
      </w:r>
      <w:r w:rsidR="00824FA7">
        <w:t xml:space="preserve"> </w:t>
      </w:r>
      <w:r w:rsidR="00147DB1" w:rsidRPr="00180959">
        <w:t>event</w:t>
      </w:r>
      <w:r w:rsidR="00824FA7">
        <w:t xml:space="preserve"> </w:t>
      </w:r>
      <w:r w:rsidR="00147DB1" w:rsidRPr="00180959">
        <w:t>category</w:t>
      </w:r>
      <w:r w:rsidR="00AC1995">
        <w:t xml:space="preserve"> </w:t>
      </w:r>
      <w:r w:rsidR="006C366F">
        <w:t>in</w:t>
      </w:r>
      <w:r w:rsidR="00F54EF2">
        <w:t xml:space="preserve"> </w:t>
      </w:r>
      <w:r w:rsidR="006C366F">
        <w:t>2023</w:t>
      </w:r>
      <w:r w:rsidR="005F2EBC">
        <w:t>–</w:t>
      </w:r>
      <w:r w:rsidR="006C366F">
        <w:t>24 and 2024</w:t>
      </w:r>
      <w:r w:rsidR="00806B59">
        <w:t>–</w:t>
      </w:r>
      <w:r w:rsidR="006C366F">
        <w:t>25.</w:t>
      </w:r>
    </w:p>
    <w:p w14:paraId="49A6D8FA" w14:textId="7618D457" w:rsidR="00147DB1" w:rsidRPr="00180959" w:rsidRDefault="00147DB1" w:rsidP="00834EF2">
      <w:pPr>
        <w:pStyle w:val="SCVbullet1"/>
      </w:pPr>
      <w:r>
        <w:t>The</w:t>
      </w:r>
      <w:r w:rsidR="00824FA7">
        <w:t xml:space="preserve"> </w:t>
      </w:r>
      <w:r>
        <w:t>notification</w:t>
      </w:r>
      <w:r w:rsidR="00824FA7">
        <w:t xml:space="preserve"> </w:t>
      </w:r>
      <w:r>
        <w:t>of</w:t>
      </w:r>
      <w:r w:rsidR="00824FA7">
        <w:t xml:space="preserve"> </w:t>
      </w:r>
      <w:r w:rsidR="00377070">
        <w:t>‘</w:t>
      </w:r>
      <w:r>
        <w:t>falls-related</w:t>
      </w:r>
      <w:r w:rsidR="00377070">
        <w:t>’</w:t>
      </w:r>
      <w:r w:rsidR="00824FA7">
        <w:t xml:space="preserve"> </w:t>
      </w:r>
      <w:r>
        <w:t>sentinel</w:t>
      </w:r>
      <w:r w:rsidR="00824FA7">
        <w:t xml:space="preserve"> </w:t>
      </w:r>
      <w:r>
        <w:t>event</w:t>
      </w:r>
      <w:r w:rsidR="00E50ADF">
        <w:t xml:space="preserve">s did not </w:t>
      </w:r>
      <w:r w:rsidR="00156DD7">
        <w:t xml:space="preserve">occur </w:t>
      </w:r>
      <w:r w:rsidR="007E206C">
        <w:t>for a short period</w:t>
      </w:r>
      <w:r w:rsidR="00824FA7">
        <w:t xml:space="preserve"> </w:t>
      </w:r>
      <w:r w:rsidR="007E206C">
        <w:t>in</w:t>
      </w:r>
      <w:r w:rsidR="00824FA7">
        <w:t xml:space="preserve"> </w:t>
      </w:r>
      <w:r>
        <w:t>February</w:t>
      </w:r>
      <w:r w:rsidR="00824FA7">
        <w:t xml:space="preserve"> </w:t>
      </w:r>
      <w:r>
        <w:t>2024</w:t>
      </w:r>
      <w:r w:rsidR="0090118C">
        <w:t xml:space="preserve"> </w:t>
      </w:r>
      <w:r w:rsidR="00156DD7">
        <w:t xml:space="preserve">due </w:t>
      </w:r>
      <w:r w:rsidR="00B934C6">
        <w:t>to the launch of the new SCV guide on reporting falls</w:t>
      </w:r>
      <w:r w:rsidR="0090118C">
        <w:t xml:space="preserve"> </w:t>
      </w:r>
      <w:r w:rsidR="006C366F">
        <w:t>in 2023</w:t>
      </w:r>
      <w:r w:rsidR="00806B59">
        <w:t>–</w:t>
      </w:r>
      <w:r w:rsidR="006C366F">
        <w:t>24</w:t>
      </w:r>
      <w:r w:rsidR="00B364AD">
        <w:t>. This</w:t>
      </w:r>
      <w:r w:rsidR="00824FA7">
        <w:t xml:space="preserve"> </w:t>
      </w:r>
      <w:r w:rsidR="004F1D4F">
        <w:t>explain</w:t>
      </w:r>
      <w:r w:rsidR="00B364AD">
        <w:t>s</w:t>
      </w:r>
      <w:r w:rsidR="00824FA7">
        <w:t xml:space="preserve"> </w:t>
      </w:r>
      <w:r w:rsidR="005D4321">
        <w:t>the</w:t>
      </w:r>
      <w:r w:rsidR="00824FA7">
        <w:t xml:space="preserve"> </w:t>
      </w:r>
      <w:r w:rsidR="005D4321">
        <w:t>significant</w:t>
      </w:r>
      <w:r w:rsidR="00824FA7">
        <w:t xml:space="preserve"> </w:t>
      </w:r>
      <w:r w:rsidR="005D4321">
        <w:t>reduction</w:t>
      </w:r>
      <w:r w:rsidR="00824FA7">
        <w:t xml:space="preserve"> </w:t>
      </w:r>
      <w:r w:rsidR="005D4321">
        <w:t>in</w:t>
      </w:r>
      <w:r w:rsidR="00824FA7">
        <w:t xml:space="preserve"> </w:t>
      </w:r>
      <w:r w:rsidR="005D4321">
        <w:t>notifications</w:t>
      </w:r>
      <w:r w:rsidR="00B364AD">
        <w:t xml:space="preserve"> during that period</w:t>
      </w:r>
      <w:r w:rsidR="006C366F">
        <w:t>.</w:t>
      </w:r>
      <w:r w:rsidR="00824FA7">
        <w:t xml:space="preserve"> </w:t>
      </w:r>
    </w:p>
    <w:p w14:paraId="7EED81EA" w14:textId="14C79B21" w:rsidR="00377835" w:rsidRPr="001A1240" w:rsidRDefault="00385494" w:rsidP="00834EF2">
      <w:pPr>
        <w:pStyle w:val="SCVbullet1"/>
      </w:pPr>
      <w:r w:rsidRPr="243C6032">
        <w:t>A</w:t>
      </w:r>
      <w:r w:rsidR="00824FA7">
        <w:t xml:space="preserve"> </w:t>
      </w:r>
      <w:r w:rsidRPr="243C6032">
        <w:t>reduction</w:t>
      </w:r>
      <w:r w:rsidR="00824FA7">
        <w:t xml:space="preserve"> </w:t>
      </w:r>
      <w:r w:rsidRPr="243C6032">
        <w:t>in</w:t>
      </w:r>
      <w:r w:rsidR="00824FA7">
        <w:t xml:space="preserve"> </w:t>
      </w:r>
      <w:r w:rsidRPr="243C6032">
        <w:t>healthcare</w:t>
      </w:r>
      <w:r w:rsidR="001F6610">
        <w:t>-</w:t>
      </w:r>
      <w:r w:rsidRPr="243C6032">
        <w:t>associated</w:t>
      </w:r>
      <w:r w:rsidR="00824FA7">
        <w:t xml:space="preserve"> </w:t>
      </w:r>
      <w:r w:rsidRPr="243C6032">
        <w:t>infections</w:t>
      </w:r>
      <w:r w:rsidR="00824FA7">
        <w:t xml:space="preserve"> </w:t>
      </w:r>
      <w:r w:rsidRPr="243C6032">
        <w:t>is</w:t>
      </w:r>
      <w:r w:rsidR="00824FA7">
        <w:t xml:space="preserve"> </w:t>
      </w:r>
      <w:r w:rsidRPr="243C6032">
        <w:t>noted</w:t>
      </w:r>
      <w:r w:rsidR="004F1D4F">
        <w:t xml:space="preserve"> in 2023</w:t>
      </w:r>
      <w:r w:rsidR="005F2EBC">
        <w:t>–</w:t>
      </w:r>
      <w:r w:rsidR="004F1D4F">
        <w:t>24 and 2024</w:t>
      </w:r>
      <w:r w:rsidR="005F2EBC">
        <w:t>–</w:t>
      </w:r>
      <w:r w:rsidR="004F1D4F">
        <w:t xml:space="preserve">25 compared </w:t>
      </w:r>
      <w:r w:rsidR="00A7620C">
        <w:t xml:space="preserve">with </w:t>
      </w:r>
      <w:r w:rsidR="004F1D4F">
        <w:t>2022</w:t>
      </w:r>
      <w:r w:rsidR="005F2EBC">
        <w:t>–</w:t>
      </w:r>
      <w:r w:rsidR="004F1D4F">
        <w:t>23</w:t>
      </w:r>
      <w:r w:rsidR="001F6610">
        <w:t>.</w:t>
      </w:r>
    </w:p>
    <w:p w14:paraId="61BE8395" w14:textId="11EE6F32" w:rsidR="00377835" w:rsidRPr="006F1353" w:rsidRDefault="0004538C" w:rsidP="00B273A7">
      <w:pPr>
        <w:pStyle w:val="Heading3"/>
        <w:rPr>
          <w:color w:val="auto"/>
        </w:rPr>
      </w:pPr>
      <w:bookmarkStart w:id="47" w:name="_Toc185595267"/>
      <w:r w:rsidRPr="006F1353">
        <w:rPr>
          <w:color w:val="auto"/>
        </w:rPr>
        <w:t>Patient</w:t>
      </w:r>
      <w:r w:rsidR="00824FA7" w:rsidRPr="006F1353">
        <w:rPr>
          <w:color w:val="auto"/>
        </w:rPr>
        <w:t xml:space="preserve"> </w:t>
      </w:r>
      <w:bookmarkEnd w:id="47"/>
      <w:r w:rsidR="001F6610" w:rsidRPr="006F1353">
        <w:rPr>
          <w:color w:val="auto"/>
        </w:rPr>
        <w:t>o</w:t>
      </w:r>
      <w:r w:rsidRPr="006F1353">
        <w:rPr>
          <w:color w:val="auto"/>
        </w:rPr>
        <w:t>utcome</w:t>
      </w:r>
      <w:r w:rsidR="00B273A7" w:rsidRPr="006F1353">
        <w:rPr>
          <w:color w:val="auto"/>
        </w:rPr>
        <w:t>s</w:t>
      </w:r>
    </w:p>
    <w:p w14:paraId="6CDD5D6D" w14:textId="1FC18EA4" w:rsidR="00E63F34" w:rsidRPr="00180959" w:rsidRDefault="00A7620C" w:rsidP="0057201C">
      <w:pPr>
        <w:pStyle w:val="SCVbody"/>
      </w:pPr>
      <w:r>
        <w:t>Of the</w:t>
      </w:r>
      <w:r w:rsidR="00824FA7">
        <w:t xml:space="preserve"> </w:t>
      </w:r>
      <w:r w:rsidR="00E63F34">
        <w:t>sentinel</w:t>
      </w:r>
      <w:r w:rsidR="00824FA7">
        <w:t xml:space="preserve"> </w:t>
      </w:r>
      <w:r w:rsidR="00E63F34">
        <w:t>events</w:t>
      </w:r>
      <w:r w:rsidR="00824FA7">
        <w:t xml:space="preserve"> </w:t>
      </w:r>
      <w:r w:rsidR="00F54EF2">
        <w:t xml:space="preserve">reported </w:t>
      </w:r>
      <w:r w:rsidR="00E63F34">
        <w:t>in</w:t>
      </w:r>
      <w:r w:rsidR="00824FA7">
        <w:t xml:space="preserve"> </w:t>
      </w:r>
      <w:r w:rsidR="006C366F">
        <w:t>2024</w:t>
      </w:r>
      <w:r w:rsidR="001F6610">
        <w:t>–</w:t>
      </w:r>
      <w:r w:rsidR="006C366F">
        <w:t>25</w:t>
      </w:r>
      <w:r>
        <w:t>, 61%</w:t>
      </w:r>
      <w:r w:rsidR="006C366F">
        <w:t xml:space="preserve"> </w:t>
      </w:r>
      <w:r w:rsidR="00E63F34">
        <w:t>resulted</w:t>
      </w:r>
      <w:r w:rsidR="00824FA7">
        <w:t xml:space="preserve"> </w:t>
      </w:r>
      <w:r w:rsidR="00E63F34">
        <w:t>in</w:t>
      </w:r>
      <w:r w:rsidR="00824FA7">
        <w:t xml:space="preserve"> </w:t>
      </w:r>
      <w:r w:rsidR="00E63F34">
        <w:t>the</w:t>
      </w:r>
      <w:r w:rsidR="00824FA7">
        <w:t xml:space="preserve"> </w:t>
      </w:r>
      <w:r w:rsidR="00E63F34">
        <w:t>patient’s</w:t>
      </w:r>
      <w:r w:rsidR="00824FA7">
        <w:t xml:space="preserve"> </w:t>
      </w:r>
      <w:r w:rsidR="00E63F34">
        <w:t>death</w:t>
      </w:r>
      <w:r w:rsidR="00B273A7">
        <w:t xml:space="preserve"> (</w:t>
      </w:r>
      <w:r w:rsidR="004907A2">
        <w:t>Table</w:t>
      </w:r>
      <w:r w:rsidR="00B273A7">
        <w:t xml:space="preserve"> </w:t>
      </w:r>
      <w:r w:rsidR="002F467B">
        <w:t>1</w:t>
      </w:r>
      <w:r w:rsidR="666B1BB6">
        <w:t>7</w:t>
      </w:r>
      <w:r w:rsidR="00B273A7">
        <w:t>)</w:t>
      </w:r>
      <w:r w:rsidR="00E63F34">
        <w:t>.</w:t>
      </w:r>
      <w:r w:rsidR="00824FA7">
        <w:t xml:space="preserve"> </w:t>
      </w:r>
    </w:p>
    <w:p w14:paraId="4EF15D59" w14:textId="67FF2211" w:rsidR="002729A9" w:rsidRPr="00180959" w:rsidRDefault="00E63F34" w:rsidP="0057201C">
      <w:pPr>
        <w:pStyle w:val="SCVbody"/>
      </w:pPr>
      <w:r>
        <w:lastRenderedPageBreak/>
        <w:t>Health</w:t>
      </w:r>
      <w:r w:rsidR="00824FA7">
        <w:t xml:space="preserve"> </w:t>
      </w:r>
      <w:r>
        <w:t>services</w:t>
      </w:r>
      <w:r w:rsidR="00824FA7">
        <w:t xml:space="preserve"> </w:t>
      </w:r>
      <w:r w:rsidR="00F54EF2">
        <w:t xml:space="preserve">must </w:t>
      </w:r>
      <w:r>
        <w:t>indicate</w:t>
      </w:r>
      <w:r w:rsidR="00824FA7">
        <w:t xml:space="preserve"> </w:t>
      </w:r>
      <w:r>
        <w:t>the</w:t>
      </w:r>
      <w:r w:rsidR="00824FA7">
        <w:t xml:space="preserve"> </w:t>
      </w:r>
      <w:r>
        <w:t>degree</w:t>
      </w:r>
      <w:r w:rsidR="00824FA7">
        <w:t xml:space="preserve"> </w:t>
      </w:r>
      <w:r>
        <w:t>of</w:t>
      </w:r>
      <w:r w:rsidR="00824FA7">
        <w:t xml:space="preserve"> </w:t>
      </w:r>
      <w:r>
        <w:t>harm</w:t>
      </w:r>
      <w:r w:rsidR="00824FA7">
        <w:t xml:space="preserve"> </w:t>
      </w:r>
      <w:r>
        <w:t>to</w:t>
      </w:r>
      <w:r w:rsidR="00824FA7">
        <w:t xml:space="preserve"> </w:t>
      </w:r>
      <w:r>
        <w:t>the</w:t>
      </w:r>
      <w:r w:rsidR="00824FA7">
        <w:t xml:space="preserve"> </w:t>
      </w:r>
      <w:r>
        <w:t>patient</w:t>
      </w:r>
      <w:r w:rsidR="00824FA7">
        <w:t xml:space="preserve"> </w:t>
      </w:r>
      <w:r>
        <w:t>when</w:t>
      </w:r>
      <w:r w:rsidR="00824FA7">
        <w:t xml:space="preserve"> </w:t>
      </w:r>
      <w:r>
        <w:t>they</w:t>
      </w:r>
      <w:r w:rsidR="00824FA7">
        <w:t xml:space="preserve"> </w:t>
      </w:r>
      <w:r>
        <w:t>notify</w:t>
      </w:r>
      <w:r w:rsidR="00824FA7">
        <w:t xml:space="preserve"> </w:t>
      </w:r>
      <w:r w:rsidR="00F54EF2">
        <w:t xml:space="preserve">SCV about </w:t>
      </w:r>
      <w:r w:rsidR="00EB7B82">
        <w:t xml:space="preserve">a </w:t>
      </w:r>
      <w:r>
        <w:t>sentinel</w:t>
      </w:r>
      <w:r w:rsidR="00824FA7">
        <w:t xml:space="preserve"> </w:t>
      </w:r>
      <w:r>
        <w:t>event.</w:t>
      </w:r>
      <w:r w:rsidR="00824FA7">
        <w:t xml:space="preserve"> </w:t>
      </w:r>
      <w:r>
        <w:t>The</w:t>
      </w:r>
      <w:r w:rsidR="00824FA7">
        <w:t xml:space="preserve"> </w:t>
      </w:r>
      <w:r>
        <w:t>full</w:t>
      </w:r>
      <w:r w:rsidR="00824FA7">
        <w:t xml:space="preserve"> </w:t>
      </w:r>
      <w:r>
        <w:t>degree</w:t>
      </w:r>
      <w:r w:rsidR="00824FA7">
        <w:t xml:space="preserve"> </w:t>
      </w:r>
      <w:r>
        <w:t>of</w:t>
      </w:r>
      <w:r w:rsidR="00824FA7">
        <w:t xml:space="preserve"> </w:t>
      </w:r>
      <w:r>
        <w:t>the</w:t>
      </w:r>
      <w:r w:rsidR="00824FA7">
        <w:t xml:space="preserve"> </w:t>
      </w:r>
      <w:r>
        <w:t>impact</w:t>
      </w:r>
      <w:r w:rsidR="00824FA7">
        <w:t xml:space="preserve"> </w:t>
      </w:r>
      <w:r>
        <w:t>of</w:t>
      </w:r>
      <w:r w:rsidR="00824FA7">
        <w:t xml:space="preserve"> </w:t>
      </w:r>
      <w:r>
        <w:t>the</w:t>
      </w:r>
      <w:r w:rsidR="00824FA7">
        <w:t xml:space="preserve"> </w:t>
      </w:r>
      <w:r>
        <w:t>event</w:t>
      </w:r>
      <w:r w:rsidR="00824FA7">
        <w:t xml:space="preserve"> </w:t>
      </w:r>
      <w:r>
        <w:t>may</w:t>
      </w:r>
      <w:r w:rsidR="00824FA7">
        <w:t xml:space="preserve"> </w:t>
      </w:r>
      <w:r>
        <w:t>not</w:t>
      </w:r>
      <w:r w:rsidR="00824FA7">
        <w:t xml:space="preserve"> </w:t>
      </w:r>
      <w:r>
        <w:t>be</w:t>
      </w:r>
      <w:r w:rsidR="00824FA7">
        <w:t xml:space="preserve"> </w:t>
      </w:r>
      <w:r>
        <w:t>known</w:t>
      </w:r>
      <w:r w:rsidR="00824FA7">
        <w:t xml:space="preserve"> </w:t>
      </w:r>
      <w:r>
        <w:t>at</w:t>
      </w:r>
      <w:r w:rsidR="00824FA7">
        <w:t xml:space="preserve"> </w:t>
      </w:r>
      <w:r>
        <w:t>the</w:t>
      </w:r>
      <w:r w:rsidR="00824FA7">
        <w:t xml:space="preserve"> </w:t>
      </w:r>
      <w:r>
        <w:t>time</w:t>
      </w:r>
      <w:r w:rsidR="00824FA7">
        <w:t xml:space="preserve"> </w:t>
      </w:r>
      <w:r>
        <w:t>of</w:t>
      </w:r>
      <w:r w:rsidR="00824FA7">
        <w:t xml:space="preserve"> </w:t>
      </w:r>
      <w:r>
        <w:t>the</w:t>
      </w:r>
      <w:r w:rsidR="00824FA7">
        <w:t xml:space="preserve"> </w:t>
      </w:r>
      <w:r w:rsidR="002C51EF">
        <w:t>notification,</w:t>
      </w:r>
      <w:r w:rsidR="00824FA7">
        <w:t xml:space="preserve"> </w:t>
      </w:r>
      <w:r>
        <w:t>and</w:t>
      </w:r>
      <w:r w:rsidR="00824FA7">
        <w:t xml:space="preserve"> </w:t>
      </w:r>
      <w:r>
        <w:t>the</w:t>
      </w:r>
      <w:r w:rsidR="00824FA7">
        <w:t xml:space="preserve"> </w:t>
      </w:r>
      <w:r>
        <w:t>patient</w:t>
      </w:r>
      <w:r w:rsidR="00824FA7">
        <w:t xml:space="preserve"> </w:t>
      </w:r>
      <w:r>
        <w:t>outcome</w:t>
      </w:r>
      <w:r w:rsidR="00824FA7">
        <w:t xml:space="preserve"> </w:t>
      </w:r>
      <w:r>
        <w:t>is</w:t>
      </w:r>
      <w:r w:rsidR="00824FA7">
        <w:t xml:space="preserve"> </w:t>
      </w:r>
      <w:r>
        <w:t>not</w:t>
      </w:r>
      <w:r w:rsidR="00824FA7">
        <w:t xml:space="preserve"> </w:t>
      </w:r>
      <w:r>
        <w:t>expected</w:t>
      </w:r>
      <w:r w:rsidR="00824FA7">
        <w:t xml:space="preserve"> </w:t>
      </w:r>
      <w:r>
        <w:t>to</w:t>
      </w:r>
      <w:r w:rsidR="00824FA7">
        <w:t xml:space="preserve"> </w:t>
      </w:r>
      <w:r>
        <w:t>be</w:t>
      </w:r>
      <w:r w:rsidR="00824FA7">
        <w:t xml:space="preserve"> </w:t>
      </w:r>
      <w:r>
        <w:t>updated</w:t>
      </w:r>
      <w:r w:rsidR="00824FA7">
        <w:t xml:space="preserve"> </w:t>
      </w:r>
      <w:r>
        <w:t>throughout</w:t>
      </w:r>
      <w:r w:rsidR="00824FA7">
        <w:t xml:space="preserve"> </w:t>
      </w:r>
      <w:r>
        <w:t>the</w:t>
      </w:r>
      <w:r w:rsidR="00824FA7">
        <w:t xml:space="preserve"> </w:t>
      </w:r>
      <w:r>
        <w:t>review.</w:t>
      </w:r>
    </w:p>
    <w:p w14:paraId="30695742" w14:textId="144D7C20" w:rsidR="00843BF0" w:rsidRDefault="004907A2" w:rsidP="00D16930">
      <w:pPr>
        <w:pStyle w:val="SCVtablecaption"/>
      </w:pPr>
      <w:r>
        <w:t>Table</w:t>
      </w:r>
      <w:r w:rsidR="00824FA7">
        <w:t xml:space="preserve"> </w:t>
      </w:r>
      <w:r w:rsidR="001F00A4">
        <w:t>1</w:t>
      </w:r>
      <w:r w:rsidR="5BA4E45C">
        <w:t>7</w:t>
      </w:r>
      <w:r w:rsidR="002008E3">
        <w:t>:</w:t>
      </w:r>
      <w:r w:rsidR="00824FA7">
        <w:t xml:space="preserve"> </w:t>
      </w:r>
      <w:r w:rsidR="008439B0">
        <w:t>Patient</w:t>
      </w:r>
      <w:r w:rsidR="00824FA7">
        <w:t xml:space="preserve"> </w:t>
      </w:r>
      <w:r w:rsidR="008439B0">
        <w:t>outcome</w:t>
      </w:r>
      <w:r w:rsidR="00824FA7">
        <w:t xml:space="preserve"> </w:t>
      </w:r>
      <w:r w:rsidR="008439B0">
        <w:t>by</w:t>
      </w:r>
      <w:r w:rsidR="00824FA7">
        <w:t xml:space="preserve"> </w:t>
      </w:r>
      <w:r w:rsidR="008439B0">
        <w:t>percentage</w:t>
      </w:r>
      <w:r w:rsidR="00824FA7">
        <w:t xml:space="preserve"> </w:t>
      </w:r>
      <w:r w:rsidR="008439B0">
        <w:t>of</w:t>
      </w:r>
      <w:r w:rsidR="00824FA7">
        <w:t xml:space="preserve"> </w:t>
      </w:r>
      <w:r w:rsidR="008439B0">
        <w:t>total</w:t>
      </w:r>
      <w:r w:rsidR="00824FA7">
        <w:t xml:space="preserve"> </w:t>
      </w:r>
      <w:r w:rsidR="008439B0">
        <w:t>sentinel</w:t>
      </w:r>
      <w:r w:rsidR="00824FA7">
        <w:t xml:space="preserve"> </w:t>
      </w:r>
      <w:r w:rsidR="008439B0">
        <w:t>events</w:t>
      </w:r>
      <w:r w:rsidR="00182D8B">
        <w:t>,</w:t>
      </w:r>
      <w:r w:rsidR="00824FA7">
        <w:t xml:space="preserve"> </w:t>
      </w:r>
      <w:r w:rsidR="008439B0">
        <w:t>2021–22</w:t>
      </w:r>
      <w:r w:rsidR="00824FA7">
        <w:t xml:space="preserve"> </w:t>
      </w:r>
      <w:r w:rsidR="008439B0">
        <w:t>to</w:t>
      </w:r>
      <w:r w:rsidR="00824FA7">
        <w:t xml:space="preserve"> </w:t>
      </w:r>
      <w:r w:rsidR="008439B0">
        <w:t>202</w:t>
      </w:r>
      <w:r w:rsidR="00EA6E13">
        <w:t>4</w:t>
      </w:r>
      <w:r w:rsidR="008439B0">
        <w:t>–2</w:t>
      </w:r>
      <w:r w:rsidR="00EA6E13">
        <w:t>5</w:t>
      </w:r>
      <w:bookmarkStart w:id="48" w:name="_Toc185595268"/>
    </w:p>
    <w:tbl>
      <w:tblPr>
        <w:tblStyle w:val="TableGrid"/>
        <w:tblW w:w="9751" w:type="dxa"/>
        <w:tblLook w:val="04A0" w:firstRow="1" w:lastRow="0" w:firstColumn="1" w:lastColumn="0" w:noHBand="0" w:noVBand="1"/>
      </w:tblPr>
      <w:tblGrid>
        <w:gridCol w:w="5839"/>
        <w:gridCol w:w="1304"/>
        <w:gridCol w:w="1304"/>
        <w:gridCol w:w="1304"/>
      </w:tblGrid>
      <w:tr w:rsidR="00DE5B91" w:rsidRPr="00033480" w14:paraId="4BA5F4A9" w14:textId="77777777" w:rsidTr="00707960">
        <w:trPr>
          <w:cnfStyle w:val="100000000000" w:firstRow="1" w:lastRow="0" w:firstColumn="0" w:lastColumn="0" w:oddVBand="0" w:evenVBand="0" w:oddHBand="0" w:evenHBand="0" w:firstRowFirstColumn="0" w:firstRowLastColumn="0" w:lastRowFirstColumn="0" w:lastRowLastColumn="0"/>
          <w:trHeight w:val="296"/>
        </w:trPr>
        <w:tc>
          <w:tcPr>
            <w:tcW w:w="5839" w:type="dxa"/>
            <w:noWrap/>
            <w:hideMark/>
          </w:tcPr>
          <w:p w14:paraId="335F276E" w14:textId="77777777" w:rsidR="00DE5B91" w:rsidRPr="00033480" w:rsidRDefault="00DE5B91" w:rsidP="00D66DF0">
            <w:pPr>
              <w:pStyle w:val="SCVtablecolhead"/>
              <w:rPr>
                <w:sz w:val="24"/>
                <w:szCs w:val="20"/>
              </w:rPr>
            </w:pPr>
            <w:r w:rsidRPr="00033480">
              <w:rPr>
                <w:sz w:val="24"/>
                <w:szCs w:val="20"/>
              </w:rPr>
              <w:t>Harm</w:t>
            </w:r>
          </w:p>
        </w:tc>
        <w:tc>
          <w:tcPr>
            <w:tcW w:w="1304" w:type="dxa"/>
            <w:noWrap/>
            <w:vAlign w:val="center"/>
            <w:hideMark/>
          </w:tcPr>
          <w:p w14:paraId="7B516867" w14:textId="6B2F67F5" w:rsidR="00DE5B91" w:rsidRPr="00033480" w:rsidRDefault="00DE5B91" w:rsidP="004C6759">
            <w:pPr>
              <w:pStyle w:val="SCVtablecolhead"/>
              <w:jc w:val="right"/>
              <w:rPr>
                <w:sz w:val="24"/>
                <w:szCs w:val="20"/>
              </w:rPr>
            </w:pPr>
            <w:r w:rsidRPr="00033480">
              <w:rPr>
                <w:sz w:val="24"/>
                <w:szCs w:val="20"/>
              </w:rPr>
              <w:t>2022–23</w:t>
            </w:r>
          </w:p>
        </w:tc>
        <w:tc>
          <w:tcPr>
            <w:tcW w:w="1304" w:type="dxa"/>
            <w:noWrap/>
            <w:vAlign w:val="center"/>
            <w:hideMark/>
          </w:tcPr>
          <w:p w14:paraId="7D1F3C6A" w14:textId="009C83D0" w:rsidR="00DE5B91" w:rsidRPr="00033480" w:rsidRDefault="00DE5B91" w:rsidP="004C6759">
            <w:pPr>
              <w:pStyle w:val="SCVtablecolhead"/>
              <w:jc w:val="right"/>
              <w:rPr>
                <w:sz w:val="24"/>
                <w:szCs w:val="20"/>
              </w:rPr>
            </w:pPr>
            <w:r w:rsidRPr="00033480">
              <w:rPr>
                <w:sz w:val="24"/>
                <w:szCs w:val="20"/>
              </w:rPr>
              <w:t>2023–24</w:t>
            </w:r>
          </w:p>
        </w:tc>
        <w:tc>
          <w:tcPr>
            <w:tcW w:w="1304" w:type="dxa"/>
            <w:noWrap/>
            <w:vAlign w:val="center"/>
            <w:hideMark/>
          </w:tcPr>
          <w:p w14:paraId="325D983C" w14:textId="5DF8E126" w:rsidR="00DE5B91" w:rsidRPr="00033480" w:rsidRDefault="00DE5B91" w:rsidP="004C6759">
            <w:pPr>
              <w:pStyle w:val="SCVtablecolhead"/>
              <w:jc w:val="right"/>
              <w:rPr>
                <w:sz w:val="24"/>
                <w:szCs w:val="20"/>
              </w:rPr>
            </w:pPr>
            <w:r w:rsidRPr="00033480">
              <w:rPr>
                <w:sz w:val="24"/>
                <w:szCs w:val="20"/>
              </w:rPr>
              <w:t>2024–25</w:t>
            </w:r>
          </w:p>
        </w:tc>
      </w:tr>
      <w:tr w:rsidR="00DE5B91" w:rsidRPr="00033480" w14:paraId="6A42A781" w14:textId="77777777" w:rsidTr="00707960">
        <w:trPr>
          <w:trHeight w:val="296"/>
        </w:trPr>
        <w:tc>
          <w:tcPr>
            <w:tcW w:w="5839" w:type="dxa"/>
            <w:noWrap/>
            <w:hideMark/>
          </w:tcPr>
          <w:p w14:paraId="38A7E072" w14:textId="77777777" w:rsidR="00DE5B91" w:rsidRPr="00F7676F" w:rsidRDefault="00DE5B91" w:rsidP="00D66DF0">
            <w:pPr>
              <w:pStyle w:val="SCVtablebody"/>
              <w:rPr>
                <w:b/>
                <w:bCs/>
                <w:color w:val="007586" w:themeColor="text2"/>
                <w:sz w:val="24"/>
                <w:szCs w:val="20"/>
              </w:rPr>
            </w:pPr>
            <w:r w:rsidRPr="00F7676F">
              <w:rPr>
                <w:b/>
                <w:bCs/>
                <w:color w:val="007586" w:themeColor="text2"/>
                <w:sz w:val="24"/>
                <w:szCs w:val="20"/>
              </w:rPr>
              <w:t>Shortened life expectancy</w:t>
            </w:r>
          </w:p>
        </w:tc>
        <w:tc>
          <w:tcPr>
            <w:tcW w:w="1304" w:type="dxa"/>
            <w:noWrap/>
            <w:vAlign w:val="center"/>
            <w:hideMark/>
          </w:tcPr>
          <w:p w14:paraId="70AB18C9" w14:textId="77777777" w:rsidR="00DE5B91" w:rsidRPr="00033480" w:rsidRDefault="00DE5B91" w:rsidP="004C6759">
            <w:pPr>
              <w:pStyle w:val="SCVtablebody"/>
              <w:jc w:val="right"/>
              <w:rPr>
                <w:sz w:val="24"/>
                <w:szCs w:val="20"/>
              </w:rPr>
            </w:pPr>
            <w:r w:rsidRPr="00033480">
              <w:rPr>
                <w:sz w:val="24"/>
                <w:szCs w:val="20"/>
              </w:rPr>
              <w:t>3%</w:t>
            </w:r>
          </w:p>
        </w:tc>
        <w:tc>
          <w:tcPr>
            <w:tcW w:w="1304" w:type="dxa"/>
            <w:noWrap/>
            <w:vAlign w:val="center"/>
            <w:hideMark/>
          </w:tcPr>
          <w:p w14:paraId="6EE2CAEE" w14:textId="77777777" w:rsidR="00DE5B91" w:rsidRPr="00033480" w:rsidRDefault="00DE5B91" w:rsidP="004C6759">
            <w:pPr>
              <w:pStyle w:val="SCVtablebody"/>
              <w:jc w:val="right"/>
              <w:rPr>
                <w:sz w:val="24"/>
                <w:szCs w:val="20"/>
              </w:rPr>
            </w:pPr>
            <w:r w:rsidRPr="00033480">
              <w:rPr>
                <w:sz w:val="24"/>
                <w:szCs w:val="20"/>
              </w:rPr>
              <w:t>6%</w:t>
            </w:r>
          </w:p>
        </w:tc>
        <w:tc>
          <w:tcPr>
            <w:tcW w:w="1304" w:type="dxa"/>
            <w:noWrap/>
            <w:vAlign w:val="center"/>
            <w:hideMark/>
          </w:tcPr>
          <w:p w14:paraId="0D900CAB" w14:textId="77777777" w:rsidR="00DE5B91" w:rsidRPr="00033480" w:rsidRDefault="00DE5B91" w:rsidP="004C6759">
            <w:pPr>
              <w:pStyle w:val="SCVtablebody"/>
              <w:jc w:val="right"/>
              <w:rPr>
                <w:sz w:val="24"/>
                <w:szCs w:val="20"/>
              </w:rPr>
            </w:pPr>
            <w:r w:rsidRPr="00033480">
              <w:rPr>
                <w:sz w:val="24"/>
                <w:szCs w:val="20"/>
              </w:rPr>
              <w:t>6%</w:t>
            </w:r>
          </w:p>
        </w:tc>
      </w:tr>
      <w:tr w:rsidR="00DE5B91" w:rsidRPr="00033480" w14:paraId="74BE6D81" w14:textId="77777777" w:rsidTr="00707960">
        <w:trPr>
          <w:trHeight w:val="296"/>
        </w:trPr>
        <w:tc>
          <w:tcPr>
            <w:tcW w:w="5839" w:type="dxa"/>
            <w:noWrap/>
            <w:hideMark/>
          </w:tcPr>
          <w:p w14:paraId="1A20E039" w14:textId="77777777" w:rsidR="00DE5B91" w:rsidRPr="00F7676F" w:rsidRDefault="00DE5B91" w:rsidP="00D66DF0">
            <w:pPr>
              <w:pStyle w:val="SCVtablebody"/>
              <w:rPr>
                <w:b/>
                <w:bCs/>
                <w:color w:val="007586" w:themeColor="text2"/>
                <w:sz w:val="24"/>
                <w:szCs w:val="20"/>
              </w:rPr>
            </w:pPr>
            <w:r w:rsidRPr="00F7676F">
              <w:rPr>
                <w:b/>
                <w:bCs/>
                <w:color w:val="007586" w:themeColor="text2"/>
                <w:sz w:val="24"/>
                <w:szCs w:val="20"/>
              </w:rPr>
              <w:t>Unknown</w:t>
            </w:r>
          </w:p>
        </w:tc>
        <w:tc>
          <w:tcPr>
            <w:tcW w:w="1304" w:type="dxa"/>
            <w:noWrap/>
            <w:vAlign w:val="center"/>
            <w:hideMark/>
          </w:tcPr>
          <w:p w14:paraId="05935BB2" w14:textId="77777777" w:rsidR="00DE5B91" w:rsidRPr="00033480" w:rsidRDefault="00DE5B91" w:rsidP="004C6759">
            <w:pPr>
              <w:pStyle w:val="SCVtablebody"/>
              <w:jc w:val="right"/>
              <w:rPr>
                <w:sz w:val="24"/>
                <w:szCs w:val="20"/>
              </w:rPr>
            </w:pPr>
            <w:r w:rsidRPr="00033480">
              <w:rPr>
                <w:sz w:val="24"/>
                <w:szCs w:val="20"/>
              </w:rPr>
              <w:t>4%</w:t>
            </w:r>
          </w:p>
        </w:tc>
        <w:tc>
          <w:tcPr>
            <w:tcW w:w="1304" w:type="dxa"/>
            <w:noWrap/>
            <w:vAlign w:val="center"/>
            <w:hideMark/>
          </w:tcPr>
          <w:p w14:paraId="01315DC3" w14:textId="77777777" w:rsidR="00DE5B91" w:rsidRPr="00033480" w:rsidRDefault="00DE5B91" w:rsidP="004C6759">
            <w:pPr>
              <w:pStyle w:val="SCVtablebody"/>
              <w:jc w:val="right"/>
              <w:rPr>
                <w:sz w:val="24"/>
                <w:szCs w:val="20"/>
              </w:rPr>
            </w:pPr>
            <w:r w:rsidRPr="00033480">
              <w:rPr>
                <w:sz w:val="24"/>
                <w:szCs w:val="20"/>
              </w:rPr>
              <w:t>4%</w:t>
            </w:r>
          </w:p>
        </w:tc>
        <w:tc>
          <w:tcPr>
            <w:tcW w:w="1304" w:type="dxa"/>
            <w:noWrap/>
            <w:vAlign w:val="center"/>
            <w:hideMark/>
          </w:tcPr>
          <w:p w14:paraId="5DE6A7C1" w14:textId="77777777" w:rsidR="00DE5B91" w:rsidRPr="00033480" w:rsidRDefault="00DE5B91" w:rsidP="004C6759">
            <w:pPr>
              <w:pStyle w:val="SCVtablebody"/>
              <w:jc w:val="right"/>
              <w:rPr>
                <w:sz w:val="24"/>
                <w:szCs w:val="20"/>
              </w:rPr>
            </w:pPr>
            <w:r w:rsidRPr="00033480">
              <w:rPr>
                <w:sz w:val="24"/>
                <w:szCs w:val="20"/>
              </w:rPr>
              <w:t>4%</w:t>
            </w:r>
          </w:p>
        </w:tc>
      </w:tr>
      <w:tr w:rsidR="00DE5B91" w:rsidRPr="00033480" w14:paraId="1AFA9D07" w14:textId="77777777" w:rsidTr="00707960">
        <w:trPr>
          <w:trHeight w:val="296"/>
        </w:trPr>
        <w:tc>
          <w:tcPr>
            <w:tcW w:w="5839" w:type="dxa"/>
            <w:noWrap/>
            <w:hideMark/>
          </w:tcPr>
          <w:p w14:paraId="487BE3BA" w14:textId="77777777" w:rsidR="00DE5B91" w:rsidRPr="00F7676F" w:rsidRDefault="00DE5B91" w:rsidP="00D66DF0">
            <w:pPr>
              <w:pStyle w:val="SCVtablebody"/>
              <w:rPr>
                <w:b/>
                <w:bCs/>
                <w:color w:val="007586" w:themeColor="text2"/>
                <w:sz w:val="24"/>
                <w:szCs w:val="20"/>
              </w:rPr>
            </w:pPr>
            <w:r w:rsidRPr="00F7676F">
              <w:rPr>
                <w:b/>
                <w:bCs/>
                <w:color w:val="007586" w:themeColor="text2"/>
                <w:sz w:val="24"/>
                <w:szCs w:val="20"/>
              </w:rPr>
              <w:t>Experienced permanent or long-term physical harm</w:t>
            </w:r>
          </w:p>
        </w:tc>
        <w:tc>
          <w:tcPr>
            <w:tcW w:w="1304" w:type="dxa"/>
            <w:noWrap/>
            <w:vAlign w:val="center"/>
            <w:hideMark/>
          </w:tcPr>
          <w:p w14:paraId="3FA1D02E" w14:textId="77777777" w:rsidR="00DE5B91" w:rsidRPr="00033480" w:rsidRDefault="00DE5B91" w:rsidP="004C6759">
            <w:pPr>
              <w:pStyle w:val="SCVtablebody"/>
              <w:jc w:val="right"/>
              <w:rPr>
                <w:sz w:val="24"/>
                <w:szCs w:val="20"/>
              </w:rPr>
            </w:pPr>
            <w:r w:rsidRPr="00033480">
              <w:rPr>
                <w:sz w:val="24"/>
                <w:szCs w:val="20"/>
              </w:rPr>
              <w:t>4%</w:t>
            </w:r>
          </w:p>
        </w:tc>
        <w:tc>
          <w:tcPr>
            <w:tcW w:w="1304" w:type="dxa"/>
            <w:noWrap/>
            <w:vAlign w:val="center"/>
            <w:hideMark/>
          </w:tcPr>
          <w:p w14:paraId="3DBC57D7" w14:textId="77777777" w:rsidR="00DE5B91" w:rsidRPr="00033480" w:rsidRDefault="00DE5B91" w:rsidP="004C6759">
            <w:pPr>
              <w:pStyle w:val="SCVtablebody"/>
              <w:jc w:val="right"/>
              <w:rPr>
                <w:sz w:val="24"/>
                <w:szCs w:val="20"/>
              </w:rPr>
            </w:pPr>
            <w:r w:rsidRPr="00033480">
              <w:rPr>
                <w:sz w:val="24"/>
                <w:szCs w:val="20"/>
              </w:rPr>
              <w:t>5%</w:t>
            </w:r>
          </w:p>
        </w:tc>
        <w:tc>
          <w:tcPr>
            <w:tcW w:w="1304" w:type="dxa"/>
            <w:noWrap/>
            <w:vAlign w:val="center"/>
            <w:hideMark/>
          </w:tcPr>
          <w:p w14:paraId="7D82B8DB" w14:textId="77777777" w:rsidR="00DE5B91" w:rsidRPr="00033480" w:rsidRDefault="00DE5B91" w:rsidP="004C6759">
            <w:pPr>
              <w:pStyle w:val="SCVtablebody"/>
              <w:jc w:val="right"/>
              <w:rPr>
                <w:sz w:val="24"/>
                <w:szCs w:val="20"/>
              </w:rPr>
            </w:pPr>
            <w:r w:rsidRPr="00033480">
              <w:rPr>
                <w:sz w:val="24"/>
                <w:szCs w:val="20"/>
              </w:rPr>
              <w:t>3%</w:t>
            </w:r>
          </w:p>
        </w:tc>
      </w:tr>
      <w:tr w:rsidR="00DE5B91" w:rsidRPr="00033480" w14:paraId="1B2F74C2" w14:textId="77777777" w:rsidTr="00707960">
        <w:trPr>
          <w:trHeight w:val="296"/>
        </w:trPr>
        <w:tc>
          <w:tcPr>
            <w:tcW w:w="5839" w:type="dxa"/>
            <w:noWrap/>
            <w:hideMark/>
          </w:tcPr>
          <w:p w14:paraId="1B66C593" w14:textId="77777777" w:rsidR="00DE5B91" w:rsidRPr="00F7676F" w:rsidRDefault="00DE5B91" w:rsidP="00D66DF0">
            <w:pPr>
              <w:pStyle w:val="SCVtablebody"/>
              <w:rPr>
                <w:b/>
                <w:bCs/>
                <w:color w:val="007586" w:themeColor="text2"/>
                <w:sz w:val="24"/>
                <w:szCs w:val="20"/>
              </w:rPr>
            </w:pPr>
            <w:r w:rsidRPr="00F7676F">
              <w:rPr>
                <w:b/>
                <w:bCs/>
                <w:color w:val="007586" w:themeColor="text2"/>
                <w:sz w:val="24"/>
                <w:szCs w:val="20"/>
              </w:rPr>
              <w:t>Experience permanent or long-term loss of function</w:t>
            </w:r>
          </w:p>
        </w:tc>
        <w:tc>
          <w:tcPr>
            <w:tcW w:w="1304" w:type="dxa"/>
            <w:noWrap/>
            <w:vAlign w:val="center"/>
            <w:hideMark/>
          </w:tcPr>
          <w:p w14:paraId="7F050BD3" w14:textId="77777777" w:rsidR="00DE5B91" w:rsidRPr="00033480" w:rsidRDefault="00DE5B91" w:rsidP="004C6759">
            <w:pPr>
              <w:pStyle w:val="SCVtablebody"/>
              <w:jc w:val="right"/>
              <w:rPr>
                <w:sz w:val="24"/>
                <w:szCs w:val="20"/>
              </w:rPr>
            </w:pPr>
            <w:r w:rsidRPr="00033480">
              <w:rPr>
                <w:sz w:val="24"/>
                <w:szCs w:val="20"/>
              </w:rPr>
              <w:t>8%</w:t>
            </w:r>
          </w:p>
        </w:tc>
        <w:tc>
          <w:tcPr>
            <w:tcW w:w="1304" w:type="dxa"/>
            <w:noWrap/>
            <w:vAlign w:val="center"/>
            <w:hideMark/>
          </w:tcPr>
          <w:p w14:paraId="7FA3A75E" w14:textId="77777777" w:rsidR="00DE5B91" w:rsidRPr="00033480" w:rsidRDefault="00DE5B91" w:rsidP="004C6759">
            <w:pPr>
              <w:pStyle w:val="SCVtablebody"/>
              <w:jc w:val="right"/>
              <w:rPr>
                <w:sz w:val="24"/>
                <w:szCs w:val="20"/>
              </w:rPr>
            </w:pPr>
            <w:r w:rsidRPr="00033480">
              <w:rPr>
                <w:sz w:val="24"/>
                <w:szCs w:val="20"/>
              </w:rPr>
              <w:t>9%</w:t>
            </w:r>
          </w:p>
        </w:tc>
        <w:tc>
          <w:tcPr>
            <w:tcW w:w="1304" w:type="dxa"/>
            <w:noWrap/>
            <w:vAlign w:val="center"/>
            <w:hideMark/>
          </w:tcPr>
          <w:p w14:paraId="4458BBF5" w14:textId="77777777" w:rsidR="00DE5B91" w:rsidRPr="00033480" w:rsidRDefault="00DE5B91" w:rsidP="004C6759">
            <w:pPr>
              <w:pStyle w:val="SCVtablebody"/>
              <w:jc w:val="right"/>
              <w:rPr>
                <w:sz w:val="24"/>
                <w:szCs w:val="20"/>
              </w:rPr>
            </w:pPr>
            <w:r w:rsidRPr="00033480">
              <w:rPr>
                <w:sz w:val="24"/>
                <w:szCs w:val="20"/>
              </w:rPr>
              <w:t>12%</w:t>
            </w:r>
          </w:p>
        </w:tc>
      </w:tr>
      <w:tr w:rsidR="00DE5B91" w:rsidRPr="00033480" w14:paraId="4E8EED7B" w14:textId="77777777" w:rsidTr="00707960">
        <w:trPr>
          <w:trHeight w:val="296"/>
        </w:trPr>
        <w:tc>
          <w:tcPr>
            <w:tcW w:w="5839" w:type="dxa"/>
            <w:noWrap/>
            <w:hideMark/>
          </w:tcPr>
          <w:p w14:paraId="069EE649" w14:textId="77777777" w:rsidR="00DE5B91" w:rsidRPr="00F7676F" w:rsidRDefault="00DE5B91" w:rsidP="00D66DF0">
            <w:pPr>
              <w:pStyle w:val="SCVtablebody"/>
              <w:rPr>
                <w:b/>
                <w:bCs/>
                <w:color w:val="007586" w:themeColor="text2"/>
                <w:sz w:val="24"/>
                <w:szCs w:val="20"/>
              </w:rPr>
            </w:pPr>
            <w:r w:rsidRPr="00F7676F">
              <w:rPr>
                <w:b/>
                <w:bCs/>
                <w:color w:val="007586" w:themeColor="text2"/>
                <w:sz w:val="24"/>
                <w:szCs w:val="20"/>
              </w:rPr>
              <w:t>Required life-saving surgical or medical intervention</w:t>
            </w:r>
          </w:p>
        </w:tc>
        <w:tc>
          <w:tcPr>
            <w:tcW w:w="1304" w:type="dxa"/>
            <w:noWrap/>
            <w:vAlign w:val="center"/>
            <w:hideMark/>
          </w:tcPr>
          <w:p w14:paraId="10E51CD0" w14:textId="77777777" w:rsidR="00DE5B91" w:rsidRPr="00033480" w:rsidRDefault="00DE5B91" w:rsidP="004C6759">
            <w:pPr>
              <w:pStyle w:val="SCVtablebody"/>
              <w:jc w:val="right"/>
              <w:rPr>
                <w:sz w:val="24"/>
                <w:szCs w:val="20"/>
              </w:rPr>
            </w:pPr>
            <w:r w:rsidRPr="00033480">
              <w:rPr>
                <w:sz w:val="24"/>
                <w:szCs w:val="20"/>
              </w:rPr>
              <w:t>13%</w:t>
            </w:r>
          </w:p>
        </w:tc>
        <w:tc>
          <w:tcPr>
            <w:tcW w:w="1304" w:type="dxa"/>
            <w:noWrap/>
            <w:vAlign w:val="center"/>
            <w:hideMark/>
          </w:tcPr>
          <w:p w14:paraId="408F136E" w14:textId="77777777" w:rsidR="00DE5B91" w:rsidRPr="00033480" w:rsidRDefault="00DE5B91" w:rsidP="004C6759">
            <w:pPr>
              <w:pStyle w:val="SCVtablebody"/>
              <w:jc w:val="right"/>
              <w:rPr>
                <w:sz w:val="24"/>
                <w:szCs w:val="20"/>
              </w:rPr>
            </w:pPr>
            <w:r w:rsidRPr="00033480">
              <w:rPr>
                <w:sz w:val="24"/>
                <w:szCs w:val="20"/>
              </w:rPr>
              <w:t>19%</w:t>
            </w:r>
          </w:p>
        </w:tc>
        <w:tc>
          <w:tcPr>
            <w:tcW w:w="1304" w:type="dxa"/>
            <w:noWrap/>
            <w:vAlign w:val="center"/>
            <w:hideMark/>
          </w:tcPr>
          <w:p w14:paraId="4BE941D2" w14:textId="77777777" w:rsidR="00DE5B91" w:rsidRPr="00033480" w:rsidRDefault="00DE5B91" w:rsidP="004C6759">
            <w:pPr>
              <w:pStyle w:val="SCVtablebody"/>
              <w:jc w:val="right"/>
              <w:rPr>
                <w:sz w:val="24"/>
                <w:szCs w:val="20"/>
              </w:rPr>
            </w:pPr>
            <w:r w:rsidRPr="00033480">
              <w:rPr>
                <w:sz w:val="24"/>
                <w:szCs w:val="20"/>
              </w:rPr>
              <w:t>13%</w:t>
            </w:r>
          </w:p>
        </w:tc>
      </w:tr>
      <w:tr w:rsidR="00DE5B91" w:rsidRPr="00033480" w14:paraId="6E6FAF11" w14:textId="77777777" w:rsidTr="00707960">
        <w:trPr>
          <w:trHeight w:val="296"/>
        </w:trPr>
        <w:tc>
          <w:tcPr>
            <w:tcW w:w="5839" w:type="dxa"/>
            <w:noWrap/>
            <w:hideMark/>
          </w:tcPr>
          <w:p w14:paraId="5C395981" w14:textId="77777777" w:rsidR="00DE5B91" w:rsidRPr="00F7676F" w:rsidRDefault="00DE5B91" w:rsidP="00D66DF0">
            <w:pPr>
              <w:pStyle w:val="SCVtablebody"/>
              <w:rPr>
                <w:b/>
                <w:bCs/>
                <w:color w:val="007586" w:themeColor="text2"/>
                <w:sz w:val="24"/>
                <w:szCs w:val="20"/>
              </w:rPr>
            </w:pPr>
            <w:r w:rsidRPr="00F7676F">
              <w:rPr>
                <w:b/>
                <w:bCs/>
                <w:color w:val="007586" w:themeColor="text2"/>
                <w:sz w:val="24"/>
                <w:szCs w:val="20"/>
              </w:rPr>
              <w:t>Death</w:t>
            </w:r>
          </w:p>
        </w:tc>
        <w:tc>
          <w:tcPr>
            <w:tcW w:w="1304" w:type="dxa"/>
            <w:noWrap/>
            <w:vAlign w:val="center"/>
            <w:hideMark/>
          </w:tcPr>
          <w:p w14:paraId="656DCAC8" w14:textId="77777777" w:rsidR="00DE5B91" w:rsidRPr="00033480" w:rsidRDefault="00DE5B91" w:rsidP="004C6759">
            <w:pPr>
              <w:pStyle w:val="SCVtablebody"/>
              <w:jc w:val="right"/>
              <w:rPr>
                <w:sz w:val="24"/>
                <w:szCs w:val="20"/>
              </w:rPr>
            </w:pPr>
            <w:r w:rsidRPr="00033480">
              <w:rPr>
                <w:sz w:val="24"/>
                <w:szCs w:val="20"/>
              </w:rPr>
              <w:t>68%</w:t>
            </w:r>
          </w:p>
        </w:tc>
        <w:tc>
          <w:tcPr>
            <w:tcW w:w="1304" w:type="dxa"/>
            <w:noWrap/>
            <w:vAlign w:val="center"/>
            <w:hideMark/>
          </w:tcPr>
          <w:p w14:paraId="40094D86" w14:textId="77777777" w:rsidR="00DE5B91" w:rsidRPr="00033480" w:rsidRDefault="00DE5B91" w:rsidP="004C6759">
            <w:pPr>
              <w:pStyle w:val="SCVtablebody"/>
              <w:jc w:val="right"/>
              <w:rPr>
                <w:sz w:val="24"/>
                <w:szCs w:val="20"/>
              </w:rPr>
            </w:pPr>
            <w:r w:rsidRPr="00033480">
              <w:rPr>
                <w:sz w:val="24"/>
                <w:szCs w:val="20"/>
              </w:rPr>
              <w:t>58%</w:t>
            </w:r>
          </w:p>
        </w:tc>
        <w:tc>
          <w:tcPr>
            <w:tcW w:w="1304" w:type="dxa"/>
            <w:noWrap/>
            <w:vAlign w:val="center"/>
            <w:hideMark/>
          </w:tcPr>
          <w:p w14:paraId="3FEFD29D" w14:textId="77777777" w:rsidR="00DE5B91" w:rsidRPr="00033480" w:rsidRDefault="00DE5B91" w:rsidP="004C6759">
            <w:pPr>
              <w:pStyle w:val="SCVtablebody"/>
              <w:jc w:val="right"/>
              <w:rPr>
                <w:sz w:val="24"/>
                <w:szCs w:val="20"/>
              </w:rPr>
            </w:pPr>
            <w:r w:rsidRPr="00033480">
              <w:rPr>
                <w:sz w:val="24"/>
                <w:szCs w:val="20"/>
              </w:rPr>
              <w:t>61%</w:t>
            </w:r>
          </w:p>
        </w:tc>
      </w:tr>
    </w:tbl>
    <w:p w14:paraId="48EBB175" w14:textId="77777777" w:rsidR="00F21E40" w:rsidRDefault="00F21E40" w:rsidP="00F21E40">
      <w:pPr>
        <w:pStyle w:val="SCVtablefigurenote"/>
      </w:pPr>
      <w:r w:rsidRPr="00E343FB">
        <w:t>Note: Totals not 100% due to rounding</w:t>
      </w:r>
    </w:p>
    <w:p w14:paraId="3EB6525F" w14:textId="334CA6D8" w:rsidR="0004538C" w:rsidRPr="006F1353" w:rsidRDefault="59A7D4AF" w:rsidP="57EA0190">
      <w:pPr>
        <w:pStyle w:val="Heading2"/>
        <w:rPr>
          <w:color w:val="007586" w:themeColor="text2"/>
        </w:rPr>
      </w:pPr>
      <w:bookmarkStart w:id="49" w:name="_Toc238026657"/>
      <w:r w:rsidRPr="006F1353">
        <w:rPr>
          <w:color w:val="007586" w:themeColor="text2"/>
        </w:rPr>
        <w:t>Age</w:t>
      </w:r>
      <w:r w:rsidR="5811132B" w:rsidRPr="006F1353">
        <w:rPr>
          <w:color w:val="007586" w:themeColor="text2"/>
        </w:rPr>
        <w:t xml:space="preserve"> </w:t>
      </w:r>
      <w:r w:rsidRPr="006F1353">
        <w:rPr>
          <w:color w:val="007586" w:themeColor="text2"/>
        </w:rPr>
        <w:t>of</w:t>
      </w:r>
      <w:r w:rsidR="5811132B" w:rsidRPr="006F1353">
        <w:rPr>
          <w:color w:val="007586" w:themeColor="text2"/>
        </w:rPr>
        <w:t xml:space="preserve"> </w:t>
      </w:r>
      <w:r w:rsidRPr="006F1353">
        <w:rPr>
          <w:color w:val="007586" w:themeColor="text2"/>
        </w:rPr>
        <w:t>affected</w:t>
      </w:r>
      <w:r w:rsidR="5811132B" w:rsidRPr="006F1353">
        <w:rPr>
          <w:color w:val="007586" w:themeColor="text2"/>
        </w:rPr>
        <w:t xml:space="preserve"> </w:t>
      </w:r>
      <w:r w:rsidRPr="006F1353">
        <w:rPr>
          <w:color w:val="007586" w:themeColor="text2"/>
        </w:rPr>
        <w:t>patient</w:t>
      </w:r>
      <w:bookmarkEnd w:id="48"/>
      <w:bookmarkEnd w:id="49"/>
    </w:p>
    <w:p w14:paraId="629021A8" w14:textId="6666DD85" w:rsidR="00B273A7" w:rsidRPr="00B273A7" w:rsidRDefault="00B273A7" w:rsidP="0057201C">
      <w:pPr>
        <w:pStyle w:val="SCVbody"/>
      </w:pPr>
      <w:r>
        <w:t xml:space="preserve">The ages of patients affected by sentinel events are shown in </w:t>
      </w:r>
      <w:r w:rsidR="0AA46082">
        <w:t>T</w:t>
      </w:r>
      <w:r w:rsidR="00A7620C">
        <w:t>able</w:t>
      </w:r>
      <w:r w:rsidR="7AB535F2">
        <w:t>s</w:t>
      </w:r>
      <w:r w:rsidR="00A7620C">
        <w:t xml:space="preserve"> </w:t>
      </w:r>
      <w:r w:rsidR="00860ECF">
        <w:t>1</w:t>
      </w:r>
      <w:r w:rsidR="71F9162C">
        <w:t>8, 19 and 20</w:t>
      </w:r>
      <w:r>
        <w:t>.</w:t>
      </w:r>
    </w:p>
    <w:p w14:paraId="2A02F190" w14:textId="0A139425" w:rsidR="00F81BC2" w:rsidRDefault="409FCA53" w:rsidP="271C3A84">
      <w:pPr>
        <w:pStyle w:val="SCVfigurecaption"/>
      </w:pPr>
      <w:r>
        <w:t>Table 18</w:t>
      </w:r>
      <w:r w:rsidR="002008E3">
        <w:t>:</w:t>
      </w:r>
      <w:r w:rsidR="00824FA7">
        <w:t xml:space="preserve"> </w:t>
      </w:r>
      <w:r w:rsidR="00F81BC2">
        <w:t>Age</w:t>
      </w:r>
      <w:r w:rsidR="00824FA7">
        <w:t xml:space="preserve"> </w:t>
      </w:r>
      <w:r w:rsidR="00F81BC2">
        <w:t>(years)</w:t>
      </w:r>
      <w:r w:rsidR="00824FA7">
        <w:t xml:space="preserve"> </w:t>
      </w:r>
      <w:r w:rsidR="00F81BC2">
        <w:t>of</w:t>
      </w:r>
      <w:r w:rsidR="00824FA7">
        <w:t xml:space="preserve"> </w:t>
      </w:r>
      <w:r w:rsidR="00F81BC2">
        <w:t>adults</w:t>
      </w:r>
      <w:r w:rsidR="00824FA7">
        <w:t xml:space="preserve"> </w:t>
      </w:r>
      <w:r w:rsidR="00F81BC2">
        <w:t>affected</w:t>
      </w:r>
      <w:r w:rsidR="00824FA7">
        <w:t xml:space="preserve"> </w:t>
      </w:r>
      <w:r w:rsidR="00F81BC2">
        <w:t>by</w:t>
      </w:r>
      <w:r w:rsidR="00824FA7">
        <w:t xml:space="preserve"> </w:t>
      </w:r>
      <w:r w:rsidR="00F81BC2">
        <w:t>sentinel</w:t>
      </w:r>
      <w:r w:rsidR="00824FA7">
        <w:t xml:space="preserve"> </w:t>
      </w:r>
      <w:r w:rsidR="00F81BC2">
        <w:t>events</w:t>
      </w:r>
      <w:r w:rsidR="00824FA7">
        <w:t xml:space="preserve"> </w:t>
      </w:r>
      <w:r w:rsidR="00F81BC2">
        <w:t>by</w:t>
      </w:r>
      <w:r w:rsidR="00824FA7">
        <w:t xml:space="preserve"> </w:t>
      </w:r>
      <w:r w:rsidR="00F81BC2">
        <w:t>percentage</w:t>
      </w:r>
      <w:r w:rsidR="00824FA7">
        <w:t xml:space="preserve"> </w:t>
      </w:r>
      <w:r w:rsidR="00F81BC2">
        <w:t>of</w:t>
      </w:r>
      <w:r w:rsidR="00824FA7">
        <w:t xml:space="preserve"> </w:t>
      </w:r>
      <w:r w:rsidR="00F81BC2">
        <w:t>total</w:t>
      </w:r>
      <w:r w:rsidR="00824FA7">
        <w:t xml:space="preserve"> </w:t>
      </w:r>
      <w:r w:rsidR="00F81BC2">
        <w:t>sentinel</w:t>
      </w:r>
      <w:r w:rsidR="00824FA7">
        <w:t xml:space="preserve"> </w:t>
      </w:r>
      <w:r w:rsidR="00F81BC2">
        <w:t>events</w:t>
      </w:r>
      <w:r w:rsidR="00845E81">
        <w:t>, 2022–23 to 2024–25</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40"/>
        <w:gridCol w:w="2220"/>
        <w:gridCol w:w="2220"/>
        <w:gridCol w:w="2220"/>
      </w:tblGrid>
      <w:tr w:rsidR="271C3A84" w:rsidRPr="00777766" w14:paraId="203827AC" w14:textId="77777777" w:rsidTr="004C6759">
        <w:trPr>
          <w:cnfStyle w:val="100000000000" w:firstRow="1" w:lastRow="0" w:firstColumn="0" w:lastColumn="0" w:oddVBand="0" w:evenVBand="0" w:oddHBand="0" w:evenHBand="0" w:firstRowFirstColumn="0" w:firstRowLastColumn="0" w:lastRowFirstColumn="0" w:lastRowLastColumn="0"/>
          <w:trHeight w:val="285"/>
        </w:trPr>
        <w:tc>
          <w:tcPr>
            <w:tcW w:w="2640" w:type="dxa"/>
            <w:tcMar>
              <w:left w:w="90" w:type="dxa"/>
              <w:right w:w="90" w:type="dxa"/>
            </w:tcMar>
          </w:tcPr>
          <w:p w14:paraId="4D9BB2B9" w14:textId="115239C0" w:rsidR="271C3A84" w:rsidRPr="00777766" w:rsidRDefault="271C3A84" w:rsidP="271C3A84">
            <w:pPr>
              <w:spacing w:before="80" w:after="60"/>
              <w:rPr>
                <w:rFonts w:ascii="Arial" w:eastAsia="Arial" w:hAnsi="Arial" w:cs="Arial"/>
                <w:color w:val="007586" w:themeColor="accent2"/>
                <w:sz w:val="24"/>
                <w:szCs w:val="24"/>
                <w:lang w:val="en-US"/>
              </w:rPr>
            </w:pPr>
            <w:r w:rsidRPr="00777766">
              <w:rPr>
                <w:rFonts w:ascii="Arial" w:eastAsia="Arial" w:hAnsi="Arial" w:cs="Arial"/>
                <w:b/>
                <w:bCs/>
                <w:color w:val="007586" w:themeColor="accent2"/>
                <w:sz w:val="24"/>
                <w:szCs w:val="24"/>
              </w:rPr>
              <w:t>Age range</w:t>
            </w:r>
          </w:p>
        </w:tc>
        <w:tc>
          <w:tcPr>
            <w:tcW w:w="2220" w:type="dxa"/>
            <w:tcMar>
              <w:left w:w="90" w:type="dxa"/>
              <w:right w:w="90" w:type="dxa"/>
            </w:tcMar>
            <w:vAlign w:val="center"/>
          </w:tcPr>
          <w:p w14:paraId="0E7509B6" w14:textId="10985F13" w:rsidR="271C3A84" w:rsidRPr="00777766" w:rsidRDefault="271C3A84" w:rsidP="004C6759">
            <w:pPr>
              <w:spacing w:before="80" w:after="60"/>
              <w:jc w:val="right"/>
              <w:rPr>
                <w:rFonts w:ascii="Arial" w:eastAsia="Arial" w:hAnsi="Arial" w:cs="Arial"/>
                <w:color w:val="007586" w:themeColor="accent2"/>
                <w:sz w:val="24"/>
                <w:szCs w:val="24"/>
                <w:lang w:val="en-US"/>
              </w:rPr>
            </w:pPr>
            <w:r w:rsidRPr="00777766">
              <w:rPr>
                <w:rFonts w:ascii="Arial" w:eastAsia="Arial" w:hAnsi="Arial" w:cs="Arial"/>
                <w:b/>
                <w:bCs/>
                <w:color w:val="007586" w:themeColor="accent2"/>
                <w:sz w:val="24"/>
                <w:szCs w:val="24"/>
              </w:rPr>
              <w:t>2022–23</w:t>
            </w:r>
          </w:p>
        </w:tc>
        <w:tc>
          <w:tcPr>
            <w:tcW w:w="2220" w:type="dxa"/>
            <w:tcMar>
              <w:left w:w="90" w:type="dxa"/>
              <w:right w:w="90" w:type="dxa"/>
            </w:tcMar>
            <w:vAlign w:val="center"/>
          </w:tcPr>
          <w:p w14:paraId="41AAC81E" w14:textId="5E885E95" w:rsidR="271C3A84" w:rsidRPr="00777766" w:rsidRDefault="271C3A84" w:rsidP="004C6759">
            <w:pPr>
              <w:spacing w:before="80" w:after="60"/>
              <w:jc w:val="right"/>
              <w:rPr>
                <w:rFonts w:ascii="Arial" w:eastAsia="Arial" w:hAnsi="Arial" w:cs="Arial"/>
                <w:color w:val="007586" w:themeColor="accent2"/>
                <w:sz w:val="24"/>
                <w:szCs w:val="24"/>
                <w:lang w:val="en-US"/>
              </w:rPr>
            </w:pPr>
            <w:r w:rsidRPr="00777766">
              <w:rPr>
                <w:rFonts w:ascii="Arial" w:eastAsia="Arial" w:hAnsi="Arial" w:cs="Arial"/>
                <w:b/>
                <w:bCs/>
                <w:color w:val="007586" w:themeColor="accent2"/>
                <w:sz w:val="24"/>
                <w:szCs w:val="24"/>
              </w:rPr>
              <w:t>2023–24</w:t>
            </w:r>
          </w:p>
        </w:tc>
        <w:tc>
          <w:tcPr>
            <w:tcW w:w="2220" w:type="dxa"/>
            <w:tcMar>
              <w:left w:w="90" w:type="dxa"/>
              <w:right w:w="90" w:type="dxa"/>
            </w:tcMar>
            <w:vAlign w:val="center"/>
          </w:tcPr>
          <w:p w14:paraId="7863CA31" w14:textId="04458733" w:rsidR="271C3A84" w:rsidRPr="00777766" w:rsidRDefault="271C3A84" w:rsidP="004C6759">
            <w:pPr>
              <w:jc w:val="right"/>
              <w:rPr>
                <w:rFonts w:ascii="Arial" w:eastAsia="Arial" w:hAnsi="Arial" w:cs="Arial"/>
                <w:color w:val="007586" w:themeColor="accent2"/>
                <w:sz w:val="24"/>
                <w:szCs w:val="24"/>
                <w:lang w:val="en-US"/>
              </w:rPr>
            </w:pPr>
            <w:r w:rsidRPr="00777766">
              <w:rPr>
                <w:rFonts w:ascii="Arial" w:eastAsia="Arial" w:hAnsi="Arial" w:cs="Arial"/>
                <w:b/>
                <w:bCs/>
                <w:color w:val="007586" w:themeColor="accent2"/>
                <w:sz w:val="24"/>
                <w:szCs w:val="24"/>
              </w:rPr>
              <w:t>2024–25</w:t>
            </w:r>
          </w:p>
        </w:tc>
      </w:tr>
      <w:tr w:rsidR="271C3A84" w:rsidRPr="00777766" w14:paraId="76B0C23D" w14:textId="77777777" w:rsidTr="004C6759">
        <w:trPr>
          <w:trHeight w:val="285"/>
        </w:trPr>
        <w:tc>
          <w:tcPr>
            <w:tcW w:w="2640" w:type="dxa"/>
            <w:tcBorders>
              <w:top w:val="single" w:sz="24" w:space="0" w:color="CCCCD0"/>
              <w:left w:val="nil"/>
              <w:bottom w:val="single" w:sz="6" w:space="0" w:color="80808B"/>
              <w:right w:val="nil"/>
            </w:tcBorders>
            <w:tcMar>
              <w:left w:w="90" w:type="dxa"/>
              <w:right w:w="90" w:type="dxa"/>
            </w:tcMar>
          </w:tcPr>
          <w:p w14:paraId="2B438A3C" w14:textId="0F11AAF2" w:rsidR="271C3A84" w:rsidRPr="004C6759" w:rsidRDefault="271C3A84" w:rsidP="271C3A84">
            <w:pPr>
              <w:spacing w:before="80" w:after="60"/>
              <w:rPr>
                <w:rFonts w:ascii="Arial" w:eastAsia="Arial" w:hAnsi="Arial" w:cs="Arial"/>
                <w:b/>
                <w:bCs/>
                <w:color w:val="007586" w:themeColor="text2"/>
                <w:sz w:val="24"/>
                <w:szCs w:val="24"/>
                <w:lang w:val="en-US"/>
              </w:rPr>
            </w:pPr>
            <w:r w:rsidRPr="004C6759">
              <w:rPr>
                <w:rFonts w:ascii="Arial" w:eastAsia="Arial" w:hAnsi="Arial" w:cs="Arial"/>
                <w:b/>
                <w:bCs/>
                <w:color w:val="007586" w:themeColor="text2"/>
                <w:sz w:val="24"/>
                <w:szCs w:val="24"/>
              </w:rPr>
              <w:t>19-29 years</w:t>
            </w:r>
          </w:p>
        </w:tc>
        <w:tc>
          <w:tcPr>
            <w:tcW w:w="2220" w:type="dxa"/>
            <w:tcBorders>
              <w:top w:val="single" w:sz="24" w:space="0" w:color="CCCCD0"/>
              <w:left w:val="nil"/>
              <w:bottom w:val="single" w:sz="6" w:space="0" w:color="80808B"/>
              <w:right w:val="nil"/>
            </w:tcBorders>
            <w:tcMar>
              <w:left w:w="90" w:type="dxa"/>
              <w:right w:w="90" w:type="dxa"/>
            </w:tcMar>
            <w:vAlign w:val="center"/>
          </w:tcPr>
          <w:p w14:paraId="59C56470" w14:textId="5F4320E6"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4%</w:t>
            </w:r>
          </w:p>
        </w:tc>
        <w:tc>
          <w:tcPr>
            <w:tcW w:w="2220" w:type="dxa"/>
            <w:tcBorders>
              <w:top w:val="single" w:sz="24" w:space="0" w:color="CCCCD0"/>
              <w:left w:val="nil"/>
              <w:bottom w:val="single" w:sz="6" w:space="0" w:color="80808B"/>
              <w:right w:val="nil"/>
            </w:tcBorders>
            <w:tcMar>
              <w:left w:w="90" w:type="dxa"/>
              <w:right w:w="90" w:type="dxa"/>
            </w:tcMar>
            <w:vAlign w:val="center"/>
          </w:tcPr>
          <w:p w14:paraId="625C1E97" w14:textId="74E1B3B0"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6%</w:t>
            </w:r>
          </w:p>
        </w:tc>
        <w:tc>
          <w:tcPr>
            <w:tcW w:w="2220" w:type="dxa"/>
            <w:tcBorders>
              <w:top w:val="single" w:sz="24" w:space="0" w:color="CCCCD0"/>
              <w:left w:val="nil"/>
              <w:bottom w:val="single" w:sz="6" w:space="0" w:color="80808B"/>
              <w:right w:val="nil"/>
            </w:tcBorders>
            <w:tcMar>
              <w:left w:w="90" w:type="dxa"/>
              <w:right w:w="90" w:type="dxa"/>
            </w:tcMar>
            <w:vAlign w:val="center"/>
          </w:tcPr>
          <w:p w14:paraId="46627FEE" w14:textId="5D4A0382" w:rsidR="271C3A84" w:rsidRPr="00777766" w:rsidRDefault="271C3A84" w:rsidP="004C6759">
            <w:pPr>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5%</w:t>
            </w:r>
          </w:p>
        </w:tc>
      </w:tr>
      <w:tr w:rsidR="271C3A84" w:rsidRPr="00777766" w14:paraId="746E09F9" w14:textId="77777777" w:rsidTr="004C6759">
        <w:trPr>
          <w:trHeight w:val="285"/>
        </w:trPr>
        <w:tc>
          <w:tcPr>
            <w:tcW w:w="2640" w:type="dxa"/>
            <w:tcBorders>
              <w:top w:val="single" w:sz="6" w:space="0" w:color="80808B"/>
              <w:left w:val="nil"/>
              <w:bottom w:val="single" w:sz="6" w:space="0" w:color="80808B"/>
              <w:right w:val="nil"/>
            </w:tcBorders>
            <w:tcMar>
              <w:left w:w="90" w:type="dxa"/>
              <w:right w:w="90" w:type="dxa"/>
            </w:tcMar>
          </w:tcPr>
          <w:p w14:paraId="74BF0832" w14:textId="12803D5C" w:rsidR="271C3A84" w:rsidRPr="004C6759" w:rsidRDefault="271C3A84" w:rsidP="271C3A84">
            <w:pPr>
              <w:spacing w:before="80" w:after="60"/>
              <w:rPr>
                <w:rFonts w:ascii="Arial" w:eastAsia="Arial" w:hAnsi="Arial" w:cs="Arial"/>
                <w:b/>
                <w:bCs/>
                <w:color w:val="007586" w:themeColor="text2"/>
                <w:sz w:val="24"/>
                <w:szCs w:val="24"/>
                <w:lang w:val="en-US"/>
              </w:rPr>
            </w:pPr>
            <w:r w:rsidRPr="004C6759">
              <w:rPr>
                <w:rFonts w:ascii="Arial" w:eastAsia="Arial" w:hAnsi="Arial" w:cs="Arial"/>
                <w:b/>
                <w:bCs/>
                <w:color w:val="007586" w:themeColor="text2"/>
                <w:sz w:val="24"/>
                <w:szCs w:val="24"/>
              </w:rPr>
              <w:t>30-64 years</w:t>
            </w:r>
          </w:p>
        </w:tc>
        <w:tc>
          <w:tcPr>
            <w:tcW w:w="2220" w:type="dxa"/>
            <w:tcBorders>
              <w:top w:val="single" w:sz="6" w:space="0" w:color="80808B"/>
              <w:left w:val="nil"/>
              <w:bottom w:val="single" w:sz="6" w:space="0" w:color="80808B"/>
              <w:right w:val="nil"/>
            </w:tcBorders>
            <w:tcMar>
              <w:left w:w="90" w:type="dxa"/>
              <w:right w:w="90" w:type="dxa"/>
            </w:tcMar>
            <w:vAlign w:val="center"/>
          </w:tcPr>
          <w:p w14:paraId="517F8A18" w14:textId="0594080D"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34%</w:t>
            </w:r>
          </w:p>
        </w:tc>
        <w:tc>
          <w:tcPr>
            <w:tcW w:w="2220" w:type="dxa"/>
            <w:tcBorders>
              <w:top w:val="single" w:sz="6" w:space="0" w:color="80808B"/>
              <w:left w:val="nil"/>
              <w:bottom w:val="single" w:sz="6" w:space="0" w:color="80808B"/>
              <w:right w:val="nil"/>
            </w:tcBorders>
            <w:tcMar>
              <w:left w:w="90" w:type="dxa"/>
              <w:right w:w="90" w:type="dxa"/>
            </w:tcMar>
            <w:vAlign w:val="center"/>
          </w:tcPr>
          <w:p w14:paraId="4B0130EF" w14:textId="5B1DFE54"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44%</w:t>
            </w:r>
          </w:p>
        </w:tc>
        <w:tc>
          <w:tcPr>
            <w:tcW w:w="2220" w:type="dxa"/>
            <w:tcBorders>
              <w:top w:val="single" w:sz="6" w:space="0" w:color="80808B"/>
              <w:left w:val="nil"/>
              <w:bottom w:val="single" w:sz="6" w:space="0" w:color="80808B"/>
              <w:right w:val="nil"/>
            </w:tcBorders>
            <w:tcMar>
              <w:left w:w="90" w:type="dxa"/>
              <w:right w:w="90" w:type="dxa"/>
            </w:tcMar>
            <w:vAlign w:val="center"/>
          </w:tcPr>
          <w:p w14:paraId="2507809D" w14:textId="49F1327F" w:rsidR="271C3A84" w:rsidRPr="00777766" w:rsidRDefault="271C3A84" w:rsidP="004C6759">
            <w:pPr>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41%</w:t>
            </w:r>
          </w:p>
        </w:tc>
      </w:tr>
      <w:tr w:rsidR="271C3A84" w:rsidRPr="00777766" w14:paraId="583C0F06" w14:textId="77777777" w:rsidTr="004C6759">
        <w:trPr>
          <w:trHeight w:val="285"/>
        </w:trPr>
        <w:tc>
          <w:tcPr>
            <w:tcW w:w="2640" w:type="dxa"/>
            <w:tcBorders>
              <w:top w:val="single" w:sz="6" w:space="0" w:color="80808B"/>
              <w:left w:val="nil"/>
              <w:bottom w:val="single" w:sz="6" w:space="0" w:color="80808B"/>
              <w:right w:val="nil"/>
            </w:tcBorders>
            <w:tcMar>
              <w:left w:w="90" w:type="dxa"/>
              <w:right w:w="90" w:type="dxa"/>
            </w:tcMar>
          </w:tcPr>
          <w:p w14:paraId="48768D45" w14:textId="4F2D8AB5" w:rsidR="271C3A84" w:rsidRPr="004C6759" w:rsidRDefault="271C3A84" w:rsidP="271C3A84">
            <w:pPr>
              <w:spacing w:before="80" w:after="60"/>
              <w:rPr>
                <w:rFonts w:ascii="Arial" w:eastAsia="Arial" w:hAnsi="Arial" w:cs="Arial"/>
                <w:b/>
                <w:bCs/>
                <w:color w:val="007586" w:themeColor="text2"/>
                <w:sz w:val="24"/>
                <w:szCs w:val="24"/>
                <w:lang w:val="en-US"/>
              </w:rPr>
            </w:pPr>
            <w:r w:rsidRPr="004C6759">
              <w:rPr>
                <w:rFonts w:ascii="Arial" w:eastAsia="Arial" w:hAnsi="Arial" w:cs="Arial"/>
                <w:b/>
                <w:bCs/>
                <w:color w:val="007586" w:themeColor="text2"/>
                <w:sz w:val="24"/>
                <w:szCs w:val="24"/>
              </w:rPr>
              <w:t>65-84 years</w:t>
            </w:r>
          </w:p>
        </w:tc>
        <w:tc>
          <w:tcPr>
            <w:tcW w:w="2220" w:type="dxa"/>
            <w:tcBorders>
              <w:top w:val="single" w:sz="6" w:space="0" w:color="80808B"/>
              <w:left w:val="nil"/>
              <w:bottom w:val="single" w:sz="6" w:space="0" w:color="80808B"/>
              <w:right w:val="nil"/>
            </w:tcBorders>
            <w:tcMar>
              <w:left w:w="90" w:type="dxa"/>
              <w:right w:w="90" w:type="dxa"/>
            </w:tcMar>
            <w:vAlign w:val="center"/>
          </w:tcPr>
          <w:p w14:paraId="07CD3BD3" w14:textId="7BD884C2"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33%</w:t>
            </w:r>
          </w:p>
        </w:tc>
        <w:tc>
          <w:tcPr>
            <w:tcW w:w="2220" w:type="dxa"/>
            <w:tcBorders>
              <w:top w:val="single" w:sz="6" w:space="0" w:color="80808B"/>
              <w:left w:val="nil"/>
              <w:bottom w:val="single" w:sz="6" w:space="0" w:color="80808B"/>
              <w:right w:val="nil"/>
            </w:tcBorders>
            <w:tcMar>
              <w:left w:w="90" w:type="dxa"/>
              <w:right w:w="90" w:type="dxa"/>
            </w:tcMar>
            <w:vAlign w:val="center"/>
          </w:tcPr>
          <w:p w14:paraId="41BF5AFE" w14:textId="2CADF13A"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30%</w:t>
            </w:r>
          </w:p>
        </w:tc>
        <w:tc>
          <w:tcPr>
            <w:tcW w:w="2220" w:type="dxa"/>
            <w:tcBorders>
              <w:top w:val="single" w:sz="6" w:space="0" w:color="80808B"/>
              <w:left w:val="nil"/>
              <w:bottom w:val="single" w:sz="6" w:space="0" w:color="80808B"/>
              <w:right w:val="nil"/>
            </w:tcBorders>
            <w:tcMar>
              <w:left w:w="90" w:type="dxa"/>
              <w:right w:w="90" w:type="dxa"/>
            </w:tcMar>
            <w:vAlign w:val="center"/>
          </w:tcPr>
          <w:p w14:paraId="4105A3C9" w14:textId="45ADEFBB" w:rsidR="271C3A84" w:rsidRPr="00777766" w:rsidRDefault="271C3A84" w:rsidP="004C6759">
            <w:pPr>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29%</w:t>
            </w:r>
          </w:p>
        </w:tc>
      </w:tr>
      <w:tr w:rsidR="271C3A84" w:rsidRPr="00777766" w14:paraId="687AE311" w14:textId="77777777" w:rsidTr="004C6759">
        <w:trPr>
          <w:trHeight w:val="285"/>
        </w:trPr>
        <w:tc>
          <w:tcPr>
            <w:tcW w:w="2640" w:type="dxa"/>
            <w:tcBorders>
              <w:top w:val="single" w:sz="6" w:space="0" w:color="80808B"/>
              <w:left w:val="nil"/>
              <w:bottom w:val="single" w:sz="6" w:space="0" w:color="80808B"/>
              <w:right w:val="nil"/>
            </w:tcBorders>
            <w:tcMar>
              <w:left w:w="90" w:type="dxa"/>
              <w:right w:w="90" w:type="dxa"/>
            </w:tcMar>
          </w:tcPr>
          <w:p w14:paraId="50ACFF31" w14:textId="714B3762" w:rsidR="271C3A84" w:rsidRPr="004C6759" w:rsidRDefault="271C3A84" w:rsidP="271C3A84">
            <w:pPr>
              <w:spacing w:before="80" w:after="60"/>
              <w:rPr>
                <w:rFonts w:ascii="Arial" w:eastAsia="Arial" w:hAnsi="Arial" w:cs="Arial"/>
                <w:b/>
                <w:bCs/>
                <w:color w:val="007586" w:themeColor="text2"/>
                <w:sz w:val="24"/>
                <w:szCs w:val="24"/>
                <w:lang w:val="en-US"/>
              </w:rPr>
            </w:pPr>
            <w:r w:rsidRPr="004C6759">
              <w:rPr>
                <w:rFonts w:ascii="Arial" w:eastAsia="Arial" w:hAnsi="Arial" w:cs="Arial"/>
                <w:b/>
                <w:bCs/>
                <w:color w:val="007586" w:themeColor="text2"/>
                <w:sz w:val="24"/>
                <w:szCs w:val="24"/>
              </w:rPr>
              <w:t>85+ years</w:t>
            </w:r>
          </w:p>
        </w:tc>
        <w:tc>
          <w:tcPr>
            <w:tcW w:w="2220" w:type="dxa"/>
            <w:tcBorders>
              <w:top w:val="single" w:sz="6" w:space="0" w:color="80808B"/>
              <w:left w:val="nil"/>
              <w:bottom w:val="single" w:sz="6" w:space="0" w:color="80808B"/>
              <w:right w:val="nil"/>
            </w:tcBorders>
            <w:tcMar>
              <w:left w:w="90" w:type="dxa"/>
              <w:right w:w="90" w:type="dxa"/>
            </w:tcMar>
            <w:vAlign w:val="center"/>
          </w:tcPr>
          <w:p w14:paraId="7C5FF3E5" w14:textId="6E469D02"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13%</w:t>
            </w:r>
          </w:p>
        </w:tc>
        <w:tc>
          <w:tcPr>
            <w:tcW w:w="2220" w:type="dxa"/>
            <w:tcBorders>
              <w:top w:val="single" w:sz="6" w:space="0" w:color="80808B"/>
              <w:left w:val="nil"/>
              <w:bottom w:val="single" w:sz="6" w:space="0" w:color="80808B"/>
              <w:right w:val="nil"/>
            </w:tcBorders>
            <w:tcMar>
              <w:left w:w="90" w:type="dxa"/>
              <w:right w:w="90" w:type="dxa"/>
            </w:tcMar>
            <w:vAlign w:val="center"/>
          </w:tcPr>
          <w:p w14:paraId="0BC5BF0B" w14:textId="15BA3844" w:rsidR="271C3A84" w:rsidRPr="00777766" w:rsidRDefault="271C3A84" w:rsidP="004C6759">
            <w:pPr>
              <w:spacing w:before="80" w:after="60"/>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6%</w:t>
            </w:r>
          </w:p>
        </w:tc>
        <w:tc>
          <w:tcPr>
            <w:tcW w:w="2220" w:type="dxa"/>
            <w:tcBorders>
              <w:top w:val="single" w:sz="6" w:space="0" w:color="80808B"/>
              <w:left w:val="nil"/>
              <w:bottom w:val="single" w:sz="6" w:space="0" w:color="80808B"/>
              <w:right w:val="nil"/>
            </w:tcBorders>
            <w:tcMar>
              <w:left w:w="90" w:type="dxa"/>
              <w:right w:w="90" w:type="dxa"/>
            </w:tcMar>
            <w:vAlign w:val="center"/>
          </w:tcPr>
          <w:p w14:paraId="20C75103" w14:textId="3EC45F89" w:rsidR="271C3A84" w:rsidRPr="00777766" w:rsidRDefault="271C3A84" w:rsidP="004C6759">
            <w:pPr>
              <w:jc w:val="right"/>
              <w:rPr>
                <w:rFonts w:ascii="Arial" w:eastAsia="Arial" w:hAnsi="Arial" w:cs="Arial"/>
                <w:color w:val="000000" w:themeColor="text1"/>
                <w:sz w:val="24"/>
                <w:szCs w:val="24"/>
                <w:lang w:val="en-US"/>
              </w:rPr>
            </w:pPr>
            <w:r w:rsidRPr="00777766">
              <w:rPr>
                <w:rFonts w:ascii="Arial" w:eastAsia="Arial" w:hAnsi="Arial" w:cs="Arial"/>
                <w:color w:val="000000" w:themeColor="text1"/>
                <w:sz w:val="24"/>
                <w:szCs w:val="24"/>
              </w:rPr>
              <w:t>11%</w:t>
            </w:r>
          </w:p>
        </w:tc>
      </w:tr>
    </w:tbl>
    <w:p w14:paraId="5DE42B69" w14:textId="60124C9A" w:rsidR="00A06CF8" w:rsidRDefault="3A59B0BD" w:rsidP="00D66DF0">
      <w:pPr>
        <w:pStyle w:val="SCVfigurecaption"/>
      </w:pPr>
      <w:r>
        <w:t>Table 19</w:t>
      </w:r>
      <w:r w:rsidR="002008E3">
        <w:t>:</w:t>
      </w:r>
      <w:r w:rsidR="00824FA7">
        <w:t xml:space="preserve"> </w:t>
      </w:r>
      <w:r w:rsidR="00A112EA">
        <w:t>Age</w:t>
      </w:r>
      <w:r w:rsidR="00824FA7">
        <w:t xml:space="preserve"> </w:t>
      </w:r>
      <w:r w:rsidR="00A112EA">
        <w:t>of</w:t>
      </w:r>
      <w:r w:rsidR="00824FA7">
        <w:t xml:space="preserve"> </w:t>
      </w:r>
      <w:r w:rsidR="00A237EE">
        <w:t>babies,</w:t>
      </w:r>
      <w:r w:rsidR="00824FA7">
        <w:t xml:space="preserve"> </w:t>
      </w:r>
      <w:r w:rsidR="00A237EE">
        <w:t>children</w:t>
      </w:r>
      <w:r w:rsidR="00824FA7">
        <w:t xml:space="preserve"> </w:t>
      </w:r>
      <w:r w:rsidR="00A237EE">
        <w:t>and</w:t>
      </w:r>
      <w:r w:rsidR="00824FA7">
        <w:t xml:space="preserve"> </w:t>
      </w:r>
      <w:r w:rsidR="00A237EE">
        <w:t>adol</w:t>
      </w:r>
      <w:r w:rsidR="005649C3">
        <w:t>escents</w:t>
      </w:r>
      <w:r w:rsidR="00824FA7">
        <w:t xml:space="preserve"> </w:t>
      </w:r>
      <w:r w:rsidR="00A112EA">
        <w:t>affected</w:t>
      </w:r>
      <w:r w:rsidR="00824FA7">
        <w:t xml:space="preserve"> </w:t>
      </w:r>
      <w:r w:rsidR="00A112EA">
        <w:t>by</w:t>
      </w:r>
      <w:r w:rsidR="00824FA7">
        <w:t xml:space="preserve"> </w:t>
      </w:r>
      <w:r w:rsidR="00A112EA">
        <w:t>sentinel</w:t>
      </w:r>
      <w:r w:rsidR="00824FA7">
        <w:t xml:space="preserve"> </w:t>
      </w:r>
      <w:r w:rsidR="00A112EA">
        <w:t>events</w:t>
      </w:r>
      <w:r w:rsidR="00824FA7">
        <w:t xml:space="preserve"> </w:t>
      </w:r>
      <w:r w:rsidR="00A112EA">
        <w:t>by</w:t>
      </w:r>
      <w:r w:rsidR="00824FA7">
        <w:t xml:space="preserve"> </w:t>
      </w:r>
      <w:r w:rsidR="00A112EA">
        <w:t>percentage</w:t>
      </w:r>
      <w:r w:rsidR="00824FA7">
        <w:t xml:space="preserve"> </w:t>
      </w:r>
      <w:r w:rsidR="00A112EA">
        <w:t>of</w:t>
      </w:r>
      <w:r w:rsidR="00824FA7">
        <w:t xml:space="preserve"> </w:t>
      </w:r>
      <w:r w:rsidR="00A112EA">
        <w:t>total</w:t>
      </w:r>
      <w:r w:rsidR="00824FA7">
        <w:t xml:space="preserve"> </w:t>
      </w:r>
      <w:r w:rsidR="00A90BC3">
        <w:t>sentinel</w:t>
      </w:r>
      <w:r w:rsidR="00824FA7">
        <w:t xml:space="preserve"> </w:t>
      </w:r>
      <w:r w:rsidR="00A90BC3">
        <w:t>events</w:t>
      </w:r>
      <w:bookmarkStart w:id="50" w:name="_Toc185595269"/>
      <w:r w:rsidR="00DD7648">
        <w:t>, 2022–23 to 2024–25</w:t>
      </w:r>
    </w:p>
    <w:tbl>
      <w:tblPr>
        <w:tblStyle w:val="TableGrid"/>
        <w:tblW w:w="0" w:type="auto"/>
        <w:tblLook w:val="04A0" w:firstRow="1" w:lastRow="0" w:firstColumn="1" w:lastColumn="0" w:noHBand="0" w:noVBand="1"/>
      </w:tblPr>
      <w:tblGrid>
        <w:gridCol w:w="2063"/>
        <w:gridCol w:w="1871"/>
        <w:gridCol w:w="1871"/>
        <w:gridCol w:w="1871"/>
      </w:tblGrid>
      <w:tr w:rsidR="01ADF4F4" w:rsidRPr="00777766" w14:paraId="22FB6E29" w14:textId="77777777" w:rsidTr="00A114C3">
        <w:trPr>
          <w:cnfStyle w:val="100000000000" w:firstRow="1" w:lastRow="0" w:firstColumn="0" w:lastColumn="0" w:oddVBand="0" w:evenVBand="0" w:oddHBand="0" w:evenHBand="0" w:firstRowFirstColumn="0" w:firstRowLastColumn="0" w:lastRowFirstColumn="0" w:lastRowLastColumn="0"/>
          <w:trHeight w:val="285"/>
        </w:trPr>
        <w:tc>
          <w:tcPr>
            <w:tcW w:w="2063" w:type="dxa"/>
            <w:tcMar>
              <w:left w:w="108" w:type="dxa"/>
              <w:right w:w="108" w:type="dxa"/>
            </w:tcMar>
            <w:vAlign w:val="center"/>
          </w:tcPr>
          <w:p w14:paraId="25FD9DFF" w14:textId="5EF60938" w:rsidR="01ADF4F4" w:rsidRPr="00777766" w:rsidRDefault="01ADF4F4" w:rsidP="002E1670">
            <w:pPr>
              <w:spacing w:before="80" w:after="60"/>
              <w:rPr>
                <w:sz w:val="24"/>
                <w:szCs w:val="24"/>
              </w:rPr>
            </w:pPr>
            <w:r w:rsidRPr="00777766">
              <w:rPr>
                <w:rFonts w:ascii="Arial" w:eastAsia="Arial" w:hAnsi="Arial" w:cs="Arial"/>
                <w:b/>
                <w:bCs/>
                <w:color w:val="007586" w:themeColor="accent2"/>
                <w:sz w:val="24"/>
                <w:szCs w:val="24"/>
              </w:rPr>
              <w:t>Age</w:t>
            </w:r>
          </w:p>
        </w:tc>
        <w:tc>
          <w:tcPr>
            <w:tcW w:w="1871" w:type="dxa"/>
            <w:tcMar>
              <w:left w:w="108" w:type="dxa"/>
              <w:right w:w="108" w:type="dxa"/>
            </w:tcMar>
            <w:vAlign w:val="center"/>
          </w:tcPr>
          <w:p w14:paraId="1FB63E8E" w14:textId="785DD801" w:rsidR="01ADF4F4" w:rsidRPr="00777766" w:rsidRDefault="01ADF4F4" w:rsidP="004C6759">
            <w:pPr>
              <w:spacing w:before="80" w:after="60"/>
              <w:jc w:val="right"/>
              <w:rPr>
                <w:sz w:val="24"/>
                <w:szCs w:val="24"/>
              </w:rPr>
            </w:pPr>
            <w:r w:rsidRPr="00777766">
              <w:rPr>
                <w:rFonts w:ascii="Arial" w:eastAsia="Arial" w:hAnsi="Arial" w:cs="Arial"/>
                <w:b/>
                <w:bCs/>
                <w:color w:val="007586" w:themeColor="accent2"/>
                <w:sz w:val="24"/>
                <w:szCs w:val="24"/>
              </w:rPr>
              <w:t>2022–23</w:t>
            </w:r>
          </w:p>
        </w:tc>
        <w:tc>
          <w:tcPr>
            <w:tcW w:w="1871" w:type="dxa"/>
            <w:tcMar>
              <w:left w:w="108" w:type="dxa"/>
              <w:right w:w="108" w:type="dxa"/>
            </w:tcMar>
            <w:vAlign w:val="center"/>
          </w:tcPr>
          <w:p w14:paraId="1B048A22" w14:textId="486DC5DC" w:rsidR="01ADF4F4" w:rsidRPr="00777766" w:rsidRDefault="01ADF4F4" w:rsidP="004C6759">
            <w:pPr>
              <w:spacing w:before="80" w:after="60"/>
              <w:jc w:val="right"/>
              <w:rPr>
                <w:sz w:val="24"/>
                <w:szCs w:val="24"/>
              </w:rPr>
            </w:pPr>
            <w:r w:rsidRPr="00777766">
              <w:rPr>
                <w:rFonts w:ascii="Arial" w:eastAsia="Arial" w:hAnsi="Arial" w:cs="Arial"/>
                <w:b/>
                <w:bCs/>
                <w:color w:val="007586" w:themeColor="accent2"/>
                <w:sz w:val="24"/>
                <w:szCs w:val="24"/>
              </w:rPr>
              <w:t>2023–24</w:t>
            </w:r>
          </w:p>
        </w:tc>
        <w:tc>
          <w:tcPr>
            <w:tcW w:w="1871" w:type="dxa"/>
            <w:tcMar>
              <w:left w:w="108" w:type="dxa"/>
              <w:right w:w="108" w:type="dxa"/>
            </w:tcMar>
            <w:vAlign w:val="center"/>
          </w:tcPr>
          <w:p w14:paraId="7750241F" w14:textId="61B188D5" w:rsidR="34F1ADE6" w:rsidRPr="00777766" w:rsidRDefault="34F1ADE6" w:rsidP="004C6759">
            <w:pPr>
              <w:jc w:val="right"/>
              <w:rPr>
                <w:sz w:val="24"/>
                <w:szCs w:val="24"/>
              </w:rPr>
            </w:pPr>
            <w:r w:rsidRPr="00777766">
              <w:rPr>
                <w:rFonts w:ascii="Arial" w:eastAsia="Arial" w:hAnsi="Arial" w:cs="Arial"/>
                <w:b/>
                <w:bCs/>
                <w:color w:val="007586" w:themeColor="accent2"/>
                <w:sz w:val="24"/>
                <w:szCs w:val="24"/>
              </w:rPr>
              <w:t>2024–25</w:t>
            </w:r>
          </w:p>
        </w:tc>
      </w:tr>
      <w:tr w:rsidR="01ADF4F4" w:rsidRPr="00777766" w14:paraId="3E055DDD" w14:textId="77777777" w:rsidTr="00A114C3">
        <w:trPr>
          <w:trHeight w:val="285"/>
        </w:trPr>
        <w:tc>
          <w:tcPr>
            <w:tcW w:w="2063" w:type="dxa"/>
            <w:tcBorders>
              <w:top w:val="single" w:sz="24" w:space="0" w:color="CCCCD0"/>
              <w:left w:val="nil"/>
              <w:bottom w:val="single" w:sz="8" w:space="0" w:color="80808B"/>
              <w:right w:val="nil"/>
            </w:tcBorders>
            <w:tcMar>
              <w:left w:w="108" w:type="dxa"/>
              <w:right w:w="108" w:type="dxa"/>
            </w:tcMar>
            <w:vAlign w:val="center"/>
          </w:tcPr>
          <w:p w14:paraId="2F2C1BCF" w14:textId="1B61E00A" w:rsidR="01ADF4F4" w:rsidRPr="004C6759" w:rsidRDefault="01ADF4F4" w:rsidP="002E1670">
            <w:pPr>
              <w:spacing w:before="80" w:after="60"/>
              <w:rPr>
                <w:b/>
                <w:bCs/>
                <w:color w:val="007586" w:themeColor="text2"/>
                <w:sz w:val="24"/>
                <w:szCs w:val="24"/>
              </w:rPr>
            </w:pPr>
            <w:r w:rsidRPr="004C6759">
              <w:rPr>
                <w:rFonts w:ascii="Arial" w:eastAsia="Arial" w:hAnsi="Arial" w:cs="Arial"/>
                <w:b/>
                <w:bCs/>
                <w:color w:val="007586" w:themeColor="text2"/>
                <w:sz w:val="24"/>
                <w:szCs w:val="24"/>
              </w:rPr>
              <w:t>&lt;7 days</w:t>
            </w:r>
          </w:p>
        </w:tc>
        <w:tc>
          <w:tcPr>
            <w:tcW w:w="1871" w:type="dxa"/>
            <w:tcBorders>
              <w:top w:val="single" w:sz="24" w:space="0" w:color="CCCCD0"/>
              <w:left w:val="nil"/>
              <w:bottom w:val="single" w:sz="8" w:space="0" w:color="80808B"/>
              <w:right w:val="nil"/>
            </w:tcBorders>
            <w:tcMar>
              <w:left w:w="108" w:type="dxa"/>
              <w:right w:w="108" w:type="dxa"/>
            </w:tcMar>
            <w:vAlign w:val="center"/>
          </w:tcPr>
          <w:p w14:paraId="0854459C" w14:textId="0F8092F3" w:rsidR="01ADF4F4" w:rsidRPr="00777766" w:rsidRDefault="01ADF4F4" w:rsidP="004C6759">
            <w:pPr>
              <w:spacing w:before="80" w:after="60"/>
              <w:jc w:val="right"/>
              <w:rPr>
                <w:sz w:val="24"/>
                <w:szCs w:val="24"/>
              </w:rPr>
            </w:pPr>
            <w:r w:rsidRPr="00777766">
              <w:rPr>
                <w:rFonts w:ascii="Arial" w:eastAsia="Arial" w:hAnsi="Arial" w:cs="Arial"/>
                <w:sz w:val="24"/>
                <w:szCs w:val="24"/>
              </w:rPr>
              <w:t>5%</w:t>
            </w:r>
          </w:p>
        </w:tc>
        <w:tc>
          <w:tcPr>
            <w:tcW w:w="1871" w:type="dxa"/>
            <w:tcBorders>
              <w:top w:val="single" w:sz="24" w:space="0" w:color="CCCCD0"/>
              <w:left w:val="nil"/>
              <w:bottom w:val="single" w:sz="8" w:space="0" w:color="80808B"/>
              <w:right w:val="nil"/>
            </w:tcBorders>
            <w:tcMar>
              <w:left w:w="108" w:type="dxa"/>
              <w:right w:w="108" w:type="dxa"/>
            </w:tcMar>
            <w:vAlign w:val="center"/>
          </w:tcPr>
          <w:p w14:paraId="266A82DF" w14:textId="3AD53D52" w:rsidR="01ADF4F4" w:rsidRPr="00777766" w:rsidRDefault="01ADF4F4" w:rsidP="004C6759">
            <w:pPr>
              <w:spacing w:before="80" w:after="60"/>
              <w:jc w:val="right"/>
              <w:rPr>
                <w:sz w:val="24"/>
                <w:szCs w:val="24"/>
              </w:rPr>
            </w:pPr>
            <w:r w:rsidRPr="00777766">
              <w:rPr>
                <w:rFonts w:ascii="Arial" w:eastAsia="Arial" w:hAnsi="Arial" w:cs="Arial"/>
                <w:sz w:val="24"/>
                <w:szCs w:val="24"/>
              </w:rPr>
              <w:t>7%</w:t>
            </w:r>
          </w:p>
        </w:tc>
        <w:tc>
          <w:tcPr>
            <w:tcW w:w="1871" w:type="dxa"/>
            <w:tcBorders>
              <w:top w:val="single" w:sz="24" w:space="0" w:color="CCCCD0"/>
              <w:left w:val="nil"/>
              <w:bottom w:val="single" w:sz="8" w:space="0" w:color="80808B"/>
              <w:right w:val="nil"/>
            </w:tcBorders>
            <w:tcMar>
              <w:left w:w="108" w:type="dxa"/>
              <w:right w:w="108" w:type="dxa"/>
            </w:tcMar>
            <w:vAlign w:val="center"/>
          </w:tcPr>
          <w:p w14:paraId="4438D223" w14:textId="29CF3D08" w:rsidR="1AF4EAF4" w:rsidRPr="00777766" w:rsidRDefault="1AF4EAF4" w:rsidP="004C6759">
            <w:pPr>
              <w:jc w:val="right"/>
              <w:rPr>
                <w:sz w:val="24"/>
                <w:szCs w:val="24"/>
              </w:rPr>
            </w:pPr>
            <w:r w:rsidRPr="00777766">
              <w:rPr>
                <w:rFonts w:ascii="Arial" w:eastAsia="Arial" w:hAnsi="Arial" w:cs="Arial"/>
                <w:sz w:val="24"/>
                <w:szCs w:val="24"/>
              </w:rPr>
              <w:t>9</w:t>
            </w:r>
            <w:r w:rsidR="5EF3E07B" w:rsidRPr="00777766">
              <w:rPr>
                <w:rFonts w:ascii="Arial" w:eastAsia="Arial" w:hAnsi="Arial" w:cs="Arial"/>
                <w:sz w:val="24"/>
                <w:szCs w:val="24"/>
              </w:rPr>
              <w:t>%</w:t>
            </w:r>
          </w:p>
        </w:tc>
      </w:tr>
      <w:tr w:rsidR="01ADF4F4" w:rsidRPr="00777766" w14:paraId="0E7CFD13" w14:textId="77777777" w:rsidTr="00A114C3">
        <w:trPr>
          <w:trHeight w:val="285"/>
        </w:trPr>
        <w:tc>
          <w:tcPr>
            <w:tcW w:w="2063" w:type="dxa"/>
            <w:tcBorders>
              <w:top w:val="single" w:sz="8" w:space="0" w:color="80808B"/>
              <w:left w:val="nil"/>
              <w:bottom w:val="single" w:sz="8" w:space="0" w:color="80808B"/>
              <w:right w:val="nil"/>
            </w:tcBorders>
            <w:tcMar>
              <w:left w:w="108" w:type="dxa"/>
              <w:right w:w="108" w:type="dxa"/>
            </w:tcMar>
            <w:vAlign w:val="center"/>
          </w:tcPr>
          <w:p w14:paraId="6986578D" w14:textId="69918F91" w:rsidR="01ADF4F4" w:rsidRPr="004C6759" w:rsidRDefault="01ADF4F4" w:rsidP="002E1670">
            <w:pPr>
              <w:spacing w:before="80" w:after="60"/>
              <w:rPr>
                <w:b/>
                <w:bCs/>
                <w:color w:val="007586" w:themeColor="text2"/>
                <w:sz w:val="24"/>
                <w:szCs w:val="24"/>
              </w:rPr>
            </w:pPr>
            <w:r w:rsidRPr="004C6759">
              <w:rPr>
                <w:rFonts w:ascii="Arial" w:eastAsia="Arial" w:hAnsi="Arial" w:cs="Arial"/>
                <w:b/>
                <w:bCs/>
                <w:color w:val="007586" w:themeColor="text2"/>
                <w:sz w:val="24"/>
                <w:szCs w:val="24"/>
              </w:rPr>
              <w:lastRenderedPageBreak/>
              <w:t>7–29 days</w:t>
            </w:r>
          </w:p>
        </w:tc>
        <w:tc>
          <w:tcPr>
            <w:tcW w:w="1871" w:type="dxa"/>
            <w:tcBorders>
              <w:top w:val="single" w:sz="8" w:space="0" w:color="80808B"/>
              <w:left w:val="nil"/>
              <w:bottom w:val="single" w:sz="8" w:space="0" w:color="80808B"/>
              <w:right w:val="nil"/>
            </w:tcBorders>
            <w:tcMar>
              <w:left w:w="108" w:type="dxa"/>
              <w:right w:w="108" w:type="dxa"/>
            </w:tcMar>
            <w:vAlign w:val="center"/>
          </w:tcPr>
          <w:p w14:paraId="2C50FB42" w14:textId="3067972B" w:rsidR="01ADF4F4" w:rsidRPr="00777766" w:rsidRDefault="01ADF4F4" w:rsidP="004C6759">
            <w:pPr>
              <w:spacing w:before="80" w:after="60"/>
              <w:jc w:val="right"/>
              <w:rPr>
                <w:sz w:val="24"/>
                <w:szCs w:val="24"/>
              </w:rPr>
            </w:pPr>
            <w:r w:rsidRPr="00777766">
              <w:rPr>
                <w:rFonts w:ascii="Arial" w:eastAsia="Arial" w:hAnsi="Arial" w:cs="Arial"/>
                <w:sz w:val="24"/>
                <w:szCs w:val="24"/>
              </w:rPr>
              <w:t>1%</w:t>
            </w:r>
          </w:p>
        </w:tc>
        <w:tc>
          <w:tcPr>
            <w:tcW w:w="1871" w:type="dxa"/>
            <w:tcBorders>
              <w:top w:val="single" w:sz="8" w:space="0" w:color="80808B"/>
              <w:left w:val="nil"/>
              <w:bottom w:val="single" w:sz="8" w:space="0" w:color="80808B"/>
              <w:right w:val="nil"/>
            </w:tcBorders>
            <w:tcMar>
              <w:left w:w="108" w:type="dxa"/>
              <w:right w:w="108" w:type="dxa"/>
            </w:tcMar>
            <w:vAlign w:val="center"/>
          </w:tcPr>
          <w:p w14:paraId="6A1EAB57" w14:textId="6FB254C7" w:rsidR="01ADF4F4" w:rsidRPr="00777766" w:rsidRDefault="01ADF4F4" w:rsidP="004C6759">
            <w:pPr>
              <w:spacing w:before="80" w:after="60"/>
              <w:jc w:val="right"/>
              <w:rPr>
                <w:sz w:val="24"/>
                <w:szCs w:val="24"/>
              </w:rPr>
            </w:pPr>
            <w:r w:rsidRPr="00777766">
              <w:rPr>
                <w:rFonts w:ascii="Arial" w:eastAsia="Arial" w:hAnsi="Arial" w:cs="Arial"/>
                <w:sz w:val="24"/>
                <w:szCs w:val="24"/>
              </w:rPr>
              <w:t>1%</w:t>
            </w:r>
          </w:p>
        </w:tc>
        <w:tc>
          <w:tcPr>
            <w:tcW w:w="1871" w:type="dxa"/>
            <w:tcBorders>
              <w:top w:val="single" w:sz="8" w:space="0" w:color="80808B"/>
              <w:left w:val="nil"/>
              <w:bottom w:val="single" w:sz="8" w:space="0" w:color="80808B"/>
              <w:right w:val="nil"/>
            </w:tcBorders>
            <w:tcMar>
              <w:left w:w="108" w:type="dxa"/>
              <w:right w:w="108" w:type="dxa"/>
            </w:tcMar>
            <w:vAlign w:val="center"/>
          </w:tcPr>
          <w:p w14:paraId="320ED7B2" w14:textId="751F098A" w:rsidR="325BDCC6" w:rsidRPr="00777766" w:rsidRDefault="325BDCC6" w:rsidP="004C6759">
            <w:pPr>
              <w:jc w:val="right"/>
              <w:rPr>
                <w:rFonts w:ascii="Arial" w:eastAsia="Arial" w:hAnsi="Arial" w:cs="Arial"/>
                <w:sz w:val="24"/>
                <w:szCs w:val="24"/>
              </w:rPr>
            </w:pPr>
            <w:r w:rsidRPr="00777766">
              <w:rPr>
                <w:rFonts w:ascii="Arial" w:eastAsia="Arial" w:hAnsi="Arial" w:cs="Arial"/>
                <w:sz w:val="24"/>
                <w:szCs w:val="24"/>
              </w:rPr>
              <w:t>0</w:t>
            </w:r>
            <w:r w:rsidR="2D6A03E7" w:rsidRPr="00777766">
              <w:rPr>
                <w:rFonts w:ascii="Arial" w:eastAsia="Arial" w:hAnsi="Arial" w:cs="Arial"/>
                <w:sz w:val="24"/>
                <w:szCs w:val="24"/>
              </w:rPr>
              <w:t>%</w:t>
            </w:r>
          </w:p>
        </w:tc>
      </w:tr>
      <w:tr w:rsidR="01ADF4F4" w:rsidRPr="00777766" w14:paraId="42C6995F" w14:textId="77777777" w:rsidTr="00A114C3">
        <w:trPr>
          <w:trHeight w:val="285"/>
        </w:trPr>
        <w:tc>
          <w:tcPr>
            <w:tcW w:w="2063" w:type="dxa"/>
            <w:tcBorders>
              <w:top w:val="single" w:sz="8" w:space="0" w:color="80808B"/>
              <w:left w:val="nil"/>
              <w:bottom w:val="single" w:sz="8" w:space="0" w:color="80808B"/>
              <w:right w:val="nil"/>
            </w:tcBorders>
            <w:tcMar>
              <w:left w:w="108" w:type="dxa"/>
              <w:right w:w="108" w:type="dxa"/>
            </w:tcMar>
            <w:vAlign w:val="center"/>
          </w:tcPr>
          <w:p w14:paraId="6B6B1601" w14:textId="6C78BFA0" w:rsidR="01ADF4F4" w:rsidRPr="004C6759" w:rsidRDefault="01ADF4F4" w:rsidP="002E1670">
            <w:pPr>
              <w:spacing w:before="80" w:after="60"/>
              <w:rPr>
                <w:b/>
                <w:bCs/>
                <w:color w:val="007586" w:themeColor="text2"/>
                <w:sz w:val="24"/>
                <w:szCs w:val="24"/>
              </w:rPr>
            </w:pPr>
            <w:r w:rsidRPr="004C6759">
              <w:rPr>
                <w:rFonts w:ascii="Arial" w:eastAsia="Arial" w:hAnsi="Arial" w:cs="Arial"/>
                <w:b/>
                <w:bCs/>
                <w:color w:val="007586" w:themeColor="text2"/>
                <w:sz w:val="24"/>
                <w:szCs w:val="24"/>
              </w:rPr>
              <w:t>30 days–1 yr</w:t>
            </w:r>
          </w:p>
        </w:tc>
        <w:tc>
          <w:tcPr>
            <w:tcW w:w="1871" w:type="dxa"/>
            <w:tcBorders>
              <w:top w:val="single" w:sz="8" w:space="0" w:color="80808B"/>
              <w:left w:val="nil"/>
              <w:bottom w:val="single" w:sz="8" w:space="0" w:color="80808B"/>
              <w:right w:val="nil"/>
            </w:tcBorders>
            <w:tcMar>
              <w:left w:w="108" w:type="dxa"/>
              <w:right w:w="108" w:type="dxa"/>
            </w:tcMar>
            <w:vAlign w:val="center"/>
          </w:tcPr>
          <w:p w14:paraId="638650E4" w14:textId="1514B898" w:rsidR="01ADF4F4" w:rsidRPr="00777766" w:rsidRDefault="01ADF4F4" w:rsidP="004C6759">
            <w:pPr>
              <w:spacing w:before="80" w:after="60"/>
              <w:jc w:val="right"/>
              <w:rPr>
                <w:sz w:val="24"/>
                <w:szCs w:val="24"/>
              </w:rPr>
            </w:pPr>
            <w:r w:rsidRPr="00777766">
              <w:rPr>
                <w:rFonts w:ascii="Arial" w:eastAsia="Arial" w:hAnsi="Arial" w:cs="Arial"/>
                <w:sz w:val="24"/>
                <w:szCs w:val="24"/>
              </w:rPr>
              <w:t>1%</w:t>
            </w:r>
          </w:p>
        </w:tc>
        <w:tc>
          <w:tcPr>
            <w:tcW w:w="1871" w:type="dxa"/>
            <w:tcBorders>
              <w:top w:val="single" w:sz="8" w:space="0" w:color="80808B"/>
              <w:left w:val="nil"/>
              <w:bottom w:val="single" w:sz="8" w:space="0" w:color="80808B"/>
              <w:right w:val="nil"/>
            </w:tcBorders>
            <w:tcMar>
              <w:left w:w="108" w:type="dxa"/>
              <w:right w:w="108" w:type="dxa"/>
            </w:tcMar>
            <w:vAlign w:val="center"/>
          </w:tcPr>
          <w:p w14:paraId="1D95CB7B" w14:textId="1EDC2BB1" w:rsidR="01ADF4F4" w:rsidRPr="00777766" w:rsidRDefault="01ADF4F4" w:rsidP="004C6759">
            <w:pPr>
              <w:spacing w:before="80" w:after="60"/>
              <w:jc w:val="right"/>
              <w:rPr>
                <w:sz w:val="24"/>
                <w:szCs w:val="24"/>
              </w:rPr>
            </w:pPr>
            <w:r w:rsidRPr="00777766">
              <w:rPr>
                <w:rFonts w:ascii="Arial" w:eastAsia="Arial" w:hAnsi="Arial" w:cs="Arial"/>
                <w:sz w:val="24"/>
                <w:szCs w:val="24"/>
              </w:rPr>
              <w:t>2%</w:t>
            </w:r>
          </w:p>
        </w:tc>
        <w:tc>
          <w:tcPr>
            <w:tcW w:w="1871" w:type="dxa"/>
            <w:tcBorders>
              <w:top w:val="single" w:sz="8" w:space="0" w:color="80808B"/>
              <w:left w:val="nil"/>
              <w:bottom w:val="single" w:sz="8" w:space="0" w:color="80808B"/>
              <w:right w:val="nil"/>
            </w:tcBorders>
            <w:tcMar>
              <w:left w:w="108" w:type="dxa"/>
              <w:right w:w="108" w:type="dxa"/>
            </w:tcMar>
            <w:vAlign w:val="center"/>
          </w:tcPr>
          <w:p w14:paraId="26285BC5" w14:textId="0B5AA9FF" w:rsidR="12738016" w:rsidRPr="00777766" w:rsidRDefault="12738016" w:rsidP="004C6759">
            <w:pPr>
              <w:jc w:val="right"/>
              <w:rPr>
                <w:rFonts w:ascii="Arial" w:eastAsia="Arial" w:hAnsi="Arial" w:cs="Arial"/>
                <w:sz w:val="24"/>
                <w:szCs w:val="24"/>
              </w:rPr>
            </w:pPr>
            <w:r w:rsidRPr="00777766">
              <w:rPr>
                <w:rFonts w:ascii="Arial" w:eastAsia="Arial" w:hAnsi="Arial" w:cs="Arial"/>
                <w:sz w:val="24"/>
                <w:szCs w:val="24"/>
              </w:rPr>
              <w:t>0</w:t>
            </w:r>
            <w:r w:rsidR="2D6A03E7" w:rsidRPr="00777766">
              <w:rPr>
                <w:rFonts w:ascii="Arial" w:eastAsia="Arial" w:hAnsi="Arial" w:cs="Arial"/>
                <w:sz w:val="24"/>
                <w:szCs w:val="24"/>
              </w:rPr>
              <w:t>%</w:t>
            </w:r>
          </w:p>
        </w:tc>
      </w:tr>
      <w:tr w:rsidR="01ADF4F4" w:rsidRPr="00777766" w14:paraId="219B8A70" w14:textId="77777777" w:rsidTr="00A114C3">
        <w:trPr>
          <w:trHeight w:val="285"/>
        </w:trPr>
        <w:tc>
          <w:tcPr>
            <w:tcW w:w="2063" w:type="dxa"/>
            <w:tcBorders>
              <w:top w:val="single" w:sz="8" w:space="0" w:color="80808B"/>
              <w:left w:val="nil"/>
              <w:bottom w:val="single" w:sz="8" w:space="0" w:color="80808B"/>
              <w:right w:val="nil"/>
            </w:tcBorders>
            <w:tcMar>
              <w:left w:w="108" w:type="dxa"/>
              <w:right w:w="108" w:type="dxa"/>
            </w:tcMar>
            <w:vAlign w:val="center"/>
          </w:tcPr>
          <w:p w14:paraId="6A49A120" w14:textId="44C8F88D" w:rsidR="01ADF4F4" w:rsidRPr="004C6759" w:rsidRDefault="01ADF4F4" w:rsidP="002E1670">
            <w:pPr>
              <w:spacing w:before="80" w:after="60"/>
              <w:rPr>
                <w:b/>
                <w:bCs/>
                <w:color w:val="007586" w:themeColor="text2"/>
                <w:sz w:val="24"/>
                <w:szCs w:val="24"/>
              </w:rPr>
            </w:pPr>
            <w:r w:rsidRPr="004C6759">
              <w:rPr>
                <w:rFonts w:ascii="Arial" w:eastAsia="Arial" w:hAnsi="Arial" w:cs="Arial"/>
                <w:b/>
                <w:bCs/>
                <w:color w:val="007586" w:themeColor="text2"/>
                <w:sz w:val="24"/>
                <w:szCs w:val="24"/>
              </w:rPr>
              <w:t>1–5 years</w:t>
            </w:r>
          </w:p>
        </w:tc>
        <w:tc>
          <w:tcPr>
            <w:tcW w:w="1871" w:type="dxa"/>
            <w:tcBorders>
              <w:top w:val="single" w:sz="8" w:space="0" w:color="80808B"/>
              <w:left w:val="nil"/>
              <w:bottom w:val="single" w:sz="8" w:space="0" w:color="80808B"/>
              <w:right w:val="nil"/>
            </w:tcBorders>
            <w:tcMar>
              <w:left w:w="108" w:type="dxa"/>
              <w:right w:w="108" w:type="dxa"/>
            </w:tcMar>
            <w:vAlign w:val="center"/>
          </w:tcPr>
          <w:p w14:paraId="007C37DB" w14:textId="28C4CFF4" w:rsidR="01ADF4F4" w:rsidRPr="00777766" w:rsidRDefault="01ADF4F4" w:rsidP="004C6759">
            <w:pPr>
              <w:spacing w:before="80" w:after="60"/>
              <w:jc w:val="right"/>
              <w:rPr>
                <w:sz w:val="24"/>
                <w:szCs w:val="24"/>
              </w:rPr>
            </w:pPr>
            <w:r w:rsidRPr="00777766">
              <w:rPr>
                <w:rFonts w:ascii="Arial" w:eastAsia="Arial" w:hAnsi="Arial" w:cs="Arial"/>
                <w:sz w:val="24"/>
                <w:szCs w:val="24"/>
              </w:rPr>
              <w:t>2%</w:t>
            </w:r>
          </w:p>
        </w:tc>
        <w:tc>
          <w:tcPr>
            <w:tcW w:w="1871" w:type="dxa"/>
            <w:tcBorders>
              <w:top w:val="single" w:sz="8" w:space="0" w:color="80808B"/>
              <w:left w:val="nil"/>
              <w:bottom w:val="single" w:sz="8" w:space="0" w:color="80808B"/>
              <w:right w:val="nil"/>
            </w:tcBorders>
            <w:tcMar>
              <w:left w:w="108" w:type="dxa"/>
              <w:right w:w="108" w:type="dxa"/>
            </w:tcMar>
            <w:vAlign w:val="center"/>
          </w:tcPr>
          <w:p w14:paraId="2C87DB25" w14:textId="7DC9E611" w:rsidR="01ADF4F4" w:rsidRPr="00777766" w:rsidRDefault="01ADF4F4" w:rsidP="004C6759">
            <w:pPr>
              <w:spacing w:before="80" w:after="60"/>
              <w:jc w:val="right"/>
              <w:rPr>
                <w:sz w:val="24"/>
                <w:szCs w:val="24"/>
              </w:rPr>
            </w:pPr>
            <w:r w:rsidRPr="00777766">
              <w:rPr>
                <w:rFonts w:ascii="Arial" w:eastAsia="Arial" w:hAnsi="Arial" w:cs="Arial"/>
                <w:sz w:val="24"/>
                <w:szCs w:val="24"/>
              </w:rPr>
              <w:t>2%</w:t>
            </w:r>
          </w:p>
        </w:tc>
        <w:tc>
          <w:tcPr>
            <w:tcW w:w="1871" w:type="dxa"/>
            <w:tcBorders>
              <w:top w:val="single" w:sz="8" w:space="0" w:color="80808B"/>
              <w:left w:val="nil"/>
              <w:bottom w:val="single" w:sz="8" w:space="0" w:color="80808B"/>
              <w:right w:val="nil"/>
            </w:tcBorders>
            <w:tcMar>
              <w:left w:w="108" w:type="dxa"/>
              <w:right w:w="108" w:type="dxa"/>
            </w:tcMar>
            <w:vAlign w:val="center"/>
          </w:tcPr>
          <w:p w14:paraId="2C7C394B" w14:textId="2CAADE5E" w:rsidR="59867DE1" w:rsidRPr="00777766" w:rsidRDefault="59867DE1" w:rsidP="004C6759">
            <w:pPr>
              <w:jc w:val="right"/>
              <w:rPr>
                <w:sz w:val="24"/>
                <w:szCs w:val="24"/>
              </w:rPr>
            </w:pPr>
            <w:r w:rsidRPr="00777766">
              <w:rPr>
                <w:rFonts w:ascii="Arial" w:eastAsia="Arial" w:hAnsi="Arial" w:cs="Arial"/>
                <w:sz w:val="24"/>
                <w:szCs w:val="24"/>
              </w:rPr>
              <w:t>0</w:t>
            </w:r>
            <w:r w:rsidR="274CF832" w:rsidRPr="00777766">
              <w:rPr>
                <w:rFonts w:ascii="Arial" w:eastAsia="Arial" w:hAnsi="Arial" w:cs="Arial"/>
                <w:sz w:val="24"/>
                <w:szCs w:val="24"/>
              </w:rPr>
              <w:t>%</w:t>
            </w:r>
          </w:p>
        </w:tc>
      </w:tr>
      <w:tr w:rsidR="01ADF4F4" w:rsidRPr="00777766" w14:paraId="6E6035B7" w14:textId="77777777" w:rsidTr="00A114C3">
        <w:trPr>
          <w:trHeight w:val="285"/>
        </w:trPr>
        <w:tc>
          <w:tcPr>
            <w:tcW w:w="2063" w:type="dxa"/>
            <w:tcBorders>
              <w:top w:val="single" w:sz="8" w:space="0" w:color="80808B"/>
              <w:left w:val="nil"/>
              <w:bottom w:val="single" w:sz="8" w:space="0" w:color="80808B"/>
              <w:right w:val="nil"/>
            </w:tcBorders>
            <w:tcMar>
              <w:left w:w="108" w:type="dxa"/>
              <w:right w:w="108" w:type="dxa"/>
            </w:tcMar>
            <w:vAlign w:val="center"/>
          </w:tcPr>
          <w:p w14:paraId="6DFD63A0" w14:textId="14BD034A" w:rsidR="01ADF4F4" w:rsidRPr="004C6759" w:rsidRDefault="01ADF4F4" w:rsidP="002E1670">
            <w:pPr>
              <w:spacing w:before="80" w:after="60"/>
              <w:rPr>
                <w:b/>
                <w:bCs/>
                <w:color w:val="007586" w:themeColor="text2"/>
                <w:sz w:val="24"/>
                <w:szCs w:val="24"/>
              </w:rPr>
            </w:pPr>
            <w:r w:rsidRPr="004C6759">
              <w:rPr>
                <w:rFonts w:ascii="Arial" w:eastAsia="Arial" w:hAnsi="Arial" w:cs="Arial"/>
                <w:b/>
                <w:bCs/>
                <w:color w:val="007586" w:themeColor="text2"/>
                <w:sz w:val="24"/>
                <w:szCs w:val="24"/>
              </w:rPr>
              <w:t>6–18 years</w:t>
            </w:r>
          </w:p>
        </w:tc>
        <w:tc>
          <w:tcPr>
            <w:tcW w:w="1871" w:type="dxa"/>
            <w:tcBorders>
              <w:top w:val="single" w:sz="8" w:space="0" w:color="80808B"/>
              <w:left w:val="nil"/>
              <w:bottom w:val="single" w:sz="8" w:space="0" w:color="80808B"/>
              <w:right w:val="nil"/>
            </w:tcBorders>
            <w:tcMar>
              <w:left w:w="108" w:type="dxa"/>
              <w:right w:w="108" w:type="dxa"/>
            </w:tcMar>
            <w:vAlign w:val="center"/>
          </w:tcPr>
          <w:p w14:paraId="2B665AAF" w14:textId="789C4CB9" w:rsidR="01ADF4F4" w:rsidRPr="00777766" w:rsidRDefault="01ADF4F4" w:rsidP="004C6759">
            <w:pPr>
              <w:spacing w:before="80" w:after="60"/>
              <w:jc w:val="right"/>
              <w:rPr>
                <w:sz w:val="24"/>
                <w:szCs w:val="24"/>
              </w:rPr>
            </w:pPr>
            <w:r w:rsidRPr="00777766">
              <w:rPr>
                <w:rFonts w:ascii="Arial" w:eastAsia="Arial" w:hAnsi="Arial" w:cs="Arial"/>
                <w:sz w:val="24"/>
                <w:szCs w:val="24"/>
              </w:rPr>
              <w:t>5%</w:t>
            </w:r>
          </w:p>
        </w:tc>
        <w:tc>
          <w:tcPr>
            <w:tcW w:w="1871" w:type="dxa"/>
            <w:tcBorders>
              <w:top w:val="single" w:sz="8" w:space="0" w:color="80808B"/>
              <w:left w:val="nil"/>
              <w:bottom w:val="single" w:sz="8" w:space="0" w:color="80808B"/>
              <w:right w:val="nil"/>
            </w:tcBorders>
            <w:tcMar>
              <w:left w:w="108" w:type="dxa"/>
              <w:right w:w="108" w:type="dxa"/>
            </w:tcMar>
            <w:vAlign w:val="center"/>
          </w:tcPr>
          <w:p w14:paraId="353C457F" w14:textId="07C7E1DB" w:rsidR="01ADF4F4" w:rsidRPr="00777766" w:rsidRDefault="01ADF4F4" w:rsidP="004C6759">
            <w:pPr>
              <w:spacing w:before="80" w:after="60"/>
              <w:jc w:val="right"/>
              <w:rPr>
                <w:sz w:val="24"/>
                <w:szCs w:val="24"/>
              </w:rPr>
            </w:pPr>
            <w:r w:rsidRPr="00777766">
              <w:rPr>
                <w:rFonts w:ascii="Arial" w:eastAsia="Arial" w:hAnsi="Arial" w:cs="Arial"/>
                <w:sz w:val="24"/>
                <w:szCs w:val="24"/>
              </w:rPr>
              <w:t>4%</w:t>
            </w:r>
          </w:p>
        </w:tc>
        <w:tc>
          <w:tcPr>
            <w:tcW w:w="1871" w:type="dxa"/>
            <w:tcBorders>
              <w:top w:val="single" w:sz="8" w:space="0" w:color="80808B"/>
              <w:left w:val="nil"/>
              <w:bottom w:val="single" w:sz="8" w:space="0" w:color="80808B"/>
              <w:right w:val="nil"/>
            </w:tcBorders>
            <w:tcMar>
              <w:left w:w="108" w:type="dxa"/>
              <w:right w:w="108" w:type="dxa"/>
            </w:tcMar>
            <w:vAlign w:val="center"/>
          </w:tcPr>
          <w:p w14:paraId="4B4C37D5" w14:textId="60616683" w:rsidR="32D3BEA4" w:rsidRPr="00777766" w:rsidRDefault="32D3BEA4" w:rsidP="004C6759">
            <w:pPr>
              <w:jc w:val="right"/>
              <w:rPr>
                <w:sz w:val="24"/>
                <w:szCs w:val="24"/>
              </w:rPr>
            </w:pPr>
            <w:r w:rsidRPr="00777766">
              <w:rPr>
                <w:rFonts w:ascii="Arial" w:eastAsia="Arial" w:hAnsi="Arial" w:cs="Arial"/>
                <w:sz w:val="24"/>
                <w:szCs w:val="24"/>
              </w:rPr>
              <w:t>4</w:t>
            </w:r>
            <w:r w:rsidR="274CF832" w:rsidRPr="00777766">
              <w:rPr>
                <w:rFonts w:ascii="Arial" w:eastAsia="Arial" w:hAnsi="Arial" w:cs="Arial"/>
                <w:sz w:val="24"/>
                <w:szCs w:val="24"/>
              </w:rPr>
              <w:t>%</w:t>
            </w:r>
          </w:p>
        </w:tc>
      </w:tr>
    </w:tbl>
    <w:p w14:paraId="3F2647FB" w14:textId="1F1493C5" w:rsidR="00A72FC5" w:rsidRDefault="00731839" w:rsidP="00D66DF0">
      <w:pPr>
        <w:pStyle w:val="SCVtablecaption"/>
      </w:pPr>
      <w:r>
        <w:t>Table</w:t>
      </w:r>
      <w:r w:rsidR="00824FA7">
        <w:t xml:space="preserve"> </w:t>
      </w:r>
      <w:r w:rsidR="62528427">
        <w:t>20</w:t>
      </w:r>
      <w:r w:rsidR="00E51940">
        <w:t>:</w:t>
      </w:r>
      <w:r w:rsidR="00824FA7">
        <w:t xml:space="preserve"> </w:t>
      </w:r>
      <w:r w:rsidR="00E51940">
        <w:t>S</w:t>
      </w:r>
      <w:r>
        <w:t>entinel</w:t>
      </w:r>
      <w:r w:rsidR="00824FA7">
        <w:t xml:space="preserve"> </w:t>
      </w:r>
      <w:r>
        <w:t>events</w:t>
      </w:r>
      <w:r w:rsidR="00824FA7">
        <w:t xml:space="preserve"> </w:t>
      </w:r>
      <w:r w:rsidR="005649C3">
        <w:t>a</w:t>
      </w:r>
      <w:r w:rsidR="00EB7B82">
        <w:t>ffe</w:t>
      </w:r>
      <w:r w:rsidR="005649C3">
        <w:t>cting</w:t>
      </w:r>
      <w:r w:rsidR="00824FA7">
        <w:t xml:space="preserve"> </w:t>
      </w:r>
      <w:r w:rsidR="005649C3">
        <w:t>babies,</w:t>
      </w:r>
      <w:r w:rsidR="00824FA7">
        <w:t xml:space="preserve"> </w:t>
      </w:r>
      <w:r w:rsidR="005649C3">
        <w:t>children</w:t>
      </w:r>
      <w:r w:rsidR="00824FA7">
        <w:t xml:space="preserve"> </w:t>
      </w:r>
      <w:r w:rsidR="005649C3">
        <w:t>and</w:t>
      </w:r>
      <w:r w:rsidR="00824FA7">
        <w:t xml:space="preserve"> </w:t>
      </w:r>
      <w:r w:rsidR="005649C3">
        <w:t>adolescents</w:t>
      </w:r>
      <w:r w:rsidR="00824FA7">
        <w:t xml:space="preserve"> </w:t>
      </w:r>
      <w:r>
        <w:t>by</w:t>
      </w:r>
      <w:r w:rsidR="00824FA7">
        <w:t xml:space="preserve"> </w:t>
      </w:r>
      <w:r>
        <w:t>percentage</w:t>
      </w:r>
      <w:r w:rsidR="00824FA7">
        <w:t xml:space="preserve"> </w:t>
      </w:r>
      <w:r>
        <w:t>of</w:t>
      </w:r>
      <w:r w:rsidR="00824FA7">
        <w:t xml:space="preserve"> </w:t>
      </w:r>
      <w:r>
        <w:t>total</w:t>
      </w:r>
      <w:r w:rsidR="00824FA7">
        <w:t xml:space="preserve"> </w:t>
      </w:r>
      <w:r>
        <w:t>sentinel</w:t>
      </w:r>
      <w:r w:rsidR="00824FA7">
        <w:t xml:space="preserve"> </w:t>
      </w:r>
      <w:r>
        <w:t>events</w:t>
      </w:r>
      <w:r w:rsidR="00845E81">
        <w:t>, 2022–23 to 2024–25</w:t>
      </w:r>
    </w:p>
    <w:tbl>
      <w:tblPr>
        <w:tblW w:w="7653" w:type="dxa"/>
        <w:tblLook w:val="04A0" w:firstRow="1" w:lastRow="0" w:firstColumn="1" w:lastColumn="0" w:noHBand="0" w:noVBand="1"/>
      </w:tblPr>
      <w:tblGrid>
        <w:gridCol w:w="2551"/>
        <w:gridCol w:w="2551"/>
        <w:gridCol w:w="2551"/>
      </w:tblGrid>
      <w:tr w:rsidR="00C11ED4" w:rsidRPr="00777766" w14:paraId="520BAEE2" w14:textId="77777777" w:rsidTr="00A114C3">
        <w:trPr>
          <w:trHeight w:val="226"/>
        </w:trPr>
        <w:tc>
          <w:tcPr>
            <w:tcW w:w="2551" w:type="dxa"/>
            <w:tcBorders>
              <w:top w:val="nil"/>
              <w:left w:val="nil"/>
              <w:bottom w:val="single" w:sz="12" w:space="0" w:color="CCCCD0"/>
              <w:right w:val="nil"/>
            </w:tcBorders>
            <w:shd w:val="clear" w:color="000000" w:fill="EDF5F7"/>
            <w:vAlign w:val="center"/>
            <w:hideMark/>
          </w:tcPr>
          <w:p w14:paraId="24B539A5" w14:textId="77777777" w:rsidR="00C11ED4" w:rsidRPr="00777766" w:rsidRDefault="00C11ED4" w:rsidP="00A114C3">
            <w:pPr>
              <w:pStyle w:val="SCVtablecolhead"/>
              <w:jc w:val="right"/>
              <w:rPr>
                <w:sz w:val="24"/>
                <w:szCs w:val="20"/>
              </w:rPr>
            </w:pPr>
            <w:r w:rsidRPr="00777766">
              <w:rPr>
                <w:sz w:val="24"/>
                <w:szCs w:val="20"/>
              </w:rPr>
              <w:t>2022–23</w:t>
            </w:r>
          </w:p>
        </w:tc>
        <w:tc>
          <w:tcPr>
            <w:tcW w:w="2551" w:type="dxa"/>
            <w:tcBorders>
              <w:top w:val="nil"/>
              <w:left w:val="nil"/>
              <w:bottom w:val="single" w:sz="12" w:space="0" w:color="CCCCD0"/>
              <w:right w:val="nil"/>
            </w:tcBorders>
            <w:shd w:val="clear" w:color="000000" w:fill="EDF5F7"/>
            <w:vAlign w:val="center"/>
            <w:hideMark/>
          </w:tcPr>
          <w:p w14:paraId="57713E84" w14:textId="77777777" w:rsidR="00C11ED4" w:rsidRPr="00777766" w:rsidRDefault="00C11ED4" w:rsidP="00A114C3">
            <w:pPr>
              <w:pStyle w:val="SCVtablecolhead"/>
              <w:jc w:val="right"/>
              <w:rPr>
                <w:sz w:val="24"/>
                <w:szCs w:val="20"/>
              </w:rPr>
            </w:pPr>
            <w:r w:rsidRPr="00777766">
              <w:rPr>
                <w:sz w:val="24"/>
                <w:szCs w:val="20"/>
              </w:rPr>
              <w:t>2023–24</w:t>
            </w:r>
          </w:p>
        </w:tc>
        <w:tc>
          <w:tcPr>
            <w:tcW w:w="2551" w:type="dxa"/>
            <w:tcBorders>
              <w:top w:val="nil"/>
              <w:left w:val="nil"/>
              <w:bottom w:val="single" w:sz="12" w:space="0" w:color="CCCCD0"/>
              <w:right w:val="nil"/>
            </w:tcBorders>
            <w:shd w:val="clear" w:color="000000" w:fill="EDF5F7"/>
            <w:vAlign w:val="center"/>
            <w:hideMark/>
          </w:tcPr>
          <w:p w14:paraId="2E78240C" w14:textId="77777777" w:rsidR="00C11ED4" w:rsidRPr="00777766" w:rsidRDefault="00C11ED4" w:rsidP="00A114C3">
            <w:pPr>
              <w:pStyle w:val="SCVtablecolhead"/>
              <w:jc w:val="right"/>
              <w:rPr>
                <w:sz w:val="24"/>
                <w:szCs w:val="20"/>
              </w:rPr>
            </w:pPr>
            <w:r w:rsidRPr="00777766">
              <w:rPr>
                <w:sz w:val="24"/>
                <w:szCs w:val="20"/>
              </w:rPr>
              <w:t>2024–25</w:t>
            </w:r>
          </w:p>
        </w:tc>
      </w:tr>
      <w:tr w:rsidR="00C11ED4" w:rsidRPr="00777766" w14:paraId="3C4D5359" w14:textId="77777777" w:rsidTr="00A114C3">
        <w:trPr>
          <w:trHeight w:val="234"/>
        </w:trPr>
        <w:tc>
          <w:tcPr>
            <w:tcW w:w="2551" w:type="dxa"/>
            <w:tcBorders>
              <w:top w:val="nil"/>
              <w:left w:val="nil"/>
              <w:bottom w:val="single" w:sz="8" w:space="0" w:color="80808B"/>
              <w:right w:val="nil"/>
            </w:tcBorders>
            <w:shd w:val="clear" w:color="auto" w:fill="FFFFFF" w:themeFill="background1"/>
            <w:vAlign w:val="center"/>
            <w:hideMark/>
          </w:tcPr>
          <w:p w14:paraId="4905F06D" w14:textId="77777777" w:rsidR="00C11ED4" w:rsidRPr="00777766" w:rsidRDefault="00C11ED4" w:rsidP="00A114C3">
            <w:pPr>
              <w:pStyle w:val="SCVtablebody"/>
              <w:jc w:val="right"/>
              <w:rPr>
                <w:rFonts w:asciiTheme="majorHAnsi" w:hAnsiTheme="majorHAnsi" w:cstheme="majorHAnsi"/>
                <w:sz w:val="24"/>
                <w:szCs w:val="20"/>
              </w:rPr>
            </w:pPr>
            <w:r w:rsidRPr="00777766">
              <w:rPr>
                <w:rFonts w:asciiTheme="majorHAnsi" w:hAnsiTheme="majorHAnsi" w:cstheme="majorHAnsi"/>
                <w:sz w:val="24"/>
                <w:szCs w:val="20"/>
              </w:rPr>
              <w:t>14%</w:t>
            </w:r>
          </w:p>
        </w:tc>
        <w:tc>
          <w:tcPr>
            <w:tcW w:w="2551" w:type="dxa"/>
            <w:tcBorders>
              <w:top w:val="nil"/>
              <w:left w:val="nil"/>
              <w:bottom w:val="single" w:sz="8" w:space="0" w:color="80808B"/>
              <w:right w:val="nil"/>
            </w:tcBorders>
            <w:shd w:val="clear" w:color="auto" w:fill="FFFFFF" w:themeFill="background1"/>
            <w:vAlign w:val="center"/>
            <w:hideMark/>
          </w:tcPr>
          <w:p w14:paraId="03E567FC" w14:textId="3C7CF48D" w:rsidR="00C11ED4" w:rsidRPr="00777766" w:rsidRDefault="00C11ED4" w:rsidP="00A114C3">
            <w:pPr>
              <w:pStyle w:val="SCVtablebody"/>
              <w:jc w:val="right"/>
              <w:rPr>
                <w:rFonts w:asciiTheme="majorHAnsi" w:hAnsiTheme="majorHAnsi" w:cstheme="majorHAnsi"/>
                <w:sz w:val="24"/>
                <w:szCs w:val="20"/>
              </w:rPr>
            </w:pPr>
            <w:r w:rsidRPr="00777766">
              <w:rPr>
                <w:rFonts w:asciiTheme="majorHAnsi" w:hAnsiTheme="majorHAnsi" w:cstheme="majorHAnsi"/>
                <w:sz w:val="24"/>
                <w:szCs w:val="20"/>
              </w:rPr>
              <w:t>15%</w:t>
            </w:r>
          </w:p>
        </w:tc>
        <w:tc>
          <w:tcPr>
            <w:tcW w:w="2551" w:type="dxa"/>
            <w:tcBorders>
              <w:top w:val="nil"/>
              <w:left w:val="nil"/>
              <w:bottom w:val="single" w:sz="8" w:space="0" w:color="80808B"/>
              <w:right w:val="nil"/>
            </w:tcBorders>
            <w:shd w:val="clear" w:color="auto" w:fill="FFFFFF" w:themeFill="background1"/>
            <w:vAlign w:val="center"/>
            <w:hideMark/>
          </w:tcPr>
          <w:p w14:paraId="12D2CE9F" w14:textId="77777777" w:rsidR="00C11ED4" w:rsidRPr="00777766" w:rsidRDefault="00C11ED4" w:rsidP="00A114C3">
            <w:pPr>
              <w:pStyle w:val="SCVtablebody"/>
              <w:jc w:val="right"/>
              <w:rPr>
                <w:rFonts w:asciiTheme="majorHAnsi" w:hAnsiTheme="majorHAnsi" w:cstheme="majorHAnsi"/>
                <w:sz w:val="24"/>
                <w:szCs w:val="20"/>
              </w:rPr>
            </w:pPr>
            <w:r w:rsidRPr="00777766">
              <w:rPr>
                <w:rFonts w:asciiTheme="majorHAnsi" w:hAnsiTheme="majorHAnsi" w:cstheme="majorHAnsi"/>
                <w:sz w:val="24"/>
                <w:szCs w:val="20"/>
              </w:rPr>
              <w:t>14%</w:t>
            </w:r>
          </w:p>
        </w:tc>
      </w:tr>
    </w:tbl>
    <w:p w14:paraId="4B25B37D" w14:textId="5849A386" w:rsidR="00377835" w:rsidRPr="006F1353" w:rsidRDefault="63469C38" w:rsidP="57EA0190">
      <w:pPr>
        <w:pStyle w:val="Heading2"/>
        <w:rPr>
          <w:color w:val="007586" w:themeColor="text2"/>
        </w:rPr>
      </w:pPr>
      <w:bookmarkStart w:id="51" w:name="_Toc238026658"/>
      <w:r w:rsidRPr="006F1353">
        <w:rPr>
          <w:color w:val="007586" w:themeColor="text2"/>
        </w:rPr>
        <w:t>Top</w:t>
      </w:r>
      <w:r w:rsidR="309C4F63" w:rsidRPr="006F1353">
        <w:rPr>
          <w:color w:val="007586" w:themeColor="text2"/>
        </w:rPr>
        <w:t xml:space="preserve"> </w:t>
      </w:r>
      <w:r w:rsidR="42E2B254" w:rsidRPr="006F1353">
        <w:rPr>
          <w:color w:val="007586" w:themeColor="text2"/>
        </w:rPr>
        <w:t>a</w:t>
      </w:r>
      <w:r w:rsidRPr="006F1353">
        <w:rPr>
          <w:color w:val="007586" w:themeColor="text2"/>
        </w:rPr>
        <w:t>dmitting</w:t>
      </w:r>
      <w:r w:rsidR="5811132B" w:rsidRPr="006F1353">
        <w:rPr>
          <w:color w:val="007586" w:themeColor="text2"/>
        </w:rPr>
        <w:t xml:space="preserve"> </w:t>
      </w:r>
      <w:r w:rsidR="42E2B254" w:rsidRPr="006F1353">
        <w:rPr>
          <w:color w:val="007586" w:themeColor="text2"/>
        </w:rPr>
        <w:t>s</w:t>
      </w:r>
      <w:r w:rsidRPr="006F1353">
        <w:rPr>
          <w:color w:val="007586" w:themeColor="text2"/>
        </w:rPr>
        <w:t>pecialtie</w:t>
      </w:r>
      <w:bookmarkEnd w:id="50"/>
      <w:r w:rsidR="42E2B254" w:rsidRPr="006F1353">
        <w:rPr>
          <w:color w:val="007586" w:themeColor="text2"/>
        </w:rPr>
        <w:t>s</w:t>
      </w:r>
      <w:bookmarkEnd w:id="51"/>
    </w:p>
    <w:p w14:paraId="58787EDA" w14:textId="1C1340F2" w:rsidR="0039792A" w:rsidRPr="00180959" w:rsidRDefault="0039792A" w:rsidP="0057201C">
      <w:pPr>
        <w:pStyle w:val="SCVbody"/>
      </w:pPr>
      <w:r>
        <w:t>Reporting</w:t>
      </w:r>
      <w:r w:rsidR="00824FA7">
        <w:t xml:space="preserve"> </w:t>
      </w:r>
      <w:r>
        <w:t>health</w:t>
      </w:r>
      <w:r w:rsidR="00824FA7">
        <w:t xml:space="preserve"> </w:t>
      </w:r>
      <w:r>
        <w:t>services</w:t>
      </w:r>
      <w:r w:rsidR="00824FA7">
        <w:t xml:space="preserve"> </w:t>
      </w:r>
      <w:r w:rsidR="00EB7B82">
        <w:t xml:space="preserve">must </w:t>
      </w:r>
      <w:r>
        <w:t>identify</w:t>
      </w:r>
      <w:r w:rsidR="00824FA7">
        <w:t xml:space="preserve"> </w:t>
      </w:r>
      <w:r>
        <w:t>the</w:t>
      </w:r>
      <w:r w:rsidR="00824FA7">
        <w:t xml:space="preserve"> </w:t>
      </w:r>
      <w:r>
        <w:t>specialty</w:t>
      </w:r>
      <w:r w:rsidR="00824FA7">
        <w:t xml:space="preserve"> </w:t>
      </w:r>
      <w:r>
        <w:t>providing</w:t>
      </w:r>
      <w:r w:rsidR="00824FA7">
        <w:t xml:space="preserve"> </w:t>
      </w:r>
      <w:r>
        <w:t>care</w:t>
      </w:r>
      <w:r w:rsidR="00824FA7">
        <w:t xml:space="preserve"> </w:t>
      </w:r>
      <w:r>
        <w:t>to</w:t>
      </w:r>
      <w:r w:rsidR="00824FA7">
        <w:t xml:space="preserve"> </w:t>
      </w:r>
      <w:r>
        <w:t>the</w:t>
      </w:r>
      <w:r w:rsidR="00824FA7">
        <w:t xml:space="preserve"> </w:t>
      </w:r>
      <w:r>
        <w:t>patient</w:t>
      </w:r>
      <w:r w:rsidR="00824FA7">
        <w:t xml:space="preserve"> </w:t>
      </w:r>
      <w:r>
        <w:t>when</w:t>
      </w:r>
      <w:r w:rsidR="00824FA7">
        <w:t xml:space="preserve"> </w:t>
      </w:r>
      <w:r>
        <w:t>the</w:t>
      </w:r>
      <w:r w:rsidR="00824FA7">
        <w:t xml:space="preserve"> </w:t>
      </w:r>
      <w:r>
        <w:t>sentinel</w:t>
      </w:r>
      <w:r w:rsidR="00824FA7">
        <w:t xml:space="preserve"> </w:t>
      </w:r>
      <w:r>
        <w:t>event</w:t>
      </w:r>
      <w:r w:rsidR="00824FA7">
        <w:t xml:space="preserve"> </w:t>
      </w:r>
      <w:r>
        <w:t>occurred.</w:t>
      </w:r>
    </w:p>
    <w:p w14:paraId="229F0DAD" w14:textId="74659237" w:rsidR="0039792A" w:rsidRDefault="4664093D" w:rsidP="271C3A84">
      <w:pPr>
        <w:pStyle w:val="SCVbody"/>
      </w:pPr>
      <w:r>
        <w:t xml:space="preserve">In 2024–25 </w:t>
      </w:r>
      <w:r w:rsidR="72A520AE">
        <w:t>General Surgical</w:t>
      </w:r>
      <w:r w:rsidR="00824FA7">
        <w:t xml:space="preserve"> </w:t>
      </w:r>
      <w:r w:rsidR="0039792A">
        <w:t>and</w:t>
      </w:r>
      <w:r w:rsidR="00824FA7">
        <w:t xml:space="preserve"> </w:t>
      </w:r>
      <w:r w:rsidR="0039792A">
        <w:t>General</w:t>
      </w:r>
      <w:r w:rsidR="00824FA7">
        <w:t xml:space="preserve"> </w:t>
      </w:r>
      <w:r w:rsidR="0039792A">
        <w:t>Medicine</w:t>
      </w:r>
      <w:r w:rsidR="00824FA7">
        <w:t xml:space="preserve"> </w:t>
      </w:r>
      <w:r w:rsidR="006F7E44">
        <w:t>wer</w:t>
      </w:r>
      <w:r w:rsidR="16DD351E">
        <w:t>e</w:t>
      </w:r>
      <w:r w:rsidR="00824FA7">
        <w:t xml:space="preserve"> </w:t>
      </w:r>
      <w:r w:rsidR="0039792A">
        <w:t>the</w:t>
      </w:r>
      <w:r w:rsidR="00824FA7">
        <w:t xml:space="preserve"> </w:t>
      </w:r>
      <w:r w:rsidR="0039792A">
        <w:t>top</w:t>
      </w:r>
      <w:r w:rsidR="00824FA7">
        <w:t xml:space="preserve"> </w:t>
      </w:r>
      <w:r w:rsidR="74B1C6EA">
        <w:t>two</w:t>
      </w:r>
      <w:r w:rsidR="0060153E">
        <w:t xml:space="preserve"> </w:t>
      </w:r>
      <w:r w:rsidR="0039792A">
        <w:t>admitting</w:t>
      </w:r>
      <w:r w:rsidR="00824FA7">
        <w:t xml:space="preserve"> </w:t>
      </w:r>
      <w:r w:rsidR="0039792A">
        <w:t>specialties</w:t>
      </w:r>
      <w:r w:rsidR="00824FA7">
        <w:t xml:space="preserve"> </w:t>
      </w:r>
      <w:r w:rsidR="0039792A">
        <w:t>for</w:t>
      </w:r>
      <w:r w:rsidR="00824FA7">
        <w:t xml:space="preserve"> </w:t>
      </w:r>
      <w:r w:rsidR="0039792A">
        <w:t>patients</w:t>
      </w:r>
      <w:r w:rsidR="00824FA7">
        <w:t xml:space="preserve"> </w:t>
      </w:r>
      <w:r w:rsidR="0039792A">
        <w:t>when</w:t>
      </w:r>
      <w:r w:rsidR="00824FA7">
        <w:t xml:space="preserve"> </w:t>
      </w:r>
      <w:r w:rsidR="0039792A">
        <w:t>sentinel</w:t>
      </w:r>
      <w:r w:rsidR="00824FA7">
        <w:t xml:space="preserve"> </w:t>
      </w:r>
      <w:r w:rsidR="0039792A">
        <w:t>events</w:t>
      </w:r>
      <w:r w:rsidR="00824FA7">
        <w:t xml:space="preserve"> </w:t>
      </w:r>
      <w:r w:rsidR="32A7E8C1">
        <w:t>occurred</w:t>
      </w:r>
      <w:r w:rsidR="00EB7B82">
        <w:t xml:space="preserve"> (</w:t>
      </w:r>
      <w:r w:rsidR="43CD238A">
        <w:t>Table 21</w:t>
      </w:r>
      <w:r w:rsidR="00EB7B82">
        <w:t>)</w:t>
      </w:r>
      <w:r w:rsidR="0039792A">
        <w:t>.</w:t>
      </w:r>
    </w:p>
    <w:p w14:paraId="4F4315C0" w14:textId="3703770C" w:rsidR="001B289D" w:rsidRDefault="0D3B9DD8" w:rsidP="001B289D">
      <w:pPr>
        <w:pStyle w:val="SCVfigurecaption"/>
      </w:pPr>
      <w:r>
        <w:t>Table 21</w:t>
      </w:r>
      <w:r w:rsidR="00EB7B82">
        <w:t>: Sentinel events by top admitting specialty</w:t>
      </w:r>
      <w:bookmarkStart w:id="52" w:name="_Toc185595270"/>
      <w:r w:rsidR="00845E81">
        <w:t>, 2022–23 to 2024–25</w:t>
      </w:r>
    </w:p>
    <w:tbl>
      <w:tblPr>
        <w:tblStyle w:val="TableGrid"/>
        <w:tblW w:w="0" w:type="auto"/>
        <w:tblLook w:val="06A0" w:firstRow="1" w:lastRow="0" w:firstColumn="1" w:lastColumn="0" w:noHBand="1" w:noVBand="1"/>
      </w:tblPr>
      <w:tblGrid>
        <w:gridCol w:w="2845"/>
        <w:gridCol w:w="2453"/>
        <w:gridCol w:w="2453"/>
        <w:gridCol w:w="2453"/>
      </w:tblGrid>
      <w:tr w:rsidR="01ADF4F4" w:rsidRPr="00777766" w14:paraId="1E24A1B7" w14:textId="77777777" w:rsidTr="00F63012">
        <w:trPr>
          <w:cnfStyle w:val="100000000000" w:firstRow="1" w:lastRow="0" w:firstColumn="0" w:lastColumn="0" w:oddVBand="0" w:evenVBand="0" w:oddHBand="0" w:evenHBand="0" w:firstRowFirstColumn="0" w:firstRowLastColumn="0" w:lastRowFirstColumn="0" w:lastRowLastColumn="0"/>
          <w:trHeight w:val="300"/>
        </w:trPr>
        <w:tc>
          <w:tcPr>
            <w:tcW w:w="2550" w:type="dxa"/>
          </w:tcPr>
          <w:p w14:paraId="47781CCF" w14:textId="1B7680ED" w:rsidR="01ADF4F4" w:rsidRPr="00777766" w:rsidRDefault="009571C5" w:rsidP="000A2B25">
            <w:pPr>
              <w:pStyle w:val="SCVfigurecaption"/>
              <w:spacing w:before="80" w:after="60"/>
              <w:rPr>
                <w:rFonts w:cstheme="minorHAnsi"/>
                <w:szCs w:val="24"/>
              </w:rPr>
            </w:pPr>
            <w:r w:rsidRPr="00777766">
              <w:rPr>
                <w:rFonts w:cstheme="minorHAnsi"/>
                <w:szCs w:val="24"/>
              </w:rPr>
              <w:t>Admitting Specialty</w:t>
            </w:r>
          </w:p>
        </w:tc>
        <w:tc>
          <w:tcPr>
            <w:tcW w:w="2550" w:type="dxa"/>
            <w:vAlign w:val="center"/>
          </w:tcPr>
          <w:p w14:paraId="0567DAC9" w14:textId="77777777" w:rsidR="01ADF4F4" w:rsidRPr="00777766" w:rsidRDefault="01ADF4F4" w:rsidP="003911A3">
            <w:pPr>
              <w:pStyle w:val="SCVtablecolhead"/>
              <w:jc w:val="right"/>
              <w:rPr>
                <w:sz w:val="24"/>
                <w:szCs w:val="24"/>
              </w:rPr>
            </w:pPr>
            <w:r w:rsidRPr="00777766">
              <w:rPr>
                <w:sz w:val="24"/>
                <w:szCs w:val="24"/>
              </w:rPr>
              <w:t>2022–23</w:t>
            </w:r>
          </w:p>
        </w:tc>
        <w:tc>
          <w:tcPr>
            <w:tcW w:w="2550" w:type="dxa"/>
            <w:vAlign w:val="center"/>
          </w:tcPr>
          <w:p w14:paraId="4DD5AE6B" w14:textId="77777777" w:rsidR="01ADF4F4" w:rsidRPr="00777766" w:rsidRDefault="01ADF4F4" w:rsidP="003911A3">
            <w:pPr>
              <w:pStyle w:val="SCVtablecolhead"/>
              <w:jc w:val="right"/>
              <w:rPr>
                <w:sz w:val="24"/>
                <w:szCs w:val="24"/>
              </w:rPr>
            </w:pPr>
            <w:r w:rsidRPr="00777766">
              <w:rPr>
                <w:sz w:val="24"/>
                <w:szCs w:val="24"/>
              </w:rPr>
              <w:t>2023–24</w:t>
            </w:r>
          </w:p>
        </w:tc>
        <w:tc>
          <w:tcPr>
            <w:tcW w:w="2550" w:type="dxa"/>
            <w:vAlign w:val="center"/>
          </w:tcPr>
          <w:p w14:paraId="38D47186" w14:textId="77777777" w:rsidR="01ADF4F4" w:rsidRPr="00777766" w:rsidRDefault="01ADF4F4" w:rsidP="003911A3">
            <w:pPr>
              <w:pStyle w:val="SCVtablecolhead"/>
              <w:jc w:val="right"/>
              <w:rPr>
                <w:sz w:val="24"/>
                <w:szCs w:val="24"/>
              </w:rPr>
            </w:pPr>
            <w:r w:rsidRPr="00777766">
              <w:rPr>
                <w:sz w:val="24"/>
                <w:szCs w:val="24"/>
              </w:rPr>
              <w:t>2024–25</w:t>
            </w:r>
          </w:p>
        </w:tc>
      </w:tr>
      <w:tr w:rsidR="01ADF4F4" w:rsidRPr="00777766" w14:paraId="00BB0F34" w14:textId="77777777" w:rsidTr="00EC5120">
        <w:trPr>
          <w:trHeight w:val="300"/>
        </w:trPr>
        <w:tc>
          <w:tcPr>
            <w:tcW w:w="2550" w:type="dxa"/>
            <w:vAlign w:val="center"/>
          </w:tcPr>
          <w:p w14:paraId="71C91230" w14:textId="642E1D29" w:rsidR="01ADF4F4" w:rsidRPr="00A114C3" w:rsidRDefault="01ADF4F4"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General Medical</w:t>
            </w:r>
          </w:p>
        </w:tc>
        <w:tc>
          <w:tcPr>
            <w:tcW w:w="2550" w:type="dxa"/>
            <w:vAlign w:val="center"/>
          </w:tcPr>
          <w:p w14:paraId="690F02FB" w14:textId="0D01BDE4" w:rsidR="458393A1" w:rsidRPr="00777766" w:rsidRDefault="0A807273" w:rsidP="003911A3">
            <w:pPr>
              <w:pStyle w:val="SCVtablebody"/>
              <w:jc w:val="right"/>
              <w:rPr>
                <w:sz w:val="24"/>
                <w:szCs w:val="24"/>
              </w:rPr>
            </w:pPr>
            <w:r w:rsidRPr="00777766">
              <w:rPr>
                <w:sz w:val="24"/>
                <w:szCs w:val="24"/>
              </w:rPr>
              <w:t>18</w:t>
            </w:r>
            <w:r w:rsidR="7A910573" w:rsidRPr="00777766">
              <w:rPr>
                <w:sz w:val="24"/>
                <w:szCs w:val="24"/>
              </w:rPr>
              <w:t>%</w:t>
            </w:r>
          </w:p>
        </w:tc>
        <w:tc>
          <w:tcPr>
            <w:tcW w:w="2550" w:type="dxa"/>
            <w:vAlign w:val="center"/>
          </w:tcPr>
          <w:p w14:paraId="46F9A667" w14:textId="31C28C0D" w:rsidR="458393A1" w:rsidRPr="00777766" w:rsidRDefault="0A807273" w:rsidP="003911A3">
            <w:pPr>
              <w:pStyle w:val="SCVtablebody"/>
              <w:jc w:val="right"/>
              <w:rPr>
                <w:sz w:val="24"/>
                <w:szCs w:val="24"/>
              </w:rPr>
            </w:pPr>
            <w:r w:rsidRPr="00777766">
              <w:rPr>
                <w:sz w:val="24"/>
                <w:szCs w:val="24"/>
              </w:rPr>
              <w:t>13</w:t>
            </w:r>
            <w:r w:rsidR="48AF57B2" w:rsidRPr="00777766">
              <w:rPr>
                <w:sz w:val="24"/>
                <w:szCs w:val="24"/>
              </w:rPr>
              <w:t>%</w:t>
            </w:r>
          </w:p>
        </w:tc>
        <w:tc>
          <w:tcPr>
            <w:tcW w:w="2550" w:type="dxa"/>
            <w:vAlign w:val="center"/>
          </w:tcPr>
          <w:p w14:paraId="5C5605AA" w14:textId="5E5D6485" w:rsidR="458393A1" w:rsidRPr="00777766" w:rsidRDefault="0A807273" w:rsidP="003911A3">
            <w:pPr>
              <w:pStyle w:val="SCVtablebody"/>
              <w:jc w:val="right"/>
              <w:rPr>
                <w:sz w:val="24"/>
                <w:szCs w:val="24"/>
              </w:rPr>
            </w:pPr>
            <w:r w:rsidRPr="00777766">
              <w:rPr>
                <w:sz w:val="24"/>
                <w:szCs w:val="24"/>
              </w:rPr>
              <w:t>11</w:t>
            </w:r>
            <w:r w:rsidR="02D125FD" w:rsidRPr="00777766">
              <w:rPr>
                <w:sz w:val="24"/>
                <w:szCs w:val="24"/>
              </w:rPr>
              <w:t>%</w:t>
            </w:r>
          </w:p>
        </w:tc>
      </w:tr>
      <w:tr w:rsidR="01ADF4F4" w:rsidRPr="00777766" w14:paraId="3C7AD813" w14:textId="77777777" w:rsidTr="00EC5120">
        <w:trPr>
          <w:trHeight w:val="300"/>
        </w:trPr>
        <w:tc>
          <w:tcPr>
            <w:tcW w:w="2550" w:type="dxa"/>
            <w:vAlign w:val="center"/>
          </w:tcPr>
          <w:p w14:paraId="1C0907BC" w14:textId="7E60FA57" w:rsidR="01ADF4F4" w:rsidRPr="00A114C3" w:rsidRDefault="01ADF4F4"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General Surgical</w:t>
            </w:r>
          </w:p>
        </w:tc>
        <w:tc>
          <w:tcPr>
            <w:tcW w:w="2550" w:type="dxa"/>
            <w:vAlign w:val="center"/>
          </w:tcPr>
          <w:p w14:paraId="2448C7AA" w14:textId="1198F63D" w:rsidR="7C6AF2FE" w:rsidRPr="00777766" w:rsidRDefault="70B472CB" w:rsidP="003911A3">
            <w:pPr>
              <w:pStyle w:val="SCVtablebody"/>
              <w:jc w:val="right"/>
              <w:rPr>
                <w:sz w:val="24"/>
                <w:szCs w:val="24"/>
              </w:rPr>
            </w:pPr>
            <w:r w:rsidRPr="00777766">
              <w:rPr>
                <w:sz w:val="24"/>
                <w:szCs w:val="24"/>
              </w:rPr>
              <w:t>7</w:t>
            </w:r>
            <w:r w:rsidR="0A16CDF5" w:rsidRPr="00777766">
              <w:rPr>
                <w:sz w:val="24"/>
                <w:szCs w:val="24"/>
              </w:rPr>
              <w:t>%</w:t>
            </w:r>
          </w:p>
        </w:tc>
        <w:tc>
          <w:tcPr>
            <w:tcW w:w="2550" w:type="dxa"/>
            <w:vAlign w:val="center"/>
          </w:tcPr>
          <w:p w14:paraId="1EBE1C6D" w14:textId="261703A4" w:rsidR="7C6AF2FE" w:rsidRPr="00777766" w:rsidRDefault="70B472CB" w:rsidP="003911A3">
            <w:pPr>
              <w:pStyle w:val="SCVtablebody"/>
              <w:jc w:val="right"/>
              <w:rPr>
                <w:sz w:val="24"/>
                <w:szCs w:val="24"/>
              </w:rPr>
            </w:pPr>
            <w:r w:rsidRPr="00777766">
              <w:rPr>
                <w:sz w:val="24"/>
                <w:szCs w:val="24"/>
              </w:rPr>
              <w:t>5</w:t>
            </w:r>
            <w:r w:rsidR="7AB49B12" w:rsidRPr="00777766">
              <w:rPr>
                <w:sz w:val="24"/>
                <w:szCs w:val="24"/>
              </w:rPr>
              <w:t>%</w:t>
            </w:r>
          </w:p>
        </w:tc>
        <w:tc>
          <w:tcPr>
            <w:tcW w:w="2550" w:type="dxa"/>
            <w:vAlign w:val="center"/>
          </w:tcPr>
          <w:p w14:paraId="690D74BD" w14:textId="2F8EF15D" w:rsidR="7C6AF2FE" w:rsidRPr="00777766" w:rsidRDefault="70B472CB" w:rsidP="003911A3">
            <w:pPr>
              <w:pStyle w:val="SCVtablebody"/>
              <w:jc w:val="right"/>
              <w:rPr>
                <w:sz w:val="24"/>
                <w:szCs w:val="24"/>
              </w:rPr>
            </w:pPr>
            <w:r w:rsidRPr="00777766">
              <w:rPr>
                <w:sz w:val="24"/>
                <w:szCs w:val="24"/>
              </w:rPr>
              <w:t>10</w:t>
            </w:r>
            <w:r w:rsidR="02D125FD" w:rsidRPr="00777766">
              <w:rPr>
                <w:sz w:val="24"/>
                <w:szCs w:val="24"/>
              </w:rPr>
              <w:t>%</w:t>
            </w:r>
          </w:p>
        </w:tc>
      </w:tr>
      <w:tr w:rsidR="01ADF4F4" w:rsidRPr="00777766" w14:paraId="01EAA9E8" w14:textId="77777777" w:rsidTr="00EC5120">
        <w:trPr>
          <w:trHeight w:val="300"/>
        </w:trPr>
        <w:tc>
          <w:tcPr>
            <w:tcW w:w="2550" w:type="dxa"/>
            <w:vAlign w:val="center"/>
          </w:tcPr>
          <w:p w14:paraId="75ACE431" w14:textId="3E672FE1" w:rsidR="01ADF4F4" w:rsidRPr="00A114C3" w:rsidRDefault="01ADF4F4"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Emergency Medicine</w:t>
            </w:r>
          </w:p>
        </w:tc>
        <w:tc>
          <w:tcPr>
            <w:tcW w:w="2550" w:type="dxa"/>
            <w:vAlign w:val="center"/>
          </w:tcPr>
          <w:p w14:paraId="32918B61" w14:textId="3BB43B30" w:rsidR="41F61B39" w:rsidRPr="00777766" w:rsidRDefault="365BE2EE" w:rsidP="003911A3">
            <w:pPr>
              <w:pStyle w:val="SCVtablebody"/>
              <w:jc w:val="right"/>
              <w:rPr>
                <w:sz w:val="24"/>
                <w:szCs w:val="24"/>
              </w:rPr>
            </w:pPr>
            <w:r w:rsidRPr="00777766">
              <w:rPr>
                <w:sz w:val="24"/>
                <w:szCs w:val="24"/>
              </w:rPr>
              <w:t>13</w:t>
            </w:r>
            <w:r w:rsidR="0288988C" w:rsidRPr="00777766">
              <w:rPr>
                <w:sz w:val="24"/>
                <w:szCs w:val="24"/>
              </w:rPr>
              <w:t>%</w:t>
            </w:r>
          </w:p>
        </w:tc>
        <w:tc>
          <w:tcPr>
            <w:tcW w:w="2550" w:type="dxa"/>
            <w:vAlign w:val="center"/>
          </w:tcPr>
          <w:p w14:paraId="71C22F5D" w14:textId="1C4465F2" w:rsidR="41F61B39" w:rsidRPr="00777766" w:rsidRDefault="365BE2EE" w:rsidP="003911A3">
            <w:pPr>
              <w:pStyle w:val="SCVtablebody"/>
              <w:jc w:val="right"/>
              <w:rPr>
                <w:sz w:val="24"/>
                <w:szCs w:val="24"/>
              </w:rPr>
            </w:pPr>
            <w:r w:rsidRPr="00777766">
              <w:rPr>
                <w:sz w:val="24"/>
                <w:szCs w:val="24"/>
              </w:rPr>
              <w:t>15</w:t>
            </w:r>
            <w:r w:rsidR="16435EB3" w:rsidRPr="00777766">
              <w:rPr>
                <w:sz w:val="24"/>
                <w:szCs w:val="24"/>
              </w:rPr>
              <w:t>%</w:t>
            </w:r>
          </w:p>
        </w:tc>
        <w:tc>
          <w:tcPr>
            <w:tcW w:w="2550" w:type="dxa"/>
            <w:vAlign w:val="center"/>
          </w:tcPr>
          <w:p w14:paraId="6F84EEB1" w14:textId="7F698D4D" w:rsidR="41F61B39" w:rsidRPr="00777766" w:rsidRDefault="365BE2EE" w:rsidP="003911A3">
            <w:pPr>
              <w:pStyle w:val="SCVtablebody"/>
              <w:jc w:val="right"/>
              <w:rPr>
                <w:sz w:val="24"/>
                <w:szCs w:val="24"/>
              </w:rPr>
            </w:pPr>
            <w:r w:rsidRPr="00777766">
              <w:rPr>
                <w:sz w:val="24"/>
                <w:szCs w:val="24"/>
              </w:rPr>
              <w:t>9</w:t>
            </w:r>
            <w:r w:rsidR="22B916FF" w:rsidRPr="00777766">
              <w:rPr>
                <w:sz w:val="24"/>
                <w:szCs w:val="24"/>
              </w:rPr>
              <w:t>%</w:t>
            </w:r>
          </w:p>
        </w:tc>
      </w:tr>
      <w:tr w:rsidR="01ADF4F4" w:rsidRPr="00777766" w14:paraId="0AD9CBBB" w14:textId="77777777" w:rsidTr="00EC5120">
        <w:trPr>
          <w:trHeight w:val="300"/>
        </w:trPr>
        <w:tc>
          <w:tcPr>
            <w:tcW w:w="2550" w:type="dxa"/>
            <w:vAlign w:val="center"/>
          </w:tcPr>
          <w:p w14:paraId="0BFFA534" w14:textId="57F5B6CB" w:rsidR="01ADF4F4" w:rsidRPr="00A114C3" w:rsidRDefault="01ADF4F4"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Obstetric/Maternity</w:t>
            </w:r>
          </w:p>
        </w:tc>
        <w:tc>
          <w:tcPr>
            <w:tcW w:w="2550" w:type="dxa"/>
            <w:vAlign w:val="center"/>
          </w:tcPr>
          <w:p w14:paraId="62A358EF" w14:textId="6B9239E9" w:rsidR="3DC478CB" w:rsidRPr="00777766" w:rsidRDefault="5D3E7E85" w:rsidP="003911A3">
            <w:pPr>
              <w:pStyle w:val="SCVtablebody"/>
              <w:jc w:val="right"/>
              <w:rPr>
                <w:sz w:val="24"/>
                <w:szCs w:val="24"/>
              </w:rPr>
            </w:pPr>
            <w:r w:rsidRPr="00777766">
              <w:rPr>
                <w:sz w:val="24"/>
                <w:szCs w:val="24"/>
              </w:rPr>
              <w:t>7</w:t>
            </w:r>
            <w:r w:rsidR="3964297E" w:rsidRPr="00777766">
              <w:rPr>
                <w:sz w:val="24"/>
                <w:szCs w:val="24"/>
              </w:rPr>
              <w:t>%</w:t>
            </w:r>
          </w:p>
        </w:tc>
        <w:tc>
          <w:tcPr>
            <w:tcW w:w="2550" w:type="dxa"/>
            <w:vAlign w:val="center"/>
          </w:tcPr>
          <w:p w14:paraId="08EBAF2B" w14:textId="29D6F59F" w:rsidR="3DC478CB" w:rsidRPr="00777766" w:rsidRDefault="5D3E7E85" w:rsidP="003911A3">
            <w:pPr>
              <w:pStyle w:val="SCVtablebody"/>
              <w:jc w:val="right"/>
              <w:rPr>
                <w:sz w:val="24"/>
                <w:szCs w:val="24"/>
              </w:rPr>
            </w:pPr>
            <w:r w:rsidRPr="00777766">
              <w:rPr>
                <w:sz w:val="24"/>
                <w:szCs w:val="24"/>
              </w:rPr>
              <w:t>8</w:t>
            </w:r>
            <w:r w:rsidR="16435EB3" w:rsidRPr="00777766">
              <w:rPr>
                <w:sz w:val="24"/>
                <w:szCs w:val="24"/>
              </w:rPr>
              <w:t>%</w:t>
            </w:r>
          </w:p>
        </w:tc>
        <w:tc>
          <w:tcPr>
            <w:tcW w:w="2550" w:type="dxa"/>
            <w:vAlign w:val="center"/>
          </w:tcPr>
          <w:p w14:paraId="1EC222DF" w14:textId="7E8E8172" w:rsidR="3DC478CB" w:rsidRPr="00777766" w:rsidRDefault="5D3E7E85" w:rsidP="003911A3">
            <w:pPr>
              <w:pStyle w:val="SCVtablebody"/>
              <w:jc w:val="right"/>
              <w:rPr>
                <w:sz w:val="24"/>
                <w:szCs w:val="24"/>
              </w:rPr>
            </w:pPr>
            <w:r w:rsidRPr="00777766">
              <w:rPr>
                <w:sz w:val="24"/>
                <w:szCs w:val="24"/>
              </w:rPr>
              <w:t>9</w:t>
            </w:r>
            <w:r w:rsidR="22B916FF" w:rsidRPr="00777766">
              <w:rPr>
                <w:sz w:val="24"/>
                <w:szCs w:val="24"/>
              </w:rPr>
              <w:t>%</w:t>
            </w:r>
          </w:p>
        </w:tc>
      </w:tr>
      <w:tr w:rsidR="01ADF4F4" w:rsidRPr="00777766" w14:paraId="31BB4284" w14:textId="77777777" w:rsidTr="00EC5120">
        <w:trPr>
          <w:trHeight w:val="300"/>
        </w:trPr>
        <w:tc>
          <w:tcPr>
            <w:tcW w:w="2550" w:type="dxa"/>
            <w:vAlign w:val="center"/>
          </w:tcPr>
          <w:p w14:paraId="1D5D4D8C" w14:textId="17BF0999" w:rsidR="4E780E9A" w:rsidRPr="00A114C3" w:rsidRDefault="4E780E9A" w:rsidP="00EC5120">
            <w:pPr>
              <w:rPr>
                <w:rFonts w:cstheme="minorHAnsi"/>
                <w:b/>
                <w:bCs/>
                <w:color w:val="007586" w:themeColor="text2"/>
                <w:sz w:val="24"/>
                <w:szCs w:val="24"/>
              </w:rPr>
            </w:pPr>
            <w:r w:rsidRPr="00A114C3">
              <w:rPr>
                <w:rFonts w:eastAsia="Arial" w:cstheme="minorHAnsi"/>
                <w:b/>
                <w:bCs/>
                <w:color w:val="007586" w:themeColor="text2"/>
                <w:sz w:val="24"/>
                <w:szCs w:val="24"/>
              </w:rPr>
              <w:t>Pre-hospital</w:t>
            </w:r>
          </w:p>
        </w:tc>
        <w:tc>
          <w:tcPr>
            <w:tcW w:w="2550" w:type="dxa"/>
            <w:vAlign w:val="center"/>
          </w:tcPr>
          <w:p w14:paraId="730C2FED" w14:textId="095AD2FF" w:rsidR="1DC41C43" w:rsidRPr="00777766" w:rsidRDefault="7AE0E4C8" w:rsidP="003911A3">
            <w:pPr>
              <w:pStyle w:val="SCVtablebody"/>
              <w:jc w:val="right"/>
              <w:rPr>
                <w:sz w:val="24"/>
                <w:szCs w:val="24"/>
              </w:rPr>
            </w:pPr>
            <w:r w:rsidRPr="00777766">
              <w:rPr>
                <w:sz w:val="24"/>
                <w:szCs w:val="24"/>
              </w:rPr>
              <w:t>6</w:t>
            </w:r>
            <w:r w:rsidR="3964297E" w:rsidRPr="00777766">
              <w:rPr>
                <w:sz w:val="24"/>
                <w:szCs w:val="24"/>
              </w:rPr>
              <w:t>%</w:t>
            </w:r>
          </w:p>
        </w:tc>
        <w:tc>
          <w:tcPr>
            <w:tcW w:w="2550" w:type="dxa"/>
            <w:vAlign w:val="center"/>
          </w:tcPr>
          <w:p w14:paraId="534BD75A" w14:textId="35FAFB1D" w:rsidR="1DC41C43" w:rsidRPr="00777766" w:rsidRDefault="7AE0E4C8" w:rsidP="003911A3">
            <w:pPr>
              <w:pStyle w:val="SCVtablebody"/>
              <w:jc w:val="right"/>
              <w:rPr>
                <w:sz w:val="24"/>
                <w:szCs w:val="24"/>
              </w:rPr>
            </w:pPr>
            <w:r w:rsidRPr="00777766">
              <w:rPr>
                <w:sz w:val="24"/>
                <w:szCs w:val="24"/>
              </w:rPr>
              <w:t>4</w:t>
            </w:r>
            <w:r w:rsidR="4B8A9F0B" w:rsidRPr="00777766">
              <w:rPr>
                <w:sz w:val="24"/>
                <w:szCs w:val="24"/>
              </w:rPr>
              <w:t>%</w:t>
            </w:r>
          </w:p>
        </w:tc>
        <w:tc>
          <w:tcPr>
            <w:tcW w:w="2550" w:type="dxa"/>
            <w:vAlign w:val="center"/>
          </w:tcPr>
          <w:p w14:paraId="67E9416D" w14:textId="6163CF7A" w:rsidR="1DC41C43" w:rsidRPr="00777766" w:rsidRDefault="7AE0E4C8" w:rsidP="003911A3">
            <w:pPr>
              <w:pStyle w:val="SCVtablebody"/>
              <w:jc w:val="right"/>
              <w:rPr>
                <w:sz w:val="24"/>
                <w:szCs w:val="24"/>
              </w:rPr>
            </w:pPr>
            <w:r w:rsidRPr="00777766">
              <w:rPr>
                <w:sz w:val="24"/>
                <w:szCs w:val="24"/>
              </w:rPr>
              <w:t>9</w:t>
            </w:r>
            <w:r w:rsidR="67E3057F" w:rsidRPr="00777766">
              <w:rPr>
                <w:sz w:val="24"/>
                <w:szCs w:val="24"/>
              </w:rPr>
              <w:t>%</w:t>
            </w:r>
          </w:p>
        </w:tc>
      </w:tr>
      <w:tr w:rsidR="01ADF4F4" w:rsidRPr="00777766" w14:paraId="43EEA82C" w14:textId="77777777" w:rsidTr="00EC5120">
        <w:trPr>
          <w:trHeight w:val="300"/>
        </w:trPr>
        <w:tc>
          <w:tcPr>
            <w:tcW w:w="2550" w:type="dxa"/>
            <w:vAlign w:val="center"/>
          </w:tcPr>
          <w:p w14:paraId="5C71650E" w14:textId="50C2533F" w:rsidR="01ADF4F4" w:rsidRPr="00A114C3" w:rsidRDefault="01ADF4F4"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Cardiology</w:t>
            </w:r>
          </w:p>
        </w:tc>
        <w:tc>
          <w:tcPr>
            <w:tcW w:w="2550" w:type="dxa"/>
            <w:vAlign w:val="center"/>
          </w:tcPr>
          <w:p w14:paraId="3A3AC8ED" w14:textId="7CBB8BC2" w:rsidR="0945AAE2" w:rsidRPr="00777766" w:rsidRDefault="00FA0B65" w:rsidP="003911A3">
            <w:pPr>
              <w:pStyle w:val="SCVtablebody"/>
              <w:jc w:val="right"/>
              <w:rPr>
                <w:sz w:val="24"/>
                <w:szCs w:val="24"/>
              </w:rPr>
            </w:pPr>
            <w:r w:rsidRPr="00777766">
              <w:rPr>
                <w:sz w:val="24"/>
                <w:szCs w:val="24"/>
              </w:rPr>
              <w:t>4</w:t>
            </w:r>
            <w:r w:rsidR="1E89EFBD" w:rsidRPr="00777766">
              <w:rPr>
                <w:sz w:val="24"/>
                <w:szCs w:val="24"/>
              </w:rPr>
              <w:t>%</w:t>
            </w:r>
          </w:p>
        </w:tc>
        <w:tc>
          <w:tcPr>
            <w:tcW w:w="2550" w:type="dxa"/>
            <w:vAlign w:val="center"/>
          </w:tcPr>
          <w:p w14:paraId="399AD933" w14:textId="5494A709" w:rsidR="0945AAE2" w:rsidRPr="00777766" w:rsidRDefault="00FA0B65" w:rsidP="003911A3">
            <w:pPr>
              <w:pStyle w:val="SCVtablebody"/>
              <w:jc w:val="right"/>
              <w:rPr>
                <w:sz w:val="24"/>
                <w:szCs w:val="24"/>
              </w:rPr>
            </w:pPr>
            <w:r w:rsidRPr="00777766">
              <w:rPr>
                <w:sz w:val="24"/>
                <w:szCs w:val="24"/>
              </w:rPr>
              <w:t>5</w:t>
            </w:r>
            <w:r w:rsidR="4B8A9F0B" w:rsidRPr="00777766">
              <w:rPr>
                <w:sz w:val="24"/>
                <w:szCs w:val="24"/>
              </w:rPr>
              <w:t>%</w:t>
            </w:r>
          </w:p>
        </w:tc>
        <w:tc>
          <w:tcPr>
            <w:tcW w:w="2550" w:type="dxa"/>
            <w:vAlign w:val="center"/>
          </w:tcPr>
          <w:p w14:paraId="6CA5FEF5" w14:textId="406FDE16" w:rsidR="0945AAE2" w:rsidRPr="00777766" w:rsidRDefault="00FA0B65" w:rsidP="003911A3">
            <w:pPr>
              <w:pStyle w:val="SCVtablebody"/>
              <w:jc w:val="right"/>
              <w:rPr>
                <w:sz w:val="24"/>
                <w:szCs w:val="24"/>
              </w:rPr>
            </w:pPr>
            <w:r w:rsidRPr="00777766">
              <w:rPr>
                <w:sz w:val="24"/>
                <w:szCs w:val="24"/>
              </w:rPr>
              <w:t>6</w:t>
            </w:r>
            <w:r w:rsidR="67E3057F" w:rsidRPr="00777766">
              <w:rPr>
                <w:sz w:val="24"/>
                <w:szCs w:val="24"/>
              </w:rPr>
              <w:t>%</w:t>
            </w:r>
          </w:p>
        </w:tc>
      </w:tr>
      <w:tr w:rsidR="01ADF4F4" w:rsidRPr="00777766" w14:paraId="190331F3" w14:textId="77777777" w:rsidTr="00EC5120">
        <w:trPr>
          <w:trHeight w:val="300"/>
        </w:trPr>
        <w:tc>
          <w:tcPr>
            <w:tcW w:w="2550" w:type="dxa"/>
            <w:vAlign w:val="center"/>
          </w:tcPr>
          <w:p w14:paraId="42928DC8" w14:textId="14EE095E" w:rsidR="17EA23B0" w:rsidRPr="00A114C3" w:rsidRDefault="17EA23B0" w:rsidP="00EC5120">
            <w:pPr>
              <w:rPr>
                <w:rFonts w:cstheme="minorHAnsi"/>
                <w:b/>
                <w:bCs/>
                <w:color w:val="007586" w:themeColor="text2"/>
                <w:sz w:val="24"/>
                <w:szCs w:val="24"/>
              </w:rPr>
            </w:pPr>
            <w:r w:rsidRPr="00A114C3">
              <w:rPr>
                <w:rFonts w:eastAsia="Arial" w:cstheme="minorHAnsi"/>
                <w:b/>
                <w:bCs/>
                <w:color w:val="007586" w:themeColor="text2"/>
                <w:sz w:val="24"/>
                <w:szCs w:val="24"/>
              </w:rPr>
              <w:t>Urology</w:t>
            </w:r>
          </w:p>
        </w:tc>
        <w:tc>
          <w:tcPr>
            <w:tcW w:w="2550" w:type="dxa"/>
            <w:vAlign w:val="center"/>
          </w:tcPr>
          <w:p w14:paraId="525155FF" w14:textId="6876365F" w:rsidR="23EE2E23" w:rsidRPr="00777766" w:rsidRDefault="396C9012" w:rsidP="003911A3">
            <w:pPr>
              <w:pStyle w:val="SCVtablebody"/>
              <w:jc w:val="right"/>
              <w:rPr>
                <w:sz w:val="24"/>
                <w:szCs w:val="24"/>
              </w:rPr>
            </w:pPr>
            <w:r w:rsidRPr="00777766">
              <w:rPr>
                <w:sz w:val="24"/>
                <w:szCs w:val="24"/>
              </w:rPr>
              <w:t>2</w:t>
            </w:r>
            <w:r w:rsidR="1E89EFBD" w:rsidRPr="00777766">
              <w:rPr>
                <w:sz w:val="24"/>
                <w:szCs w:val="24"/>
              </w:rPr>
              <w:t>%</w:t>
            </w:r>
          </w:p>
        </w:tc>
        <w:tc>
          <w:tcPr>
            <w:tcW w:w="2550" w:type="dxa"/>
            <w:vAlign w:val="center"/>
          </w:tcPr>
          <w:p w14:paraId="5D65AE5F" w14:textId="3B349AA2" w:rsidR="23EE2E23" w:rsidRPr="00777766" w:rsidRDefault="396C9012" w:rsidP="003911A3">
            <w:pPr>
              <w:pStyle w:val="SCVtablebody"/>
              <w:jc w:val="right"/>
              <w:rPr>
                <w:sz w:val="24"/>
                <w:szCs w:val="24"/>
              </w:rPr>
            </w:pPr>
            <w:r w:rsidRPr="00777766">
              <w:rPr>
                <w:sz w:val="24"/>
                <w:szCs w:val="24"/>
              </w:rPr>
              <w:t>3</w:t>
            </w:r>
            <w:r w:rsidR="16482C2D" w:rsidRPr="00777766">
              <w:rPr>
                <w:sz w:val="24"/>
                <w:szCs w:val="24"/>
              </w:rPr>
              <w:t>%</w:t>
            </w:r>
          </w:p>
        </w:tc>
        <w:tc>
          <w:tcPr>
            <w:tcW w:w="2550" w:type="dxa"/>
            <w:vAlign w:val="center"/>
          </w:tcPr>
          <w:p w14:paraId="4C8C3630" w14:textId="05B4E6B0" w:rsidR="23EE2E23" w:rsidRPr="00777766" w:rsidRDefault="396C9012" w:rsidP="003911A3">
            <w:pPr>
              <w:pStyle w:val="SCVtablebody"/>
              <w:jc w:val="right"/>
              <w:rPr>
                <w:sz w:val="24"/>
                <w:szCs w:val="24"/>
              </w:rPr>
            </w:pPr>
            <w:r w:rsidRPr="00777766">
              <w:rPr>
                <w:sz w:val="24"/>
                <w:szCs w:val="24"/>
              </w:rPr>
              <w:t>6</w:t>
            </w:r>
            <w:r w:rsidR="426AA09A" w:rsidRPr="00777766">
              <w:rPr>
                <w:sz w:val="24"/>
                <w:szCs w:val="24"/>
              </w:rPr>
              <w:t>%</w:t>
            </w:r>
          </w:p>
        </w:tc>
      </w:tr>
      <w:tr w:rsidR="01ADF4F4" w:rsidRPr="00777766" w14:paraId="2021D6C5" w14:textId="77777777" w:rsidTr="00EC5120">
        <w:trPr>
          <w:trHeight w:val="300"/>
        </w:trPr>
        <w:tc>
          <w:tcPr>
            <w:tcW w:w="2550" w:type="dxa"/>
            <w:vAlign w:val="center"/>
          </w:tcPr>
          <w:p w14:paraId="75072CE5" w14:textId="74E06671" w:rsidR="17EA23B0" w:rsidRPr="00A114C3" w:rsidRDefault="17EA23B0" w:rsidP="00EC5120">
            <w:pPr>
              <w:rPr>
                <w:rFonts w:cstheme="minorHAnsi"/>
                <w:b/>
                <w:bCs/>
                <w:color w:val="007586" w:themeColor="text2"/>
                <w:sz w:val="24"/>
                <w:szCs w:val="24"/>
              </w:rPr>
            </w:pPr>
            <w:proofErr w:type="spellStart"/>
            <w:r w:rsidRPr="00A114C3">
              <w:rPr>
                <w:rFonts w:eastAsia="Arial" w:cstheme="minorHAnsi"/>
                <w:b/>
                <w:bCs/>
                <w:color w:val="007586" w:themeColor="text2"/>
                <w:sz w:val="24"/>
                <w:szCs w:val="24"/>
              </w:rPr>
              <w:t>Obstetric</w:t>
            </w:r>
            <w:proofErr w:type="spellEnd"/>
            <w:r w:rsidRPr="00A114C3">
              <w:rPr>
                <w:rFonts w:eastAsia="Arial" w:cstheme="minorHAnsi"/>
                <w:b/>
                <w:bCs/>
                <w:color w:val="007586" w:themeColor="text2"/>
                <w:sz w:val="24"/>
                <w:szCs w:val="24"/>
              </w:rPr>
              <w:t>/Gynaecology</w:t>
            </w:r>
          </w:p>
        </w:tc>
        <w:tc>
          <w:tcPr>
            <w:tcW w:w="2550" w:type="dxa"/>
            <w:vAlign w:val="center"/>
          </w:tcPr>
          <w:p w14:paraId="0F52A630" w14:textId="7C108306" w:rsidR="2C8B1593" w:rsidRPr="00777766" w:rsidRDefault="5CEE0760" w:rsidP="003911A3">
            <w:pPr>
              <w:pStyle w:val="SCVtablebody"/>
              <w:jc w:val="right"/>
              <w:rPr>
                <w:sz w:val="24"/>
                <w:szCs w:val="24"/>
              </w:rPr>
            </w:pPr>
            <w:r w:rsidRPr="00777766">
              <w:rPr>
                <w:sz w:val="24"/>
                <w:szCs w:val="24"/>
              </w:rPr>
              <w:t>1</w:t>
            </w:r>
            <w:r w:rsidR="325B3D72" w:rsidRPr="00777766">
              <w:rPr>
                <w:sz w:val="24"/>
                <w:szCs w:val="24"/>
              </w:rPr>
              <w:t>%</w:t>
            </w:r>
          </w:p>
        </w:tc>
        <w:tc>
          <w:tcPr>
            <w:tcW w:w="2550" w:type="dxa"/>
            <w:vAlign w:val="center"/>
          </w:tcPr>
          <w:p w14:paraId="5F3A8243" w14:textId="0F026FA2" w:rsidR="2C8B1593" w:rsidRPr="00777766" w:rsidRDefault="5CEE0760" w:rsidP="003911A3">
            <w:pPr>
              <w:pStyle w:val="SCVtablebody"/>
              <w:jc w:val="right"/>
              <w:rPr>
                <w:sz w:val="24"/>
                <w:szCs w:val="24"/>
              </w:rPr>
            </w:pPr>
            <w:r w:rsidRPr="00777766">
              <w:rPr>
                <w:sz w:val="24"/>
                <w:szCs w:val="24"/>
              </w:rPr>
              <w:t>3</w:t>
            </w:r>
            <w:r w:rsidR="16482C2D" w:rsidRPr="00777766">
              <w:rPr>
                <w:sz w:val="24"/>
                <w:szCs w:val="24"/>
              </w:rPr>
              <w:t>%</w:t>
            </w:r>
          </w:p>
        </w:tc>
        <w:tc>
          <w:tcPr>
            <w:tcW w:w="2550" w:type="dxa"/>
            <w:vAlign w:val="center"/>
          </w:tcPr>
          <w:p w14:paraId="5F25FE8E" w14:textId="3CAA8DA1" w:rsidR="2C8B1593" w:rsidRPr="00777766" w:rsidRDefault="5CEE0760" w:rsidP="003911A3">
            <w:pPr>
              <w:pStyle w:val="SCVtablebody"/>
              <w:jc w:val="right"/>
              <w:rPr>
                <w:sz w:val="24"/>
                <w:szCs w:val="24"/>
              </w:rPr>
            </w:pPr>
            <w:r w:rsidRPr="00777766">
              <w:rPr>
                <w:sz w:val="24"/>
                <w:szCs w:val="24"/>
              </w:rPr>
              <w:t>4</w:t>
            </w:r>
            <w:r w:rsidR="426AA09A" w:rsidRPr="00777766">
              <w:rPr>
                <w:sz w:val="24"/>
                <w:szCs w:val="24"/>
              </w:rPr>
              <w:t>%</w:t>
            </w:r>
          </w:p>
        </w:tc>
      </w:tr>
      <w:tr w:rsidR="01ADF4F4" w:rsidRPr="00777766" w14:paraId="43E91BA4" w14:textId="77777777" w:rsidTr="00EC5120">
        <w:trPr>
          <w:trHeight w:val="300"/>
        </w:trPr>
        <w:tc>
          <w:tcPr>
            <w:tcW w:w="2550" w:type="dxa"/>
            <w:vAlign w:val="center"/>
          </w:tcPr>
          <w:p w14:paraId="3CBE2CF2" w14:textId="164E0FA1" w:rsidR="17EA23B0" w:rsidRPr="00A114C3" w:rsidRDefault="17EA23B0" w:rsidP="00EC5120">
            <w:pPr>
              <w:rPr>
                <w:rFonts w:cstheme="minorHAnsi"/>
                <w:b/>
                <w:bCs/>
                <w:color w:val="007586" w:themeColor="text2"/>
                <w:sz w:val="24"/>
                <w:szCs w:val="24"/>
              </w:rPr>
            </w:pPr>
            <w:r w:rsidRPr="00A114C3">
              <w:rPr>
                <w:rFonts w:eastAsia="Arial" w:cstheme="minorHAnsi"/>
                <w:b/>
                <w:bCs/>
                <w:color w:val="007586" w:themeColor="text2"/>
                <w:sz w:val="24"/>
                <w:szCs w:val="24"/>
              </w:rPr>
              <w:t>Cardio Thoracic Surgical</w:t>
            </w:r>
          </w:p>
        </w:tc>
        <w:tc>
          <w:tcPr>
            <w:tcW w:w="2550" w:type="dxa"/>
            <w:vAlign w:val="center"/>
          </w:tcPr>
          <w:p w14:paraId="22AC1CAF" w14:textId="7A8E854A" w:rsidR="47D1FEEC" w:rsidRPr="00777766" w:rsidRDefault="4E08FD5D" w:rsidP="003911A3">
            <w:pPr>
              <w:pStyle w:val="SCVtablebody"/>
              <w:jc w:val="right"/>
              <w:rPr>
                <w:sz w:val="24"/>
                <w:szCs w:val="24"/>
              </w:rPr>
            </w:pPr>
            <w:r w:rsidRPr="00777766">
              <w:rPr>
                <w:sz w:val="24"/>
                <w:szCs w:val="24"/>
              </w:rPr>
              <w:t>1</w:t>
            </w:r>
            <w:r w:rsidR="325B3D72" w:rsidRPr="00777766">
              <w:rPr>
                <w:sz w:val="24"/>
                <w:szCs w:val="24"/>
              </w:rPr>
              <w:t>%</w:t>
            </w:r>
          </w:p>
        </w:tc>
        <w:tc>
          <w:tcPr>
            <w:tcW w:w="2550" w:type="dxa"/>
            <w:vAlign w:val="center"/>
          </w:tcPr>
          <w:p w14:paraId="68F3C6C7" w14:textId="5631A294" w:rsidR="47D1FEEC" w:rsidRPr="00777766" w:rsidRDefault="4E08FD5D" w:rsidP="003911A3">
            <w:pPr>
              <w:pStyle w:val="SCVtablebody"/>
              <w:jc w:val="right"/>
              <w:rPr>
                <w:sz w:val="24"/>
                <w:szCs w:val="24"/>
              </w:rPr>
            </w:pPr>
            <w:r w:rsidRPr="00777766">
              <w:rPr>
                <w:sz w:val="24"/>
                <w:szCs w:val="24"/>
              </w:rPr>
              <w:t>3</w:t>
            </w:r>
            <w:r w:rsidR="3D3DBCE0" w:rsidRPr="00777766">
              <w:rPr>
                <w:sz w:val="24"/>
                <w:szCs w:val="24"/>
              </w:rPr>
              <w:t>%</w:t>
            </w:r>
          </w:p>
        </w:tc>
        <w:tc>
          <w:tcPr>
            <w:tcW w:w="2550" w:type="dxa"/>
            <w:vAlign w:val="center"/>
          </w:tcPr>
          <w:p w14:paraId="41E2911D" w14:textId="228704B8" w:rsidR="47D1FEEC" w:rsidRPr="00777766" w:rsidRDefault="4E08FD5D" w:rsidP="003911A3">
            <w:pPr>
              <w:pStyle w:val="SCVtablebody"/>
              <w:jc w:val="right"/>
              <w:rPr>
                <w:sz w:val="24"/>
                <w:szCs w:val="24"/>
              </w:rPr>
            </w:pPr>
            <w:r w:rsidRPr="00777766">
              <w:rPr>
                <w:sz w:val="24"/>
                <w:szCs w:val="24"/>
              </w:rPr>
              <w:t>4</w:t>
            </w:r>
            <w:r w:rsidR="61B033C1" w:rsidRPr="00777766">
              <w:rPr>
                <w:sz w:val="24"/>
                <w:szCs w:val="24"/>
              </w:rPr>
              <w:t>%</w:t>
            </w:r>
          </w:p>
        </w:tc>
      </w:tr>
      <w:tr w:rsidR="01ADF4F4" w:rsidRPr="00777766" w14:paraId="62959A2C" w14:textId="77777777" w:rsidTr="00EC5120">
        <w:trPr>
          <w:trHeight w:val="300"/>
        </w:trPr>
        <w:tc>
          <w:tcPr>
            <w:tcW w:w="2550" w:type="dxa"/>
            <w:vAlign w:val="center"/>
          </w:tcPr>
          <w:p w14:paraId="409DDFD2" w14:textId="607B4AEA" w:rsidR="01ADF4F4" w:rsidRPr="00A114C3" w:rsidRDefault="01ADF4F4"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Psychiatric Adult Acute Unit</w:t>
            </w:r>
          </w:p>
        </w:tc>
        <w:tc>
          <w:tcPr>
            <w:tcW w:w="2550" w:type="dxa"/>
            <w:vAlign w:val="center"/>
          </w:tcPr>
          <w:p w14:paraId="5282194B" w14:textId="5148F368" w:rsidR="3F608304" w:rsidRPr="00777766" w:rsidRDefault="2699758F" w:rsidP="003911A3">
            <w:pPr>
              <w:pStyle w:val="SCVtablebody"/>
              <w:jc w:val="right"/>
              <w:rPr>
                <w:sz w:val="24"/>
                <w:szCs w:val="24"/>
              </w:rPr>
            </w:pPr>
            <w:r w:rsidRPr="00777766">
              <w:rPr>
                <w:sz w:val="24"/>
                <w:szCs w:val="24"/>
              </w:rPr>
              <w:t>4</w:t>
            </w:r>
            <w:r w:rsidR="4952541A" w:rsidRPr="00777766">
              <w:rPr>
                <w:sz w:val="24"/>
                <w:szCs w:val="24"/>
              </w:rPr>
              <w:t>%</w:t>
            </w:r>
          </w:p>
        </w:tc>
        <w:tc>
          <w:tcPr>
            <w:tcW w:w="2550" w:type="dxa"/>
            <w:vAlign w:val="center"/>
          </w:tcPr>
          <w:p w14:paraId="15328006" w14:textId="08736719" w:rsidR="3F608304" w:rsidRPr="00777766" w:rsidRDefault="2699758F" w:rsidP="003911A3">
            <w:pPr>
              <w:pStyle w:val="SCVtablebody"/>
              <w:jc w:val="right"/>
              <w:rPr>
                <w:sz w:val="24"/>
                <w:szCs w:val="24"/>
              </w:rPr>
            </w:pPr>
            <w:r w:rsidRPr="00777766">
              <w:rPr>
                <w:sz w:val="24"/>
                <w:szCs w:val="24"/>
              </w:rPr>
              <w:t>6</w:t>
            </w:r>
            <w:r w:rsidR="3D3DBCE0" w:rsidRPr="00777766">
              <w:rPr>
                <w:sz w:val="24"/>
                <w:szCs w:val="24"/>
              </w:rPr>
              <w:t>%</w:t>
            </w:r>
          </w:p>
        </w:tc>
        <w:tc>
          <w:tcPr>
            <w:tcW w:w="2550" w:type="dxa"/>
            <w:vAlign w:val="center"/>
          </w:tcPr>
          <w:p w14:paraId="6725F053" w14:textId="7747266B" w:rsidR="3F608304" w:rsidRPr="00777766" w:rsidRDefault="2699758F" w:rsidP="003911A3">
            <w:pPr>
              <w:pStyle w:val="SCVtablebody"/>
              <w:jc w:val="right"/>
              <w:rPr>
                <w:sz w:val="24"/>
                <w:szCs w:val="24"/>
              </w:rPr>
            </w:pPr>
            <w:r w:rsidRPr="00777766">
              <w:rPr>
                <w:sz w:val="24"/>
                <w:szCs w:val="24"/>
              </w:rPr>
              <w:t>3</w:t>
            </w:r>
            <w:r w:rsidR="61B033C1" w:rsidRPr="00777766">
              <w:rPr>
                <w:sz w:val="24"/>
                <w:szCs w:val="24"/>
              </w:rPr>
              <w:t>%</w:t>
            </w:r>
          </w:p>
        </w:tc>
      </w:tr>
      <w:tr w:rsidR="01ADF4F4" w:rsidRPr="00777766" w14:paraId="10EB8413" w14:textId="77777777" w:rsidTr="00EC5120">
        <w:trPr>
          <w:trHeight w:val="300"/>
        </w:trPr>
        <w:tc>
          <w:tcPr>
            <w:tcW w:w="2550" w:type="dxa"/>
            <w:vAlign w:val="center"/>
          </w:tcPr>
          <w:p w14:paraId="14907143" w14:textId="475ED07D" w:rsidR="1C824477" w:rsidRPr="00A114C3" w:rsidRDefault="1C824477" w:rsidP="00EC5120">
            <w:pPr>
              <w:rPr>
                <w:rFonts w:cstheme="minorHAnsi"/>
                <w:b/>
                <w:bCs/>
                <w:color w:val="007586" w:themeColor="text2"/>
                <w:sz w:val="24"/>
                <w:szCs w:val="24"/>
              </w:rPr>
            </w:pPr>
            <w:r w:rsidRPr="00A114C3">
              <w:rPr>
                <w:rFonts w:eastAsia="Arial" w:cstheme="minorHAnsi"/>
                <w:b/>
                <w:bCs/>
                <w:color w:val="007586" w:themeColor="text2"/>
                <w:sz w:val="24"/>
                <w:szCs w:val="24"/>
              </w:rPr>
              <w:t>Residential Aged Care</w:t>
            </w:r>
          </w:p>
        </w:tc>
        <w:tc>
          <w:tcPr>
            <w:tcW w:w="2550" w:type="dxa"/>
            <w:vAlign w:val="center"/>
          </w:tcPr>
          <w:p w14:paraId="02ACA18B" w14:textId="5D58F72E" w:rsidR="32A0F4A7" w:rsidRPr="00777766" w:rsidRDefault="0016387F" w:rsidP="003911A3">
            <w:pPr>
              <w:pStyle w:val="SCVtablebody"/>
              <w:jc w:val="right"/>
              <w:rPr>
                <w:sz w:val="24"/>
                <w:szCs w:val="24"/>
              </w:rPr>
            </w:pPr>
            <w:r w:rsidRPr="00777766">
              <w:rPr>
                <w:sz w:val="24"/>
                <w:szCs w:val="24"/>
              </w:rPr>
              <w:t>4</w:t>
            </w:r>
            <w:r w:rsidR="7D710C9C" w:rsidRPr="00777766">
              <w:rPr>
                <w:sz w:val="24"/>
                <w:szCs w:val="24"/>
              </w:rPr>
              <w:t>%</w:t>
            </w:r>
          </w:p>
        </w:tc>
        <w:tc>
          <w:tcPr>
            <w:tcW w:w="2550" w:type="dxa"/>
            <w:vAlign w:val="center"/>
          </w:tcPr>
          <w:p w14:paraId="73C26DA0" w14:textId="08AFCAA5" w:rsidR="32A0F4A7" w:rsidRPr="00777766" w:rsidRDefault="0016387F" w:rsidP="003911A3">
            <w:pPr>
              <w:pStyle w:val="SCVtablebody"/>
              <w:jc w:val="right"/>
              <w:rPr>
                <w:sz w:val="24"/>
                <w:szCs w:val="24"/>
              </w:rPr>
            </w:pPr>
            <w:r w:rsidRPr="00777766">
              <w:rPr>
                <w:sz w:val="24"/>
                <w:szCs w:val="24"/>
              </w:rPr>
              <w:t>2</w:t>
            </w:r>
            <w:r w:rsidR="6F090E5F" w:rsidRPr="00777766">
              <w:rPr>
                <w:sz w:val="24"/>
                <w:szCs w:val="24"/>
              </w:rPr>
              <w:t>%</w:t>
            </w:r>
          </w:p>
        </w:tc>
        <w:tc>
          <w:tcPr>
            <w:tcW w:w="2550" w:type="dxa"/>
            <w:vAlign w:val="center"/>
          </w:tcPr>
          <w:p w14:paraId="60651597" w14:textId="162B11DE" w:rsidR="32A0F4A7" w:rsidRPr="00777766" w:rsidRDefault="0016387F" w:rsidP="003911A3">
            <w:pPr>
              <w:pStyle w:val="SCVtablebody"/>
              <w:jc w:val="right"/>
              <w:rPr>
                <w:sz w:val="24"/>
                <w:szCs w:val="24"/>
              </w:rPr>
            </w:pPr>
            <w:r w:rsidRPr="00777766">
              <w:rPr>
                <w:sz w:val="24"/>
                <w:szCs w:val="24"/>
              </w:rPr>
              <w:t>3</w:t>
            </w:r>
            <w:r w:rsidR="6E0372B0" w:rsidRPr="00777766">
              <w:rPr>
                <w:sz w:val="24"/>
                <w:szCs w:val="24"/>
              </w:rPr>
              <w:t>%</w:t>
            </w:r>
          </w:p>
        </w:tc>
      </w:tr>
      <w:tr w:rsidR="01ADF4F4" w:rsidRPr="00777766" w14:paraId="0C70B64E" w14:textId="77777777" w:rsidTr="00EC5120">
        <w:trPr>
          <w:trHeight w:val="300"/>
        </w:trPr>
        <w:tc>
          <w:tcPr>
            <w:tcW w:w="2550" w:type="dxa"/>
            <w:vAlign w:val="center"/>
          </w:tcPr>
          <w:p w14:paraId="58573973" w14:textId="13F95C2A" w:rsidR="1C824477" w:rsidRPr="00A114C3" w:rsidRDefault="1C824477" w:rsidP="00EC5120">
            <w:pPr>
              <w:rPr>
                <w:rFonts w:cstheme="minorHAnsi"/>
                <w:b/>
                <w:bCs/>
                <w:color w:val="007586" w:themeColor="text2"/>
                <w:sz w:val="24"/>
                <w:szCs w:val="24"/>
              </w:rPr>
            </w:pPr>
            <w:r w:rsidRPr="00A114C3">
              <w:rPr>
                <w:rFonts w:eastAsia="Arial" w:cstheme="minorHAnsi"/>
                <w:b/>
                <w:bCs/>
                <w:color w:val="007586" w:themeColor="text2"/>
                <w:sz w:val="24"/>
                <w:szCs w:val="24"/>
              </w:rPr>
              <w:lastRenderedPageBreak/>
              <w:t xml:space="preserve">Oncology – </w:t>
            </w:r>
            <w:r w:rsidR="5D03ADF1" w:rsidRPr="00A114C3">
              <w:rPr>
                <w:rFonts w:eastAsia="Arial" w:cstheme="minorHAnsi"/>
                <w:b/>
                <w:bCs/>
                <w:color w:val="007586" w:themeColor="text2"/>
                <w:sz w:val="24"/>
                <w:szCs w:val="24"/>
              </w:rPr>
              <w:t>M</w:t>
            </w:r>
            <w:r w:rsidRPr="00A114C3">
              <w:rPr>
                <w:rFonts w:eastAsia="Arial" w:cstheme="minorHAnsi"/>
                <w:b/>
                <w:bCs/>
                <w:color w:val="007586" w:themeColor="text2"/>
                <w:sz w:val="24"/>
                <w:szCs w:val="24"/>
              </w:rPr>
              <w:t>edical</w:t>
            </w:r>
          </w:p>
        </w:tc>
        <w:tc>
          <w:tcPr>
            <w:tcW w:w="2550" w:type="dxa"/>
            <w:vAlign w:val="center"/>
          </w:tcPr>
          <w:p w14:paraId="390E9D23" w14:textId="3FBBEA05" w:rsidR="2077D8D8" w:rsidRPr="00777766" w:rsidRDefault="7A11A416" w:rsidP="003911A3">
            <w:pPr>
              <w:pStyle w:val="SCVtablebody"/>
              <w:jc w:val="right"/>
              <w:rPr>
                <w:sz w:val="24"/>
                <w:szCs w:val="24"/>
              </w:rPr>
            </w:pPr>
            <w:r w:rsidRPr="00777766">
              <w:rPr>
                <w:sz w:val="24"/>
                <w:szCs w:val="24"/>
              </w:rPr>
              <w:t>3</w:t>
            </w:r>
            <w:r w:rsidR="7D710C9C" w:rsidRPr="00777766">
              <w:rPr>
                <w:sz w:val="24"/>
                <w:szCs w:val="24"/>
              </w:rPr>
              <w:t>%</w:t>
            </w:r>
          </w:p>
        </w:tc>
        <w:tc>
          <w:tcPr>
            <w:tcW w:w="2550" w:type="dxa"/>
            <w:vAlign w:val="center"/>
          </w:tcPr>
          <w:p w14:paraId="2508E99E" w14:textId="0135E179" w:rsidR="2077D8D8" w:rsidRPr="00777766" w:rsidRDefault="7A11A416" w:rsidP="003911A3">
            <w:pPr>
              <w:pStyle w:val="SCVtablebody"/>
              <w:jc w:val="right"/>
              <w:rPr>
                <w:sz w:val="24"/>
                <w:szCs w:val="24"/>
              </w:rPr>
            </w:pPr>
            <w:r w:rsidRPr="00777766">
              <w:rPr>
                <w:sz w:val="24"/>
                <w:szCs w:val="24"/>
              </w:rPr>
              <w:t>0</w:t>
            </w:r>
            <w:r w:rsidR="1CC0CC32" w:rsidRPr="00777766">
              <w:rPr>
                <w:sz w:val="24"/>
                <w:szCs w:val="24"/>
              </w:rPr>
              <w:t>%</w:t>
            </w:r>
          </w:p>
        </w:tc>
        <w:tc>
          <w:tcPr>
            <w:tcW w:w="2550" w:type="dxa"/>
            <w:vAlign w:val="center"/>
          </w:tcPr>
          <w:p w14:paraId="29C13707" w14:textId="598A67E7" w:rsidR="2077D8D8" w:rsidRPr="00777766" w:rsidRDefault="7A11A416" w:rsidP="003911A3">
            <w:pPr>
              <w:pStyle w:val="SCVtablebody"/>
              <w:jc w:val="right"/>
              <w:rPr>
                <w:sz w:val="24"/>
                <w:szCs w:val="24"/>
              </w:rPr>
            </w:pPr>
            <w:r w:rsidRPr="00777766">
              <w:rPr>
                <w:sz w:val="24"/>
                <w:szCs w:val="24"/>
              </w:rPr>
              <w:t>3</w:t>
            </w:r>
            <w:r w:rsidR="6E0372B0" w:rsidRPr="00777766">
              <w:rPr>
                <w:sz w:val="24"/>
                <w:szCs w:val="24"/>
              </w:rPr>
              <w:t>%</w:t>
            </w:r>
          </w:p>
        </w:tc>
      </w:tr>
      <w:tr w:rsidR="01ADF4F4" w:rsidRPr="00777766" w14:paraId="7635B511" w14:textId="77777777" w:rsidTr="00EC5120">
        <w:trPr>
          <w:trHeight w:val="300"/>
        </w:trPr>
        <w:tc>
          <w:tcPr>
            <w:tcW w:w="2550" w:type="dxa"/>
            <w:vAlign w:val="center"/>
          </w:tcPr>
          <w:p w14:paraId="5C72F0B6" w14:textId="406F6D6C" w:rsidR="31295860" w:rsidRPr="00A114C3" w:rsidRDefault="31295860" w:rsidP="00EC5120">
            <w:pPr>
              <w:spacing w:before="80" w:after="60"/>
              <w:rPr>
                <w:rFonts w:cstheme="minorHAnsi"/>
                <w:b/>
                <w:bCs/>
                <w:color w:val="007586" w:themeColor="text2"/>
                <w:sz w:val="24"/>
                <w:szCs w:val="24"/>
              </w:rPr>
            </w:pPr>
            <w:r w:rsidRPr="00A114C3">
              <w:rPr>
                <w:rFonts w:eastAsia="Arial" w:cstheme="minorHAnsi"/>
                <w:b/>
                <w:bCs/>
                <w:color w:val="007586" w:themeColor="text2"/>
                <w:sz w:val="24"/>
                <w:szCs w:val="24"/>
              </w:rPr>
              <w:t>Gastroenterology</w:t>
            </w:r>
          </w:p>
        </w:tc>
        <w:tc>
          <w:tcPr>
            <w:tcW w:w="2550" w:type="dxa"/>
            <w:vAlign w:val="center"/>
          </w:tcPr>
          <w:p w14:paraId="2AAB7022" w14:textId="6799C6B5" w:rsidR="01039436" w:rsidRPr="00777766" w:rsidRDefault="5DE9E8A7" w:rsidP="003911A3">
            <w:pPr>
              <w:pStyle w:val="SCVtablebody"/>
              <w:jc w:val="right"/>
              <w:rPr>
                <w:sz w:val="24"/>
                <w:szCs w:val="24"/>
              </w:rPr>
            </w:pPr>
            <w:r w:rsidRPr="00777766">
              <w:rPr>
                <w:sz w:val="24"/>
                <w:szCs w:val="24"/>
              </w:rPr>
              <w:t>1</w:t>
            </w:r>
            <w:r w:rsidR="55C945E7" w:rsidRPr="00777766">
              <w:rPr>
                <w:sz w:val="24"/>
                <w:szCs w:val="24"/>
              </w:rPr>
              <w:t>%</w:t>
            </w:r>
          </w:p>
        </w:tc>
        <w:tc>
          <w:tcPr>
            <w:tcW w:w="2550" w:type="dxa"/>
            <w:vAlign w:val="center"/>
          </w:tcPr>
          <w:p w14:paraId="150F3285" w14:textId="469C4687" w:rsidR="01039436" w:rsidRPr="00777766" w:rsidRDefault="5DE9E8A7" w:rsidP="003911A3">
            <w:pPr>
              <w:pStyle w:val="SCVtablebody"/>
              <w:jc w:val="right"/>
              <w:rPr>
                <w:sz w:val="24"/>
                <w:szCs w:val="24"/>
              </w:rPr>
            </w:pPr>
            <w:r w:rsidRPr="00777766">
              <w:rPr>
                <w:sz w:val="24"/>
                <w:szCs w:val="24"/>
              </w:rPr>
              <w:t>2</w:t>
            </w:r>
            <w:r w:rsidR="1CC0CC32" w:rsidRPr="00777766">
              <w:rPr>
                <w:sz w:val="24"/>
                <w:szCs w:val="24"/>
              </w:rPr>
              <w:t>%</w:t>
            </w:r>
          </w:p>
        </w:tc>
        <w:tc>
          <w:tcPr>
            <w:tcW w:w="2550" w:type="dxa"/>
            <w:vAlign w:val="center"/>
          </w:tcPr>
          <w:p w14:paraId="1B796C7A" w14:textId="69BEB444" w:rsidR="01039436" w:rsidRPr="00777766" w:rsidRDefault="5DE9E8A7" w:rsidP="003911A3">
            <w:pPr>
              <w:pStyle w:val="SCVtablebody"/>
              <w:jc w:val="right"/>
              <w:rPr>
                <w:sz w:val="24"/>
                <w:szCs w:val="24"/>
              </w:rPr>
            </w:pPr>
            <w:r w:rsidRPr="00777766">
              <w:rPr>
                <w:sz w:val="24"/>
                <w:szCs w:val="24"/>
              </w:rPr>
              <w:t>3</w:t>
            </w:r>
            <w:r w:rsidR="2BAD45BF" w:rsidRPr="00777766">
              <w:rPr>
                <w:sz w:val="24"/>
                <w:szCs w:val="24"/>
              </w:rPr>
              <w:t>%</w:t>
            </w:r>
          </w:p>
        </w:tc>
      </w:tr>
      <w:tr w:rsidR="01ADF4F4" w:rsidRPr="00777766" w14:paraId="4BD51ACB" w14:textId="77777777" w:rsidTr="00EC5120">
        <w:trPr>
          <w:trHeight w:val="300"/>
        </w:trPr>
        <w:tc>
          <w:tcPr>
            <w:tcW w:w="2550" w:type="dxa"/>
            <w:vAlign w:val="center"/>
          </w:tcPr>
          <w:p w14:paraId="5D4C18D4" w14:textId="33BC82E6" w:rsidR="31295860" w:rsidRPr="00A114C3" w:rsidRDefault="31295860" w:rsidP="00EC5120">
            <w:pPr>
              <w:rPr>
                <w:rFonts w:cstheme="minorHAnsi"/>
                <w:b/>
                <w:bCs/>
                <w:color w:val="007586" w:themeColor="text2"/>
                <w:sz w:val="24"/>
                <w:szCs w:val="24"/>
              </w:rPr>
            </w:pPr>
            <w:r w:rsidRPr="00A114C3">
              <w:rPr>
                <w:rFonts w:eastAsia="Arial" w:cstheme="minorHAnsi"/>
                <w:b/>
                <w:bCs/>
                <w:color w:val="007586" w:themeColor="text2"/>
                <w:sz w:val="24"/>
                <w:szCs w:val="24"/>
              </w:rPr>
              <w:t>Geriatric</w:t>
            </w:r>
          </w:p>
        </w:tc>
        <w:tc>
          <w:tcPr>
            <w:tcW w:w="2550" w:type="dxa"/>
            <w:vAlign w:val="center"/>
          </w:tcPr>
          <w:p w14:paraId="6E063A83" w14:textId="1EB583AD" w:rsidR="5153FBE3" w:rsidRPr="00777766" w:rsidRDefault="2D1C76CE" w:rsidP="003911A3">
            <w:pPr>
              <w:pStyle w:val="SCVtablebody"/>
              <w:jc w:val="right"/>
              <w:rPr>
                <w:sz w:val="24"/>
                <w:szCs w:val="24"/>
              </w:rPr>
            </w:pPr>
            <w:r w:rsidRPr="00777766">
              <w:rPr>
                <w:sz w:val="24"/>
                <w:szCs w:val="24"/>
              </w:rPr>
              <w:t>3</w:t>
            </w:r>
            <w:r w:rsidR="55C945E7" w:rsidRPr="00777766">
              <w:rPr>
                <w:sz w:val="24"/>
                <w:szCs w:val="24"/>
              </w:rPr>
              <w:t>%</w:t>
            </w:r>
          </w:p>
        </w:tc>
        <w:tc>
          <w:tcPr>
            <w:tcW w:w="2550" w:type="dxa"/>
            <w:vAlign w:val="center"/>
          </w:tcPr>
          <w:p w14:paraId="148B5E1E" w14:textId="7D9F9C68" w:rsidR="5153FBE3" w:rsidRPr="00777766" w:rsidRDefault="2D1C76CE" w:rsidP="003911A3">
            <w:pPr>
              <w:pStyle w:val="SCVtablebody"/>
              <w:jc w:val="right"/>
              <w:rPr>
                <w:sz w:val="24"/>
                <w:szCs w:val="24"/>
              </w:rPr>
            </w:pPr>
            <w:r w:rsidRPr="00777766">
              <w:rPr>
                <w:sz w:val="24"/>
                <w:szCs w:val="24"/>
              </w:rPr>
              <w:t>1</w:t>
            </w:r>
            <w:r w:rsidR="54C4CAEC" w:rsidRPr="00777766">
              <w:rPr>
                <w:sz w:val="24"/>
                <w:szCs w:val="24"/>
              </w:rPr>
              <w:t>%</w:t>
            </w:r>
          </w:p>
        </w:tc>
        <w:tc>
          <w:tcPr>
            <w:tcW w:w="2550" w:type="dxa"/>
            <w:vAlign w:val="center"/>
          </w:tcPr>
          <w:p w14:paraId="4C44A632" w14:textId="401FB6B8" w:rsidR="5153FBE3" w:rsidRPr="00777766" w:rsidRDefault="2D1C76CE" w:rsidP="003911A3">
            <w:pPr>
              <w:pStyle w:val="SCVtablebody"/>
              <w:jc w:val="right"/>
              <w:rPr>
                <w:sz w:val="24"/>
                <w:szCs w:val="24"/>
              </w:rPr>
            </w:pPr>
            <w:r w:rsidRPr="00777766">
              <w:rPr>
                <w:sz w:val="24"/>
                <w:szCs w:val="24"/>
              </w:rPr>
              <w:t>2</w:t>
            </w:r>
            <w:r w:rsidR="2BAD45BF" w:rsidRPr="00777766">
              <w:rPr>
                <w:sz w:val="24"/>
                <w:szCs w:val="24"/>
              </w:rPr>
              <w:t>%</w:t>
            </w:r>
          </w:p>
        </w:tc>
      </w:tr>
      <w:tr w:rsidR="01ADF4F4" w:rsidRPr="00777766" w14:paraId="7E915C09" w14:textId="77777777" w:rsidTr="00EC5120">
        <w:trPr>
          <w:trHeight w:val="300"/>
        </w:trPr>
        <w:tc>
          <w:tcPr>
            <w:tcW w:w="2550" w:type="dxa"/>
            <w:vAlign w:val="center"/>
          </w:tcPr>
          <w:p w14:paraId="197C7DBC" w14:textId="4DEDAEA7" w:rsidR="31295860" w:rsidRPr="00A114C3" w:rsidRDefault="31295860" w:rsidP="00EC5120">
            <w:pPr>
              <w:rPr>
                <w:rFonts w:cstheme="minorHAnsi"/>
                <w:b/>
                <w:bCs/>
                <w:color w:val="007586" w:themeColor="text2"/>
                <w:sz w:val="24"/>
                <w:szCs w:val="24"/>
              </w:rPr>
            </w:pPr>
            <w:r w:rsidRPr="00A114C3">
              <w:rPr>
                <w:rFonts w:eastAsia="Arial" w:cstheme="minorHAnsi"/>
                <w:b/>
                <w:bCs/>
                <w:color w:val="007586" w:themeColor="text2"/>
                <w:sz w:val="24"/>
                <w:szCs w:val="24"/>
              </w:rPr>
              <w:t>Ear Nose and Throat</w:t>
            </w:r>
          </w:p>
        </w:tc>
        <w:tc>
          <w:tcPr>
            <w:tcW w:w="2550" w:type="dxa"/>
            <w:vAlign w:val="center"/>
          </w:tcPr>
          <w:p w14:paraId="56CE50E4" w14:textId="54D14FAE" w:rsidR="2436D8DE" w:rsidRPr="00777766" w:rsidRDefault="715AE2E7" w:rsidP="003911A3">
            <w:pPr>
              <w:pStyle w:val="SCVtablebody"/>
              <w:jc w:val="right"/>
              <w:rPr>
                <w:sz w:val="24"/>
                <w:szCs w:val="24"/>
              </w:rPr>
            </w:pPr>
            <w:r w:rsidRPr="00777766">
              <w:rPr>
                <w:sz w:val="24"/>
                <w:szCs w:val="24"/>
              </w:rPr>
              <w:t>0</w:t>
            </w:r>
            <w:r w:rsidR="6BC2F1CA" w:rsidRPr="00777766">
              <w:rPr>
                <w:sz w:val="24"/>
                <w:szCs w:val="24"/>
              </w:rPr>
              <w:t>%</w:t>
            </w:r>
          </w:p>
        </w:tc>
        <w:tc>
          <w:tcPr>
            <w:tcW w:w="2550" w:type="dxa"/>
            <w:vAlign w:val="center"/>
          </w:tcPr>
          <w:p w14:paraId="3D078878" w14:textId="60A7F91C" w:rsidR="2436D8DE" w:rsidRPr="00777766" w:rsidRDefault="715AE2E7" w:rsidP="003911A3">
            <w:pPr>
              <w:pStyle w:val="SCVtablebody"/>
              <w:jc w:val="right"/>
              <w:rPr>
                <w:sz w:val="24"/>
                <w:szCs w:val="24"/>
              </w:rPr>
            </w:pPr>
            <w:r w:rsidRPr="00777766">
              <w:rPr>
                <w:sz w:val="24"/>
                <w:szCs w:val="24"/>
              </w:rPr>
              <w:t>1</w:t>
            </w:r>
            <w:r w:rsidR="54C4CAEC" w:rsidRPr="00777766">
              <w:rPr>
                <w:sz w:val="24"/>
                <w:szCs w:val="24"/>
              </w:rPr>
              <w:t>%</w:t>
            </w:r>
          </w:p>
        </w:tc>
        <w:tc>
          <w:tcPr>
            <w:tcW w:w="2550" w:type="dxa"/>
            <w:vAlign w:val="center"/>
          </w:tcPr>
          <w:p w14:paraId="2C385074" w14:textId="393B07BF" w:rsidR="2436D8DE" w:rsidRPr="00777766" w:rsidRDefault="715AE2E7" w:rsidP="003911A3">
            <w:pPr>
              <w:pStyle w:val="SCVtablebody"/>
              <w:jc w:val="right"/>
              <w:rPr>
                <w:sz w:val="24"/>
                <w:szCs w:val="24"/>
              </w:rPr>
            </w:pPr>
            <w:r w:rsidRPr="00777766">
              <w:rPr>
                <w:sz w:val="24"/>
                <w:szCs w:val="24"/>
              </w:rPr>
              <w:t>2</w:t>
            </w:r>
            <w:r w:rsidR="2C19DDF7" w:rsidRPr="00777766">
              <w:rPr>
                <w:sz w:val="24"/>
                <w:szCs w:val="24"/>
              </w:rPr>
              <w:t>%</w:t>
            </w:r>
          </w:p>
        </w:tc>
      </w:tr>
    </w:tbl>
    <w:p w14:paraId="7B35B632" w14:textId="584BBAA2" w:rsidR="00784D7A" w:rsidRPr="006F1353" w:rsidRDefault="5C012B42" w:rsidP="57EA0190">
      <w:pPr>
        <w:pStyle w:val="Heading2"/>
        <w:rPr>
          <w:color w:val="007586" w:themeColor="text2"/>
        </w:rPr>
      </w:pPr>
      <w:bookmarkStart w:id="53" w:name="_Toc238026659"/>
      <w:r w:rsidRPr="006F1353">
        <w:rPr>
          <w:color w:val="007586" w:themeColor="text2"/>
        </w:rPr>
        <w:t>Sentinel</w:t>
      </w:r>
      <w:r w:rsidR="5811132B" w:rsidRPr="006F1353">
        <w:rPr>
          <w:color w:val="007586" w:themeColor="text2"/>
        </w:rPr>
        <w:t xml:space="preserve"> </w:t>
      </w:r>
      <w:r w:rsidRPr="006F1353">
        <w:rPr>
          <w:color w:val="007586" w:themeColor="text2"/>
        </w:rPr>
        <w:t>event</w:t>
      </w:r>
      <w:r w:rsidR="5811132B" w:rsidRPr="006F1353">
        <w:rPr>
          <w:color w:val="007586" w:themeColor="text2"/>
        </w:rPr>
        <w:t xml:space="preserve"> </w:t>
      </w:r>
      <w:r w:rsidRPr="006F1353">
        <w:rPr>
          <w:color w:val="007586" w:themeColor="text2"/>
        </w:rPr>
        <w:t>peer</w:t>
      </w:r>
      <w:r w:rsidR="5811132B" w:rsidRPr="006F1353">
        <w:rPr>
          <w:color w:val="007586" w:themeColor="text2"/>
        </w:rPr>
        <w:t xml:space="preserve"> </w:t>
      </w:r>
      <w:r w:rsidRPr="006F1353">
        <w:rPr>
          <w:color w:val="007586" w:themeColor="text2"/>
        </w:rPr>
        <w:t>group</w:t>
      </w:r>
      <w:r w:rsidR="5811132B" w:rsidRPr="006F1353">
        <w:rPr>
          <w:color w:val="007586" w:themeColor="text2"/>
        </w:rPr>
        <w:t xml:space="preserve"> </w:t>
      </w:r>
      <w:r w:rsidRPr="006F1353">
        <w:rPr>
          <w:color w:val="007586" w:themeColor="text2"/>
        </w:rPr>
        <w:t>and</w:t>
      </w:r>
      <w:r w:rsidR="5811132B" w:rsidRPr="006F1353">
        <w:rPr>
          <w:color w:val="007586" w:themeColor="text2"/>
        </w:rPr>
        <w:t xml:space="preserve"> </w:t>
      </w:r>
      <w:r w:rsidRPr="006F1353">
        <w:rPr>
          <w:color w:val="007586" w:themeColor="text2"/>
        </w:rPr>
        <w:t>location</w:t>
      </w:r>
      <w:bookmarkEnd w:id="52"/>
      <w:bookmarkEnd w:id="53"/>
    </w:p>
    <w:p w14:paraId="2EFBB65D" w14:textId="469FDB98" w:rsidR="00B273A7" w:rsidRPr="00B273A7" w:rsidRDefault="3E1F14AF" w:rsidP="0057201C">
      <w:pPr>
        <w:pStyle w:val="SCVbody"/>
      </w:pPr>
      <w:r>
        <w:t>Table 22</w:t>
      </w:r>
      <w:r w:rsidR="1EA1C8CE">
        <w:t xml:space="preserve"> </w:t>
      </w:r>
      <w:r w:rsidR="00B273A7">
        <w:t xml:space="preserve">shows that most sentinel events </w:t>
      </w:r>
      <w:r w:rsidR="00EB7B82">
        <w:t xml:space="preserve">over the past </w:t>
      </w:r>
      <w:r w:rsidR="3092E064">
        <w:t>three</w:t>
      </w:r>
      <w:r w:rsidR="00EB7B82">
        <w:t xml:space="preserve"> years </w:t>
      </w:r>
      <w:r w:rsidR="00CB70AA">
        <w:t>occurred</w:t>
      </w:r>
      <w:r w:rsidR="00B273A7">
        <w:t xml:space="preserve"> in </w:t>
      </w:r>
      <w:r w:rsidR="004C3276">
        <w:t xml:space="preserve">major and </w:t>
      </w:r>
      <w:r w:rsidR="00B273A7">
        <w:t xml:space="preserve">tertiary hospitals, which </w:t>
      </w:r>
      <w:r w:rsidR="004C3276">
        <w:t>may be explained by</w:t>
      </w:r>
      <w:r w:rsidR="00B273A7">
        <w:t xml:space="preserve"> the </w:t>
      </w:r>
      <w:r w:rsidR="00377070">
        <w:t xml:space="preserve">complexity and </w:t>
      </w:r>
      <w:r w:rsidR="00B273A7">
        <w:t>numbers of patients they admit across Victoria.</w:t>
      </w:r>
      <w:r w:rsidR="004C3276">
        <w:t xml:space="preserve"> There has be</w:t>
      </w:r>
      <w:r w:rsidR="00A72FA2">
        <w:t>e</w:t>
      </w:r>
      <w:r w:rsidR="004C3276">
        <w:t>n an increase in the number of sentinel events reported by private health services since 2022</w:t>
      </w:r>
      <w:r w:rsidR="005F2EBC">
        <w:t>–</w:t>
      </w:r>
      <w:r w:rsidR="004C3276">
        <w:t>23</w:t>
      </w:r>
      <w:r w:rsidR="0054148E">
        <w:t>.</w:t>
      </w:r>
      <w:r w:rsidR="00DB35F6">
        <w:t xml:space="preserve"> </w:t>
      </w:r>
      <w:r w:rsidR="0054148E">
        <w:t>T</w:t>
      </w:r>
      <w:r w:rsidR="00DB35F6">
        <w:t xml:space="preserve">his </w:t>
      </w:r>
      <w:r w:rsidR="0054148E">
        <w:t xml:space="preserve">could </w:t>
      </w:r>
      <w:r w:rsidR="004C3276">
        <w:t xml:space="preserve">represent </w:t>
      </w:r>
      <w:r w:rsidR="00DB35F6">
        <w:t>an increasing positive health service safety culture contributing to quality and safety improvements.</w:t>
      </w:r>
    </w:p>
    <w:p w14:paraId="1D29F81D" w14:textId="40E58B20" w:rsidR="005C0AEA" w:rsidRDefault="1F753838" w:rsidP="001B289D">
      <w:pPr>
        <w:pStyle w:val="SCVfigurecaption"/>
      </w:pPr>
      <w:r>
        <w:t>Table 22</w:t>
      </w:r>
      <w:r w:rsidR="002008E3">
        <w:t>:</w:t>
      </w:r>
      <w:r w:rsidR="00824FA7">
        <w:t xml:space="preserve"> </w:t>
      </w:r>
      <w:r w:rsidR="004E558C">
        <w:t>Percentage</w:t>
      </w:r>
      <w:r w:rsidR="00824FA7">
        <w:t xml:space="preserve"> </w:t>
      </w:r>
      <w:r w:rsidR="004E558C">
        <w:t>of</w:t>
      </w:r>
      <w:r w:rsidR="00824FA7">
        <w:t xml:space="preserve"> </w:t>
      </w:r>
      <w:r w:rsidR="004E558C">
        <w:t>sentinel</w:t>
      </w:r>
      <w:r w:rsidR="00824FA7">
        <w:t xml:space="preserve"> </w:t>
      </w:r>
      <w:r w:rsidR="004E558C">
        <w:t>events</w:t>
      </w:r>
      <w:r w:rsidR="00824FA7">
        <w:t xml:space="preserve"> </w:t>
      </w:r>
      <w:r w:rsidR="004E558C">
        <w:t>by</w:t>
      </w:r>
      <w:r w:rsidR="00824FA7">
        <w:t xml:space="preserve"> </w:t>
      </w:r>
      <w:r w:rsidR="004E558C">
        <w:t>health</w:t>
      </w:r>
      <w:r w:rsidR="00824FA7">
        <w:t xml:space="preserve"> </w:t>
      </w:r>
      <w:r w:rsidR="004E558C">
        <w:t>service</w:t>
      </w:r>
      <w:r w:rsidR="00824FA7">
        <w:t xml:space="preserve"> </w:t>
      </w:r>
      <w:r w:rsidR="004E558C">
        <w:t>peer</w:t>
      </w:r>
      <w:r w:rsidR="00824FA7">
        <w:t xml:space="preserve"> </w:t>
      </w:r>
      <w:r w:rsidR="004E558C">
        <w:t>group</w:t>
      </w:r>
      <w:r w:rsidR="00845E81">
        <w:t>, 2022–23 to 2024–25</w:t>
      </w:r>
    </w:p>
    <w:tbl>
      <w:tblPr>
        <w:tblStyle w:val="TableGrid"/>
        <w:tblW w:w="0" w:type="auto"/>
        <w:tblLook w:val="06A0" w:firstRow="1" w:lastRow="0" w:firstColumn="1" w:lastColumn="0" w:noHBand="1" w:noVBand="1"/>
      </w:tblPr>
      <w:tblGrid>
        <w:gridCol w:w="2550"/>
        <w:gridCol w:w="2550"/>
        <w:gridCol w:w="2550"/>
        <w:gridCol w:w="2550"/>
      </w:tblGrid>
      <w:tr w:rsidR="271C3A84" w:rsidRPr="00050912" w14:paraId="41573834" w14:textId="77777777" w:rsidTr="00F517BB">
        <w:trPr>
          <w:cnfStyle w:val="100000000000" w:firstRow="1" w:lastRow="0" w:firstColumn="0" w:lastColumn="0" w:oddVBand="0" w:evenVBand="0" w:oddHBand="0" w:evenHBand="0" w:firstRowFirstColumn="0" w:firstRowLastColumn="0" w:lastRowFirstColumn="0" w:lastRowLastColumn="0"/>
          <w:trHeight w:val="285"/>
        </w:trPr>
        <w:tc>
          <w:tcPr>
            <w:tcW w:w="2550" w:type="dxa"/>
          </w:tcPr>
          <w:p w14:paraId="34CBDF4B" w14:textId="3D5F620D" w:rsidR="271C3A84" w:rsidRPr="00050912" w:rsidRDefault="271C3A84" w:rsidP="271C3A84">
            <w:pPr>
              <w:pStyle w:val="SCVfigurecaption"/>
              <w:rPr>
                <w:rFonts w:ascii="Arial" w:eastAsia="Arial" w:hAnsi="Arial" w:cs="Arial"/>
                <w:color w:val="007586" w:themeColor="accent2"/>
                <w:szCs w:val="24"/>
                <w:lang w:val="en-US"/>
              </w:rPr>
            </w:pPr>
            <w:r w:rsidRPr="00050912">
              <w:rPr>
                <w:rFonts w:ascii="Arial" w:eastAsia="Arial" w:hAnsi="Arial" w:cs="Arial"/>
                <w:color w:val="007586" w:themeColor="accent2"/>
                <w:szCs w:val="24"/>
              </w:rPr>
              <w:t>Peer group</w:t>
            </w:r>
          </w:p>
        </w:tc>
        <w:tc>
          <w:tcPr>
            <w:tcW w:w="2550" w:type="dxa"/>
            <w:vAlign w:val="center"/>
          </w:tcPr>
          <w:p w14:paraId="5FF8C80F" w14:textId="40D42984" w:rsidR="271C3A84" w:rsidRPr="00050912" w:rsidRDefault="271C3A84" w:rsidP="00F517BB">
            <w:pPr>
              <w:pStyle w:val="SCVfigurecaption"/>
              <w:jc w:val="right"/>
              <w:rPr>
                <w:rFonts w:ascii="Arial" w:eastAsia="Arial" w:hAnsi="Arial" w:cs="Arial"/>
                <w:color w:val="007586" w:themeColor="accent2"/>
                <w:szCs w:val="24"/>
                <w:lang w:val="en-US"/>
              </w:rPr>
            </w:pPr>
            <w:r w:rsidRPr="00050912">
              <w:rPr>
                <w:rFonts w:ascii="Arial" w:eastAsia="Arial" w:hAnsi="Arial" w:cs="Arial"/>
                <w:color w:val="007586" w:themeColor="accent2"/>
                <w:szCs w:val="24"/>
              </w:rPr>
              <w:t>2022–23</w:t>
            </w:r>
          </w:p>
        </w:tc>
        <w:tc>
          <w:tcPr>
            <w:tcW w:w="2550" w:type="dxa"/>
            <w:vAlign w:val="center"/>
          </w:tcPr>
          <w:p w14:paraId="548BCC0B" w14:textId="2AB1D7AB" w:rsidR="271C3A84" w:rsidRPr="00050912" w:rsidRDefault="271C3A84" w:rsidP="00F517BB">
            <w:pPr>
              <w:pStyle w:val="SCVfigurecaption"/>
              <w:jc w:val="right"/>
              <w:rPr>
                <w:rFonts w:ascii="Arial" w:eastAsia="Arial" w:hAnsi="Arial" w:cs="Arial"/>
                <w:color w:val="007586" w:themeColor="accent2"/>
                <w:szCs w:val="24"/>
                <w:lang w:val="en-US"/>
              </w:rPr>
            </w:pPr>
            <w:r w:rsidRPr="00050912">
              <w:rPr>
                <w:rFonts w:ascii="Arial" w:eastAsia="Arial" w:hAnsi="Arial" w:cs="Arial"/>
                <w:color w:val="007586" w:themeColor="accent2"/>
                <w:szCs w:val="24"/>
              </w:rPr>
              <w:t>2023–24</w:t>
            </w:r>
          </w:p>
        </w:tc>
        <w:tc>
          <w:tcPr>
            <w:tcW w:w="2550" w:type="dxa"/>
            <w:vAlign w:val="center"/>
          </w:tcPr>
          <w:p w14:paraId="670227F3" w14:textId="17B8529B" w:rsidR="271C3A84" w:rsidRPr="00050912" w:rsidRDefault="271C3A84" w:rsidP="00F517BB">
            <w:pPr>
              <w:pStyle w:val="SCVfigurecaption"/>
              <w:jc w:val="right"/>
              <w:rPr>
                <w:rFonts w:ascii="Arial" w:eastAsia="Arial" w:hAnsi="Arial" w:cs="Arial"/>
                <w:color w:val="007586" w:themeColor="accent2"/>
                <w:szCs w:val="24"/>
                <w:lang w:val="en-US"/>
              </w:rPr>
            </w:pPr>
            <w:r w:rsidRPr="00050912">
              <w:rPr>
                <w:rFonts w:ascii="Arial" w:eastAsia="Arial" w:hAnsi="Arial" w:cs="Arial"/>
                <w:color w:val="007586" w:themeColor="accent2"/>
                <w:szCs w:val="24"/>
              </w:rPr>
              <w:t>2024–25</w:t>
            </w:r>
          </w:p>
        </w:tc>
      </w:tr>
      <w:tr w:rsidR="271C3A84" w:rsidRPr="00050912" w14:paraId="6AA234E2" w14:textId="77777777" w:rsidTr="00F517BB">
        <w:trPr>
          <w:trHeight w:val="285"/>
        </w:trPr>
        <w:tc>
          <w:tcPr>
            <w:tcW w:w="2550" w:type="dxa"/>
          </w:tcPr>
          <w:p w14:paraId="26F25D6D" w14:textId="7661D6CC"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Major</w:t>
            </w:r>
          </w:p>
        </w:tc>
        <w:tc>
          <w:tcPr>
            <w:tcW w:w="2550" w:type="dxa"/>
            <w:vAlign w:val="center"/>
          </w:tcPr>
          <w:p w14:paraId="22012AC6" w14:textId="1617402C"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29%</w:t>
            </w:r>
          </w:p>
        </w:tc>
        <w:tc>
          <w:tcPr>
            <w:tcW w:w="2550" w:type="dxa"/>
            <w:vAlign w:val="center"/>
          </w:tcPr>
          <w:p w14:paraId="5796E8BC" w14:textId="059DFDE4"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21%</w:t>
            </w:r>
          </w:p>
        </w:tc>
        <w:tc>
          <w:tcPr>
            <w:tcW w:w="2550" w:type="dxa"/>
            <w:vAlign w:val="center"/>
          </w:tcPr>
          <w:p w14:paraId="5C5EF745" w14:textId="3CBA5787"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27%</w:t>
            </w:r>
          </w:p>
        </w:tc>
      </w:tr>
      <w:tr w:rsidR="271C3A84" w:rsidRPr="00050912" w14:paraId="3EF4DCF6" w14:textId="77777777" w:rsidTr="00F517BB">
        <w:trPr>
          <w:trHeight w:val="285"/>
        </w:trPr>
        <w:tc>
          <w:tcPr>
            <w:tcW w:w="2550" w:type="dxa"/>
          </w:tcPr>
          <w:p w14:paraId="086B283D" w14:textId="658A6199"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Tertiary</w:t>
            </w:r>
          </w:p>
        </w:tc>
        <w:tc>
          <w:tcPr>
            <w:tcW w:w="2550" w:type="dxa"/>
            <w:vAlign w:val="center"/>
          </w:tcPr>
          <w:p w14:paraId="2B165082" w14:textId="60810BEA"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27%</w:t>
            </w:r>
          </w:p>
        </w:tc>
        <w:tc>
          <w:tcPr>
            <w:tcW w:w="2550" w:type="dxa"/>
            <w:vAlign w:val="center"/>
          </w:tcPr>
          <w:p w14:paraId="34E0BB3D" w14:textId="7FEC251B"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37%</w:t>
            </w:r>
          </w:p>
        </w:tc>
        <w:tc>
          <w:tcPr>
            <w:tcW w:w="2550" w:type="dxa"/>
            <w:vAlign w:val="center"/>
          </w:tcPr>
          <w:p w14:paraId="348FAD9D" w14:textId="2B9E298B"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23%</w:t>
            </w:r>
          </w:p>
        </w:tc>
      </w:tr>
      <w:tr w:rsidR="271C3A84" w:rsidRPr="00050912" w14:paraId="6118ADB1" w14:textId="77777777" w:rsidTr="00F517BB">
        <w:trPr>
          <w:trHeight w:val="285"/>
        </w:trPr>
        <w:tc>
          <w:tcPr>
            <w:tcW w:w="2550" w:type="dxa"/>
          </w:tcPr>
          <w:p w14:paraId="0676E482" w14:textId="24804F24"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Private</w:t>
            </w:r>
          </w:p>
        </w:tc>
        <w:tc>
          <w:tcPr>
            <w:tcW w:w="2550" w:type="dxa"/>
            <w:vAlign w:val="center"/>
          </w:tcPr>
          <w:p w14:paraId="51A941D9" w14:textId="01106954"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9%</w:t>
            </w:r>
          </w:p>
        </w:tc>
        <w:tc>
          <w:tcPr>
            <w:tcW w:w="2550" w:type="dxa"/>
            <w:vAlign w:val="center"/>
          </w:tcPr>
          <w:p w14:paraId="048ADDFA" w14:textId="0D562B40"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17%</w:t>
            </w:r>
          </w:p>
        </w:tc>
        <w:tc>
          <w:tcPr>
            <w:tcW w:w="2550" w:type="dxa"/>
            <w:vAlign w:val="center"/>
          </w:tcPr>
          <w:p w14:paraId="798434C1" w14:textId="5223824D"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16%</w:t>
            </w:r>
          </w:p>
        </w:tc>
      </w:tr>
      <w:tr w:rsidR="271C3A84" w:rsidRPr="00050912" w14:paraId="1D1F1D12" w14:textId="77777777" w:rsidTr="00F517BB">
        <w:trPr>
          <w:trHeight w:val="285"/>
        </w:trPr>
        <w:tc>
          <w:tcPr>
            <w:tcW w:w="2550" w:type="dxa"/>
          </w:tcPr>
          <w:p w14:paraId="4C7655C0" w14:textId="5DBB4293"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Regional</w:t>
            </w:r>
          </w:p>
        </w:tc>
        <w:tc>
          <w:tcPr>
            <w:tcW w:w="2550" w:type="dxa"/>
            <w:vAlign w:val="center"/>
          </w:tcPr>
          <w:p w14:paraId="68D5E608" w14:textId="2C2EF7E2"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12%</w:t>
            </w:r>
          </w:p>
        </w:tc>
        <w:tc>
          <w:tcPr>
            <w:tcW w:w="2550" w:type="dxa"/>
            <w:vAlign w:val="center"/>
          </w:tcPr>
          <w:p w14:paraId="4800AFDA" w14:textId="567E1DFB"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6%</w:t>
            </w:r>
          </w:p>
        </w:tc>
        <w:tc>
          <w:tcPr>
            <w:tcW w:w="2550" w:type="dxa"/>
            <w:vAlign w:val="center"/>
          </w:tcPr>
          <w:p w14:paraId="01006CA4" w14:textId="33AC923D"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10%</w:t>
            </w:r>
          </w:p>
        </w:tc>
      </w:tr>
      <w:tr w:rsidR="271C3A84" w:rsidRPr="00050912" w14:paraId="1D843A69" w14:textId="77777777" w:rsidTr="00F517BB">
        <w:trPr>
          <w:trHeight w:val="285"/>
        </w:trPr>
        <w:tc>
          <w:tcPr>
            <w:tcW w:w="2550" w:type="dxa"/>
          </w:tcPr>
          <w:p w14:paraId="23BAC914" w14:textId="5EC80168"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Other</w:t>
            </w:r>
          </w:p>
        </w:tc>
        <w:tc>
          <w:tcPr>
            <w:tcW w:w="2550" w:type="dxa"/>
            <w:vAlign w:val="center"/>
          </w:tcPr>
          <w:p w14:paraId="0612AC5E" w14:textId="335B0E12"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7%</w:t>
            </w:r>
          </w:p>
        </w:tc>
        <w:tc>
          <w:tcPr>
            <w:tcW w:w="2550" w:type="dxa"/>
            <w:vAlign w:val="center"/>
          </w:tcPr>
          <w:p w14:paraId="281E8A1D" w14:textId="60AF1F8C"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5%</w:t>
            </w:r>
          </w:p>
        </w:tc>
        <w:tc>
          <w:tcPr>
            <w:tcW w:w="2550" w:type="dxa"/>
            <w:vAlign w:val="center"/>
          </w:tcPr>
          <w:p w14:paraId="40E63C7B" w14:textId="2F7C9386"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9%</w:t>
            </w:r>
          </w:p>
        </w:tc>
      </w:tr>
      <w:tr w:rsidR="271C3A84" w:rsidRPr="00050912" w14:paraId="715CE9A3" w14:textId="77777777" w:rsidTr="00F517BB">
        <w:trPr>
          <w:trHeight w:val="285"/>
        </w:trPr>
        <w:tc>
          <w:tcPr>
            <w:tcW w:w="2550" w:type="dxa"/>
          </w:tcPr>
          <w:p w14:paraId="77CF72C3" w14:textId="5B19955B"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Sub-regional</w:t>
            </w:r>
          </w:p>
        </w:tc>
        <w:tc>
          <w:tcPr>
            <w:tcW w:w="2550" w:type="dxa"/>
            <w:vAlign w:val="center"/>
          </w:tcPr>
          <w:p w14:paraId="3BFAD6AE" w14:textId="14242249"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8%</w:t>
            </w:r>
          </w:p>
        </w:tc>
        <w:tc>
          <w:tcPr>
            <w:tcW w:w="2550" w:type="dxa"/>
            <w:vAlign w:val="center"/>
          </w:tcPr>
          <w:p w14:paraId="628EDBD5" w14:textId="1C634463"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8%</w:t>
            </w:r>
          </w:p>
        </w:tc>
        <w:tc>
          <w:tcPr>
            <w:tcW w:w="2550" w:type="dxa"/>
            <w:vAlign w:val="center"/>
          </w:tcPr>
          <w:p w14:paraId="77E9740F" w14:textId="66A9A177"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8%</w:t>
            </w:r>
          </w:p>
        </w:tc>
      </w:tr>
      <w:tr w:rsidR="271C3A84" w:rsidRPr="00050912" w14:paraId="4861FD1F" w14:textId="77777777" w:rsidTr="00F517BB">
        <w:trPr>
          <w:trHeight w:val="285"/>
        </w:trPr>
        <w:tc>
          <w:tcPr>
            <w:tcW w:w="2550" w:type="dxa"/>
          </w:tcPr>
          <w:p w14:paraId="29A2070F" w14:textId="6340265B"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Local</w:t>
            </w:r>
          </w:p>
        </w:tc>
        <w:tc>
          <w:tcPr>
            <w:tcW w:w="2550" w:type="dxa"/>
            <w:vAlign w:val="center"/>
          </w:tcPr>
          <w:p w14:paraId="51D0BE34" w14:textId="223113C5"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3%</w:t>
            </w:r>
          </w:p>
        </w:tc>
        <w:tc>
          <w:tcPr>
            <w:tcW w:w="2550" w:type="dxa"/>
            <w:vAlign w:val="center"/>
          </w:tcPr>
          <w:p w14:paraId="0750D46D" w14:textId="31C48007"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3%</w:t>
            </w:r>
          </w:p>
        </w:tc>
        <w:tc>
          <w:tcPr>
            <w:tcW w:w="2550" w:type="dxa"/>
            <w:vAlign w:val="center"/>
          </w:tcPr>
          <w:p w14:paraId="43D5A3C0" w14:textId="06F4DABC"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3%</w:t>
            </w:r>
          </w:p>
        </w:tc>
      </w:tr>
      <w:tr w:rsidR="271C3A84" w:rsidRPr="00050912" w14:paraId="055651B0" w14:textId="77777777" w:rsidTr="00F517BB">
        <w:trPr>
          <w:trHeight w:val="285"/>
        </w:trPr>
        <w:tc>
          <w:tcPr>
            <w:tcW w:w="2550" w:type="dxa"/>
          </w:tcPr>
          <w:p w14:paraId="142DDEF2" w14:textId="5429F0D8"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Specialist</w:t>
            </w:r>
          </w:p>
        </w:tc>
        <w:tc>
          <w:tcPr>
            <w:tcW w:w="2550" w:type="dxa"/>
            <w:vAlign w:val="center"/>
          </w:tcPr>
          <w:p w14:paraId="0EE14113" w14:textId="0BEA8BE9"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w:t>
            </w:r>
          </w:p>
        </w:tc>
        <w:tc>
          <w:tcPr>
            <w:tcW w:w="2550" w:type="dxa"/>
            <w:vAlign w:val="center"/>
          </w:tcPr>
          <w:p w14:paraId="50DBC095" w14:textId="377B1324"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w:t>
            </w:r>
          </w:p>
        </w:tc>
        <w:tc>
          <w:tcPr>
            <w:tcW w:w="2550" w:type="dxa"/>
            <w:vAlign w:val="center"/>
          </w:tcPr>
          <w:p w14:paraId="7EA8831D" w14:textId="14CA966C"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w:t>
            </w:r>
          </w:p>
        </w:tc>
      </w:tr>
      <w:tr w:rsidR="271C3A84" w:rsidRPr="00050912" w14:paraId="2CA9EE94" w14:textId="77777777" w:rsidTr="00F517BB">
        <w:trPr>
          <w:trHeight w:val="285"/>
        </w:trPr>
        <w:tc>
          <w:tcPr>
            <w:tcW w:w="2550" w:type="dxa"/>
          </w:tcPr>
          <w:p w14:paraId="2977713C" w14:textId="41B55D06" w:rsidR="271C3A84" w:rsidRPr="00F517BB" w:rsidRDefault="271C3A84" w:rsidP="271C3A84">
            <w:pPr>
              <w:pStyle w:val="SCVtablebody"/>
              <w:rPr>
                <w:rFonts w:ascii="Arial" w:eastAsia="Arial" w:hAnsi="Arial" w:cs="Arial"/>
                <w:b/>
                <w:bCs/>
                <w:color w:val="007586" w:themeColor="text2"/>
                <w:sz w:val="24"/>
                <w:szCs w:val="24"/>
                <w:lang w:val="en-US"/>
              </w:rPr>
            </w:pPr>
            <w:r w:rsidRPr="00F517BB">
              <w:rPr>
                <w:rFonts w:ascii="Arial" w:eastAsia="Arial" w:hAnsi="Arial" w:cs="Arial"/>
                <w:b/>
                <w:bCs/>
                <w:color w:val="007586" w:themeColor="text2"/>
                <w:sz w:val="24"/>
                <w:szCs w:val="24"/>
              </w:rPr>
              <w:t>Small Rural</w:t>
            </w:r>
          </w:p>
        </w:tc>
        <w:tc>
          <w:tcPr>
            <w:tcW w:w="2550" w:type="dxa"/>
            <w:vAlign w:val="center"/>
          </w:tcPr>
          <w:p w14:paraId="6CFD8657" w14:textId="212C86EB"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4%</w:t>
            </w:r>
          </w:p>
        </w:tc>
        <w:tc>
          <w:tcPr>
            <w:tcW w:w="2550" w:type="dxa"/>
            <w:vAlign w:val="center"/>
          </w:tcPr>
          <w:p w14:paraId="6AE34EA0" w14:textId="26E869CD"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w:t>
            </w:r>
          </w:p>
        </w:tc>
        <w:tc>
          <w:tcPr>
            <w:tcW w:w="2550" w:type="dxa"/>
            <w:vAlign w:val="center"/>
          </w:tcPr>
          <w:p w14:paraId="7ACF9639" w14:textId="561D6043" w:rsidR="271C3A84" w:rsidRPr="00050912" w:rsidRDefault="271C3A84" w:rsidP="00F517BB">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w:t>
            </w:r>
          </w:p>
        </w:tc>
      </w:tr>
    </w:tbl>
    <w:p w14:paraId="11534993" w14:textId="77777777" w:rsidR="005C0AEA" w:rsidRPr="00636959" w:rsidRDefault="005C0AEA" w:rsidP="001B289D">
      <w:pPr>
        <w:pStyle w:val="SCVtablefigurenote"/>
      </w:pPr>
      <w:r w:rsidRPr="00636959">
        <w:t>Note: Totals not 100% due to rounding</w:t>
      </w:r>
    </w:p>
    <w:p w14:paraId="5CBC63B3" w14:textId="03811977" w:rsidR="00737AE1" w:rsidRPr="00180959" w:rsidRDefault="00737AE1" w:rsidP="00834EF2">
      <w:pPr>
        <w:pStyle w:val="SCVbodyaftertablefigure"/>
      </w:pPr>
      <w:r>
        <w:t>The</w:t>
      </w:r>
      <w:r w:rsidR="00824FA7">
        <w:t xml:space="preserve"> </w:t>
      </w:r>
      <w:r>
        <w:t>location</w:t>
      </w:r>
      <w:r w:rsidR="00824FA7">
        <w:t xml:space="preserve"> </w:t>
      </w:r>
      <w:r>
        <w:t>of</w:t>
      </w:r>
      <w:r w:rsidR="00824FA7">
        <w:t xml:space="preserve"> </w:t>
      </w:r>
      <w:r>
        <w:t>sentinel</w:t>
      </w:r>
      <w:r w:rsidR="00824FA7">
        <w:t xml:space="preserve"> </w:t>
      </w:r>
      <w:r>
        <w:t>events</w:t>
      </w:r>
      <w:r w:rsidR="00824FA7">
        <w:t xml:space="preserve"> </w:t>
      </w:r>
      <w:r>
        <w:t>occurring</w:t>
      </w:r>
      <w:r w:rsidR="00824FA7">
        <w:t xml:space="preserve"> </w:t>
      </w:r>
      <w:r>
        <w:t>in</w:t>
      </w:r>
      <w:r w:rsidR="00824FA7">
        <w:t xml:space="preserve"> </w:t>
      </w:r>
      <w:r>
        <w:t>health</w:t>
      </w:r>
      <w:r w:rsidR="00824FA7">
        <w:t xml:space="preserve"> </w:t>
      </w:r>
      <w:r>
        <w:t>services</w:t>
      </w:r>
      <w:r w:rsidR="00824FA7">
        <w:t xml:space="preserve"> </w:t>
      </w:r>
      <w:r>
        <w:t>has</w:t>
      </w:r>
      <w:r w:rsidR="00824FA7">
        <w:t xml:space="preserve"> </w:t>
      </w:r>
      <w:r>
        <w:t>remained</w:t>
      </w:r>
      <w:r w:rsidR="00824FA7">
        <w:t xml:space="preserve"> </w:t>
      </w:r>
      <w:r>
        <w:t>steady</w:t>
      </w:r>
      <w:r w:rsidR="00824FA7">
        <w:t xml:space="preserve"> </w:t>
      </w:r>
      <w:r>
        <w:t>across</w:t>
      </w:r>
      <w:r w:rsidR="00824FA7">
        <w:t xml:space="preserve"> </w:t>
      </w:r>
      <w:r w:rsidR="5D8C791E">
        <w:t>three</w:t>
      </w:r>
      <w:r w:rsidR="00960886">
        <w:t xml:space="preserve"> </w:t>
      </w:r>
      <w:r>
        <w:t>years,</w:t>
      </w:r>
      <w:r w:rsidR="00824FA7">
        <w:t xml:space="preserve"> </w:t>
      </w:r>
      <w:r>
        <w:t>reflecting</w:t>
      </w:r>
      <w:r w:rsidR="00824FA7">
        <w:t xml:space="preserve"> </w:t>
      </w:r>
      <w:r>
        <w:t>areas</w:t>
      </w:r>
      <w:r w:rsidR="00824FA7">
        <w:t xml:space="preserve"> </w:t>
      </w:r>
      <w:r>
        <w:t>where</w:t>
      </w:r>
      <w:r w:rsidR="00824FA7">
        <w:t xml:space="preserve"> </w:t>
      </w:r>
      <w:r>
        <w:t>patients</w:t>
      </w:r>
      <w:r w:rsidR="00824FA7">
        <w:t xml:space="preserve"> </w:t>
      </w:r>
      <w:r>
        <w:t>spend</w:t>
      </w:r>
      <w:r w:rsidR="00824FA7">
        <w:t xml:space="preserve"> </w:t>
      </w:r>
      <w:r>
        <w:t>the</w:t>
      </w:r>
      <w:r w:rsidR="00824FA7">
        <w:t xml:space="preserve"> </w:t>
      </w:r>
      <w:r>
        <w:t>most</w:t>
      </w:r>
      <w:r w:rsidR="00824FA7">
        <w:t xml:space="preserve"> </w:t>
      </w:r>
      <w:r>
        <w:t>time</w:t>
      </w:r>
      <w:r w:rsidR="00824FA7">
        <w:t xml:space="preserve"> </w:t>
      </w:r>
      <w:r>
        <w:t>receiving</w:t>
      </w:r>
      <w:r w:rsidR="00824FA7">
        <w:t xml:space="preserve"> </w:t>
      </w:r>
      <w:r>
        <w:t>care</w:t>
      </w:r>
      <w:r w:rsidR="00824FA7">
        <w:t xml:space="preserve"> </w:t>
      </w:r>
      <w:r>
        <w:t>(wards</w:t>
      </w:r>
      <w:r w:rsidR="00824FA7">
        <w:t xml:space="preserve"> </w:t>
      </w:r>
      <w:r>
        <w:t>and</w:t>
      </w:r>
      <w:r w:rsidR="00824FA7">
        <w:t xml:space="preserve"> </w:t>
      </w:r>
      <w:r>
        <w:t>patient</w:t>
      </w:r>
      <w:r w:rsidR="00824FA7">
        <w:t xml:space="preserve"> </w:t>
      </w:r>
      <w:r>
        <w:t>rooms)</w:t>
      </w:r>
      <w:r w:rsidR="00824FA7">
        <w:t xml:space="preserve"> </w:t>
      </w:r>
      <w:r>
        <w:t>or</w:t>
      </w:r>
      <w:r w:rsidR="00824FA7">
        <w:t xml:space="preserve"> </w:t>
      </w:r>
      <w:r>
        <w:t>where</w:t>
      </w:r>
      <w:r w:rsidR="00824FA7">
        <w:t xml:space="preserve"> </w:t>
      </w:r>
      <w:r>
        <w:t>complex,</w:t>
      </w:r>
      <w:r w:rsidR="00824FA7">
        <w:t xml:space="preserve"> </w:t>
      </w:r>
      <w:r w:rsidR="00FC54D6">
        <w:t>high-risk</w:t>
      </w:r>
      <w:r w:rsidR="00824FA7">
        <w:t xml:space="preserve"> </w:t>
      </w:r>
      <w:r>
        <w:t>situations</w:t>
      </w:r>
      <w:r w:rsidR="00824FA7">
        <w:t xml:space="preserve"> </w:t>
      </w:r>
      <w:r>
        <w:t>unfold</w:t>
      </w:r>
      <w:r w:rsidR="00824FA7">
        <w:t xml:space="preserve"> </w:t>
      </w:r>
      <w:r>
        <w:t>(emergency</w:t>
      </w:r>
      <w:r w:rsidR="00824FA7">
        <w:t xml:space="preserve"> </w:t>
      </w:r>
      <w:r>
        <w:t>departments,</w:t>
      </w:r>
      <w:r w:rsidR="00824FA7">
        <w:t xml:space="preserve"> </w:t>
      </w:r>
      <w:r>
        <w:t>operating</w:t>
      </w:r>
      <w:r w:rsidR="00824FA7">
        <w:t xml:space="preserve"> </w:t>
      </w:r>
      <w:r>
        <w:t>theatres</w:t>
      </w:r>
      <w:r w:rsidR="00824FA7">
        <w:t xml:space="preserve"> </w:t>
      </w:r>
      <w:r>
        <w:t>and</w:t>
      </w:r>
      <w:r w:rsidR="00824FA7">
        <w:t xml:space="preserve"> </w:t>
      </w:r>
      <w:r>
        <w:t>intensive</w:t>
      </w:r>
      <w:r w:rsidR="00824FA7">
        <w:t xml:space="preserve"> </w:t>
      </w:r>
      <w:r>
        <w:t>care</w:t>
      </w:r>
      <w:r w:rsidR="00824FA7">
        <w:t xml:space="preserve"> </w:t>
      </w:r>
      <w:r>
        <w:t>units)</w:t>
      </w:r>
      <w:r w:rsidR="00B273A7">
        <w:t xml:space="preserve"> (</w:t>
      </w:r>
      <w:r w:rsidR="6E10A5E2">
        <w:t>Table 23</w:t>
      </w:r>
      <w:r w:rsidR="00B273A7">
        <w:t>)</w:t>
      </w:r>
      <w:r>
        <w:t>.</w:t>
      </w:r>
    </w:p>
    <w:p w14:paraId="7ED52CE2" w14:textId="4C2F68AF" w:rsidR="002B5926" w:rsidRPr="00636959" w:rsidRDefault="6CD3DC8C" w:rsidP="001B289D">
      <w:pPr>
        <w:pStyle w:val="SCVfigurecaption"/>
      </w:pPr>
      <w:r>
        <w:lastRenderedPageBreak/>
        <w:t>Table 23</w:t>
      </w:r>
      <w:r w:rsidR="002008E3">
        <w:t>:</w:t>
      </w:r>
      <w:r w:rsidR="00824FA7">
        <w:t xml:space="preserve"> </w:t>
      </w:r>
      <w:r w:rsidR="009F4539">
        <w:t>Percentage</w:t>
      </w:r>
      <w:r w:rsidR="00824FA7">
        <w:t xml:space="preserve"> </w:t>
      </w:r>
      <w:r w:rsidR="009F4539">
        <w:t>of</w:t>
      </w:r>
      <w:r w:rsidR="00824FA7">
        <w:t xml:space="preserve"> </w:t>
      </w:r>
      <w:r w:rsidR="009F4539">
        <w:t>sentinel</w:t>
      </w:r>
      <w:r w:rsidR="00824FA7">
        <w:t xml:space="preserve"> </w:t>
      </w:r>
      <w:r w:rsidR="009F4539">
        <w:t>events</w:t>
      </w:r>
      <w:r w:rsidR="00824FA7">
        <w:t xml:space="preserve"> </w:t>
      </w:r>
      <w:r w:rsidR="009F4539">
        <w:t>by</w:t>
      </w:r>
      <w:r w:rsidR="00824FA7">
        <w:t xml:space="preserve"> </w:t>
      </w:r>
      <w:r w:rsidR="009F4539">
        <w:t>location</w:t>
      </w:r>
      <w:r w:rsidR="00824FA7">
        <w:t xml:space="preserve"> </w:t>
      </w:r>
      <w:r w:rsidR="009F4539">
        <w:t>in</w:t>
      </w:r>
      <w:r w:rsidR="00824FA7">
        <w:t xml:space="preserve"> </w:t>
      </w:r>
      <w:r w:rsidR="00EB7B82">
        <w:t xml:space="preserve">the </w:t>
      </w:r>
      <w:r w:rsidR="009F4539">
        <w:t>health</w:t>
      </w:r>
      <w:r w:rsidR="00824FA7">
        <w:t xml:space="preserve"> </w:t>
      </w:r>
      <w:r w:rsidR="009F4539">
        <w:t>service</w:t>
      </w:r>
      <w:bookmarkStart w:id="54" w:name="_Toc185595272"/>
      <w:r w:rsidR="00845E81">
        <w:t>, 2022–23 to 2024–25</w:t>
      </w:r>
    </w:p>
    <w:tbl>
      <w:tblPr>
        <w:tblStyle w:val="TableGrid"/>
        <w:tblW w:w="0" w:type="auto"/>
        <w:tblLook w:val="06A0" w:firstRow="1" w:lastRow="0" w:firstColumn="1" w:lastColumn="0" w:noHBand="1" w:noVBand="1"/>
      </w:tblPr>
      <w:tblGrid>
        <w:gridCol w:w="4305"/>
        <w:gridCol w:w="1965"/>
        <w:gridCol w:w="1965"/>
        <w:gridCol w:w="1950"/>
      </w:tblGrid>
      <w:tr w:rsidR="271C3A84" w:rsidRPr="00050912" w14:paraId="779AB905" w14:textId="77777777" w:rsidTr="00257A16">
        <w:trPr>
          <w:cnfStyle w:val="100000000000" w:firstRow="1" w:lastRow="0" w:firstColumn="0" w:lastColumn="0" w:oddVBand="0" w:evenVBand="0" w:oddHBand="0" w:evenHBand="0" w:firstRowFirstColumn="0" w:firstRowLastColumn="0" w:lastRowFirstColumn="0" w:lastRowLastColumn="0"/>
          <w:trHeight w:val="285"/>
        </w:trPr>
        <w:tc>
          <w:tcPr>
            <w:tcW w:w="4305" w:type="dxa"/>
            <w:vAlign w:val="center"/>
          </w:tcPr>
          <w:p w14:paraId="5EE604FD" w14:textId="21AE0969" w:rsidR="271C3A84" w:rsidRPr="00050912" w:rsidRDefault="271C3A84" w:rsidP="00257A16">
            <w:pPr>
              <w:pStyle w:val="SCVfigurecaption"/>
              <w:rPr>
                <w:rFonts w:eastAsia="Arial" w:cstheme="minorHAnsi"/>
                <w:color w:val="007586" w:themeColor="accent2"/>
                <w:szCs w:val="24"/>
                <w:lang w:val="en-US"/>
              </w:rPr>
            </w:pPr>
            <w:r w:rsidRPr="00050912">
              <w:rPr>
                <w:rFonts w:eastAsia="Arial" w:cstheme="minorHAnsi"/>
                <w:color w:val="007586" w:themeColor="accent2"/>
                <w:szCs w:val="24"/>
              </w:rPr>
              <w:t>Location</w:t>
            </w:r>
          </w:p>
        </w:tc>
        <w:tc>
          <w:tcPr>
            <w:tcW w:w="1965" w:type="dxa"/>
            <w:vAlign w:val="center"/>
          </w:tcPr>
          <w:p w14:paraId="3C280D90" w14:textId="12931D6C" w:rsidR="271C3A84" w:rsidRPr="00050912" w:rsidRDefault="271C3A84" w:rsidP="00257A16">
            <w:pPr>
              <w:pStyle w:val="SCVfigurecaption"/>
              <w:jc w:val="right"/>
              <w:rPr>
                <w:rFonts w:eastAsia="Arial" w:cstheme="minorHAnsi"/>
                <w:color w:val="007586" w:themeColor="accent2"/>
                <w:szCs w:val="24"/>
                <w:lang w:val="en-US"/>
              </w:rPr>
            </w:pPr>
            <w:r w:rsidRPr="00050912">
              <w:rPr>
                <w:rFonts w:eastAsia="Arial" w:cstheme="minorHAnsi"/>
                <w:color w:val="007586" w:themeColor="accent2"/>
                <w:szCs w:val="24"/>
              </w:rPr>
              <w:t>2022–23</w:t>
            </w:r>
          </w:p>
        </w:tc>
        <w:tc>
          <w:tcPr>
            <w:tcW w:w="1965" w:type="dxa"/>
            <w:vAlign w:val="center"/>
          </w:tcPr>
          <w:p w14:paraId="79B6162A" w14:textId="61F2A3F0" w:rsidR="271C3A84" w:rsidRPr="00050912" w:rsidRDefault="271C3A84" w:rsidP="00257A16">
            <w:pPr>
              <w:pStyle w:val="SCVfigurecaption"/>
              <w:jc w:val="right"/>
              <w:rPr>
                <w:rFonts w:eastAsia="Arial" w:cstheme="minorHAnsi"/>
                <w:color w:val="007586" w:themeColor="accent2"/>
                <w:szCs w:val="24"/>
                <w:lang w:val="en-US"/>
              </w:rPr>
            </w:pPr>
            <w:r w:rsidRPr="00050912">
              <w:rPr>
                <w:rFonts w:eastAsia="Arial" w:cstheme="minorHAnsi"/>
                <w:color w:val="007586" w:themeColor="accent2"/>
                <w:szCs w:val="24"/>
              </w:rPr>
              <w:t>2023–24</w:t>
            </w:r>
          </w:p>
        </w:tc>
        <w:tc>
          <w:tcPr>
            <w:tcW w:w="1950" w:type="dxa"/>
            <w:vAlign w:val="center"/>
          </w:tcPr>
          <w:p w14:paraId="276554F1" w14:textId="63FFBD2F" w:rsidR="271C3A84" w:rsidRPr="00050912" w:rsidRDefault="271C3A84" w:rsidP="00257A16">
            <w:pPr>
              <w:pStyle w:val="SCVfigurecaption"/>
              <w:jc w:val="right"/>
              <w:rPr>
                <w:rFonts w:eastAsia="Arial" w:cstheme="minorHAnsi"/>
                <w:color w:val="007586" w:themeColor="accent2"/>
                <w:szCs w:val="24"/>
                <w:lang w:val="en-US"/>
              </w:rPr>
            </w:pPr>
            <w:r w:rsidRPr="00050912">
              <w:rPr>
                <w:rFonts w:eastAsia="Arial" w:cstheme="minorHAnsi"/>
                <w:color w:val="007586" w:themeColor="accent2"/>
                <w:szCs w:val="24"/>
              </w:rPr>
              <w:t>2024–25</w:t>
            </w:r>
          </w:p>
        </w:tc>
      </w:tr>
      <w:tr w:rsidR="271C3A84" w:rsidRPr="00050912" w14:paraId="1282A072" w14:textId="77777777" w:rsidTr="00257A16">
        <w:trPr>
          <w:trHeight w:val="285"/>
        </w:trPr>
        <w:tc>
          <w:tcPr>
            <w:tcW w:w="4305" w:type="dxa"/>
          </w:tcPr>
          <w:p w14:paraId="2C0C5742" w14:textId="7247755F"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Ward</w:t>
            </w:r>
          </w:p>
        </w:tc>
        <w:tc>
          <w:tcPr>
            <w:tcW w:w="1965" w:type="dxa"/>
            <w:vAlign w:val="center"/>
          </w:tcPr>
          <w:p w14:paraId="4DEB503B" w14:textId="6211E993"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26%</w:t>
            </w:r>
          </w:p>
        </w:tc>
        <w:tc>
          <w:tcPr>
            <w:tcW w:w="1965" w:type="dxa"/>
            <w:vAlign w:val="center"/>
          </w:tcPr>
          <w:p w14:paraId="1061FF4E" w14:textId="60CD27A4"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23%</w:t>
            </w:r>
          </w:p>
        </w:tc>
        <w:tc>
          <w:tcPr>
            <w:tcW w:w="1950" w:type="dxa"/>
            <w:vAlign w:val="center"/>
          </w:tcPr>
          <w:p w14:paraId="144A5B97" w14:textId="5C563144"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20%</w:t>
            </w:r>
          </w:p>
        </w:tc>
      </w:tr>
      <w:tr w:rsidR="271C3A84" w:rsidRPr="00050912" w14:paraId="2167ECE2" w14:textId="77777777" w:rsidTr="00257A16">
        <w:trPr>
          <w:trHeight w:val="285"/>
        </w:trPr>
        <w:tc>
          <w:tcPr>
            <w:tcW w:w="4305" w:type="dxa"/>
          </w:tcPr>
          <w:p w14:paraId="66A5B4EB" w14:textId="384F262A"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Operating theatre</w:t>
            </w:r>
          </w:p>
        </w:tc>
        <w:tc>
          <w:tcPr>
            <w:tcW w:w="1965" w:type="dxa"/>
            <w:vAlign w:val="center"/>
          </w:tcPr>
          <w:p w14:paraId="6907311D" w14:textId="4CF0D5F4"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7%</w:t>
            </w:r>
          </w:p>
        </w:tc>
        <w:tc>
          <w:tcPr>
            <w:tcW w:w="1965" w:type="dxa"/>
            <w:vAlign w:val="center"/>
          </w:tcPr>
          <w:p w14:paraId="634686A9" w14:textId="39ECA5C0"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12%</w:t>
            </w:r>
          </w:p>
        </w:tc>
        <w:tc>
          <w:tcPr>
            <w:tcW w:w="1950" w:type="dxa"/>
            <w:vAlign w:val="center"/>
          </w:tcPr>
          <w:p w14:paraId="5703E362" w14:textId="6ACC410E"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14%</w:t>
            </w:r>
          </w:p>
        </w:tc>
      </w:tr>
      <w:tr w:rsidR="271C3A84" w:rsidRPr="00050912" w14:paraId="55147636" w14:textId="77777777" w:rsidTr="00257A16">
        <w:trPr>
          <w:trHeight w:val="285"/>
        </w:trPr>
        <w:tc>
          <w:tcPr>
            <w:tcW w:w="4305" w:type="dxa"/>
          </w:tcPr>
          <w:p w14:paraId="2788662D" w14:textId="34DFEC42"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Emergency department</w:t>
            </w:r>
          </w:p>
        </w:tc>
        <w:tc>
          <w:tcPr>
            <w:tcW w:w="1965" w:type="dxa"/>
            <w:vAlign w:val="center"/>
          </w:tcPr>
          <w:p w14:paraId="669A1FDB" w14:textId="6A37075E"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18%</w:t>
            </w:r>
          </w:p>
        </w:tc>
        <w:tc>
          <w:tcPr>
            <w:tcW w:w="1965" w:type="dxa"/>
            <w:vAlign w:val="center"/>
          </w:tcPr>
          <w:p w14:paraId="67B7BF3E" w14:textId="5F792F37"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21%</w:t>
            </w:r>
          </w:p>
        </w:tc>
        <w:tc>
          <w:tcPr>
            <w:tcW w:w="1950" w:type="dxa"/>
            <w:vAlign w:val="center"/>
          </w:tcPr>
          <w:p w14:paraId="032E97A2" w14:textId="21D315B0"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9%</w:t>
            </w:r>
          </w:p>
        </w:tc>
      </w:tr>
      <w:tr w:rsidR="271C3A84" w:rsidRPr="00050912" w14:paraId="229B6D2A" w14:textId="77777777" w:rsidTr="00257A16">
        <w:trPr>
          <w:trHeight w:val="285"/>
        </w:trPr>
        <w:tc>
          <w:tcPr>
            <w:tcW w:w="4305" w:type="dxa"/>
          </w:tcPr>
          <w:p w14:paraId="41EB5CA6" w14:textId="65A01533"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Intensive care unit</w:t>
            </w:r>
          </w:p>
        </w:tc>
        <w:tc>
          <w:tcPr>
            <w:tcW w:w="1965" w:type="dxa"/>
            <w:vAlign w:val="center"/>
          </w:tcPr>
          <w:p w14:paraId="6DD5CC1B" w14:textId="527DD430"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9%</w:t>
            </w:r>
          </w:p>
        </w:tc>
        <w:tc>
          <w:tcPr>
            <w:tcW w:w="1965" w:type="dxa"/>
            <w:vAlign w:val="center"/>
          </w:tcPr>
          <w:p w14:paraId="3D1EAD6F" w14:textId="1A1DFD0D"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8%</w:t>
            </w:r>
          </w:p>
        </w:tc>
        <w:tc>
          <w:tcPr>
            <w:tcW w:w="1950" w:type="dxa"/>
            <w:vAlign w:val="center"/>
          </w:tcPr>
          <w:p w14:paraId="548910C5" w14:textId="16D6B9CD"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8%</w:t>
            </w:r>
          </w:p>
        </w:tc>
      </w:tr>
      <w:tr w:rsidR="271C3A84" w:rsidRPr="00050912" w14:paraId="7C7A4AD2" w14:textId="77777777" w:rsidTr="00257A16">
        <w:trPr>
          <w:trHeight w:val="285"/>
        </w:trPr>
        <w:tc>
          <w:tcPr>
            <w:tcW w:w="4305" w:type="dxa"/>
          </w:tcPr>
          <w:p w14:paraId="39BF1A14" w14:textId="1A7188D3"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Other</w:t>
            </w:r>
          </w:p>
        </w:tc>
        <w:tc>
          <w:tcPr>
            <w:tcW w:w="1965" w:type="dxa"/>
            <w:vAlign w:val="center"/>
          </w:tcPr>
          <w:p w14:paraId="5CFAD02B" w14:textId="78DD6BA8"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11%</w:t>
            </w:r>
          </w:p>
        </w:tc>
        <w:tc>
          <w:tcPr>
            <w:tcW w:w="1965" w:type="dxa"/>
            <w:vAlign w:val="center"/>
          </w:tcPr>
          <w:p w14:paraId="398F5C8F" w14:textId="774650C1"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4%</w:t>
            </w:r>
          </w:p>
        </w:tc>
        <w:tc>
          <w:tcPr>
            <w:tcW w:w="1950" w:type="dxa"/>
            <w:vAlign w:val="center"/>
          </w:tcPr>
          <w:p w14:paraId="3BA1B986" w14:textId="50D90465"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17%</w:t>
            </w:r>
          </w:p>
        </w:tc>
      </w:tr>
      <w:tr w:rsidR="271C3A84" w:rsidRPr="00050912" w14:paraId="4CB5DDDB" w14:textId="77777777" w:rsidTr="00257A16">
        <w:trPr>
          <w:trHeight w:val="285"/>
        </w:trPr>
        <w:tc>
          <w:tcPr>
            <w:tcW w:w="4305" w:type="dxa"/>
          </w:tcPr>
          <w:p w14:paraId="0F6A2690" w14:textId="0FC4B64D"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Patient room</w:t>
            </w:r>
          </w:p>
        </w:tc>
        <w:tc>
          <w:tcPr>
            <w:tcW w:w="1965" w:type="dxa"/>
            <w:vAlign w:val="center"/>
          </w:tcPr>
          <w:p w14:paraId="35B305A1" w14:textId="378DFF95"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10%</w:t>
            </w:r>
          </w:p>
        </w:tc>
        <w:tc>
          <w:tcPr>
            <w:tcW w:w="1965" w:type="dxa"/>
            <w:vAlign w:val="center"/>
          </w:tcPr>
          <w:p w14:paraId="664E75D5" w14:textId="058FA9C4"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9%</w:t>
            </w:r>
          </w:p>
        </w:tc>
        <w:tc>
          <w:tcPr>
            <w:tcW w:w="1950" w:type="dxa"/>
            <w:vAlign w:val="center"/>
          </w:tcPr>
          <w:p w14:paraId="7477246D" w14:textId="39B2E378"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8%</w:t>
            </w:r>
          </w:p>
        </w:tc>
      </w:tr>
      <w:tr w:rsidR="271C3A84" w:rsidRPr="00050912" w14:paraId="371963EF" w14:textId="77777777" w:rsidTr="00257A16">
        <w:trPr>
          <w:trHeight w:val="285"/>
        </w:trPr>
        <w:tc>
          <w:tcPr>
            <w:tcW w:w="4305" w:type="dxa"/>
          </w:tcPr>
          <w:p w14:paraId="72AE83C8" w14:textId="7B3662B0"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Birth suite</w:t>
            </w:r>
          </w:p>
        </w:tc>
        <w:tc>
          <w:tcPr>
            <w:tcW w:w="1965" w:type="dxa"/>
            <w:vAlign w:val="center"/>
          </w:tcPr>
          <w:p w14:paraId="6178110E" w14:textId="49E2A079"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4%</w:t>
            </w:r>
          </w:p>
        </w:tc>
        <w:tc>
          <w:tcPr>
            <w:tcW w:w="1965" w:type="dxa"/>
            <w:vAlign w:val="center"/>
          </w:tcPr>
          <w:p w14:paraId="37BA72E2" w14:textId="42DE3B63"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4%</w:t>
            </w:r>
          </w:p>
        </w:tc>
        <w:tc>
          <w:tcPr>
            <w:tcW w:w="1950" w:type="dxa"/>
            <w:vAlign w:val="center"/>
          </w:tcPr>
          <w:p w14:paraId="41A769A9" w14:textId="3C595115"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6%</w:t>
            </w:r>
          </w:p>
        </w:tc>
      </w:tr>
      <w:tr w:rsidR="271C3A84" w:rsidRPr="00050912" w14:paraId="7CE2A26E" w14:textId="77777777" w:rsidTr="00257A16">
        <w:trPr>
          <w:trHeight w:val="285"/>
        </w:trPr>
        <w:tc>
          <w:tcPr>
            <w:tcW w:w="4305" w:type="dxa"/>
          </w:tcPr>
          <w:p w14:paraId="74783E36" w14:textId="20C99AF7" w:rsidR="271C3A84" w:rsidRPr="00F517BB" w:rsidRDefault="271C3A84" w:rsidP="271C3A84">
            <w:pPr>
              <w:pStyle w:val="SCVtablebody"/>
              <w:rPr>
                <w:rFonts w:eastAsia="Arial"/>
                <w:b/>
                <w:bCs/>
                <w:color w:val="007586" w:themeColor="text2"/>
                <w:sz w:val="24"/>
                <w:szCs w:val="24"/>
                <w:lang w:val="en-US"/>
              </w:rPr>
            </w:pPr>
            <w:proofErr w:type="gramStart"/>
            <w:r w:rsidRPr="00F517BB">
              <w:rPr>
                <w:rFonts w:eastAsia="Arial"/>
                <w:b/>
                <w:bCs/>
                <w:color w:val="007586" w:themeColor="text2"/>
                <w:sz w:val="24"/>
                <w:szCs w:val="24"/>
              </w:rPr>
              <w:t>Outpatients</w:t>
            </w:r>
            <w:proofErr w:type="gramEnd"/>
            <w:r w:rsidRPr="00F517BB">
              <w:rPr>
                <w:rFonts w:eastAsia="Arial"/>
                <w:b/>
                <w:bCs/>
                <w:color w:val="007586" w:themeColor="text2"/>
                <w:sz w:val="24"/>
                <w:szCs w:val="24"/>
              </w:rPr>
              <w:t xml:space="preserve"> clinic</w:t>
            </w:r>
          </w:p>
        </w:tc>
        <w:tc>
          <w:tcPr>
            <w:tcW w:w="1965" w:type="dxa"/>
            <w:vAlign w:val="center"/>
          </w:tcPr>
          <w:p w14:paraId="6DA4E368" w14:textId="526F7401"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2%</w:t>
            </w:r>
          </w:p>
        </w:tc>
        <w:tc>
          <w:tcPr>
            <w:tcW w:w="1965" w:type="dxa"/>
            <w:vAlign w:val="center"/>
          </w:tcPr>
          <w:p w14:paraId="0C5C42ED" w14:textId="39417CCB"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6%</w:t>
            </w:r>
          </w:p>
        </w:tc>
        <w:tc>
          <w:tcPr>
            <w:tcW w:w="1950" w:type="dxa"/>
            <w:vAlign w:val="center"/>
          </w:tcPr>
          <w:p w14:paraId="7168D002" w14:textId="317200A6"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5%</w:t>
            </w:r>
          </w:p>
        </w:tc>
      </w:tr>
      <w:tr w:rsidR="271C3A84" w:rsidRPr="00050912" w14:paraId="4E1E9790" w14:textId="77777777" w:rsidTr="00257A16">
        <w:trPr>
          <w:trHeight w:val="285"/>
        </w:trPr>
        <w:tc>
          <w:tcPr>
            <w:tcW w:w="4305" w:type="dxa"/>
          </w:tcPr>
          <w:p w14:paraId="5600C8B1" w14:textId="7B9606B7" w:rsidR="271C3A84" w:rsidRPr="00F517BB" w:rsidRDefault="271C3A84" w:rsidP="271C3A84">
            <w:pPr>
              <w:pStyle w:val="SCVtablebody"/>
              <w:rPr>
                <w:rFonts w:eastAsia="Arial"/>
                <w:b/>
                <w:bCs/>
                <w:color w:val="007586" w:themeColor="text2"/>
                <w:sz w:val="24"/>
                <w:szCs w:val="24"/>
                <w:lang w:val="en-US"/>
              </w:rPr>
            </w:pPr>
            <w:r w:rsidRPr="00F517BB">
              <w:rPr>
                <w:rFonts w:eastAsia="Arial"/>
                <w:b/>
                <w:bCs/>
                <w:color w:val="007586" w:themeColor="text2"/>
                <w:sz w:val="24"/>
                <w:szCs w:val="24"/>
              </w:rPr>
              <w:t>Private residence</w:t>
            </w:r>
          </w:p>
        </w:tc>
        <w:tc>
          <w:tcPr>
            <w:tcW w:w="1965" w:type="dxa"/>
            <w:vAlign w:val="center"/>
          </w:tcPr>
          <w:p w14:paraId="4EAD92C9" w14:textId="57A59FA4"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2%</w:t>
            </w:r>
          </w:p>
        </w:tc>
        <w:tc>
          <w:tcPr>
            <w:tcW w:w="1965" w:type="dxa"/>
            <w:vAlign w:val="center"/>
          </w:tcPr>
          <w:p w14:paraId="73C5DD5F" w14:textId="1D489518"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3%</w:t>
            </w:r>
          </w:p>
        </w:tc>
        <w:tc>
          <w:tcPr>
            <w:tcW w:w="1950" w:type="dxa"/>
            <w:vAlign w:val="center"/>
          </w:tcPr>
          <w:p w14:paraId="7BADFA80" w14:textId="161E6E3F" w:rsidR="271C3A84" w:rsidRPr="00050912" w:rsidRDefault="271C3A84" w:rsidP="00257A16">
            <w:pPr>
              <w:pStyle w:val="SCVtablebody"/>
              <w:jc w:val="right"/>
              <w:rPr>
                <w:rFonts w:eastAsia="Arial"/>
                <w:color w:val="000000" w:themeColor="text1"/>
                <w:sz w:val="24"/>
                <w:szCs w:val="24"/>
                <w:lang w:val="en-US"/>
              </w:rPr>
            </w:pPr>
            <w:r w:rsidRPr="00050912">
              <w:rPr>
                <w:rFonts w:eastAsia="Arial"/>
                <w:color w:val="000000" w:themeColor="text1"/>
                <w:sz w:val="24"/>
                <w:szCs w:val="24"/>
              </w:rPr>
              <w:t>4%</w:t>
            </w:r>
          </w:p>
        </w:tc>
      </w:tr>
      <w:tr w:rsidR="271C3A84" w:rsidRPr="00050912" w14:paraId="789CB182" w14:textId="77777777" w:rsidTr="00257A16">
        <w:trPr>
          <w:trHeight w:val="285"/>
        </w:trPr>
        <w:tc>
          <w:tcPr>
            <w:tcW w:w="4305" w:type="dxa"/>
          </w:tcPr>
          <w:p w14:paraId="26553171" w14:textId="34E06331"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Pregnancy or Maternity Assessment Unit</w:t>
            </w:r>
          </w:p>
        </w:tc>
        <w:tc>
          <w:tcPr>
            <w:tcW w:w="1965" w:type="dxa"/>
            <w:vAlign w:val="center"/>
          </w:tcPr>
          <w:p w14:paraId="70152D69" w14:textId="6ABD0FDF"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65" w:type="dxa"/>
            <w:vAlign w:val="center"/>
          </w:tcPr>
          <w:p w14:paraId="3532CB65" w14:textId="64F01ECA"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3%</w:t>
            </w:r>
          </w:p>
        </w:tc>
        <w:tc>
          <w:tcPr>
            <w:tcW w:w="1950" w:type="dxa"/>
            <w:vAlign w:val="center"/>
          </w:tcPr>
          <w:p w14:paraId="6D0D87F7" w14:textId="1C6393CB"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6F9443F9" w14:textId="77777777" w:rsidTr="00257A16">
        <w:trPr>
          <w:trHeight w:val="285"/>
        </w:trPr>
        <w:tc>
          <w:tcPr>
            <w:tcW w:w="4305" w:type="dxa"/>
          </w:tcPr>
          <w:p w14:paraId="510E73CE" w14:textId="2361AD5D"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Recovery</w:t>
            </w:r>
          </w:p>
        </w:tc>
        <w:tc>
          <w:tcPr>
            <w:tcW w:w="1965" w:type="dxa"/>
            <w:vAlign w:val="center"/>
          </w:tcPr>
          <w:p w14:paraId="10ED0EB3" w14:textId="3BD244B0"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c>
          <w:tcPr>
            <w:tcW w:w="1965" w:type="dxa"/>
            <w:vAlign w:val="center"/>
          </w:tcPr>
          <w:p w14:paraId="6C3355A8" w14:textId="7D4EDEA3"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50" w:type="dxa"/>
            <w:vAlign w:val="center"/>
          </w:tcPr>
          <w:p w14:paraId="60E08037" w14:textId="1C19936C"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3603CECC" w14:textId="77777777" w:rsidTr="00257A16">
        <w:trPr>
          <w:trHeight w:val="285"/>
        </w:trPr>
        <w:tc>
          <w:tcPr>
            <w:tcW w:w="4305" w:type="dxa"/>
          </w:tcPr>
          <w:p w14:paraId="488C91F1" w14:textId="15BFAC62"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Cardiac catheter lab</w:t>
            </w:r>
          </w:p>
        </w:tc>
        <w:tc>
          <w:tcPr>
            <w:tcW w:w="1965" w:type="dxa"/>
            <w:vAlign w:val="center"/>
          </w:tcPr>
          <w:p w14:paraId="5DEB57F5" w14:textId="236190FF"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65" w:type="dxa"/>
            <w:vAlign w:val="center"/>
          </w:tcPr>
          <w:p w14:paraId="4BE25549" w14:textId="326294D1"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50" w:type="dxa"/>
            <w:vAlign w:val="center"/>
          </w:tcPr>
          <w:p w14:paraId="55D2DC5F" w14:textId="4BE906E5"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418C7F62" w14:textId="77777777" w:rsidTr="00257A16">
        <w:trPr>
          <w:trHeight w:val="285"/>
        </w:trPr>
        <w:tc>
          <w:tcPr>
            <w:tcW w:w="4305" w:type="dxa"/>
          </w:tcPr>
          <w:p w14:paraId="403206F3" w14:textId="37DA7D64"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Unknown</w:t>
            </w:r>
          </w:p>
        </w:tc>
        <w:tc>
          <w:tcPr>
            <w:tcW w:w="1965" w:type="dxa"/>
            <w:vAlign w:val="center"/>
          </w:tcPr>
          <w:p w14:paraId="1C6D4B7B" w14:textId="0CF151B8"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65" w:type="dxa"/>
            <w:vAlign w:val="center"/>
          </w:tcPr>
          <w:p w14:paraId="486C010F" w14:textId="640AC2DE"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c>
          <w:tcPr>
            <w:tcW w:w="1950" w:type="dxa"/>
            <w:vAlign w:val="center"/>
          </w:tcPr>
          <w:p w14:paraId="12C3BDEC" w14:textId="57103B2E"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26A26E75" w14:textId="77777777" w:rsidTr="00257A16">
        <w:trPr>
          <w:trHeight w:val="285"/>
        </w:trPr>
        <w:tc>
          <w:tcPr>
            <w:tcW w:w="4305" w:type="dxa"/>
          </w:tcPr>
          <w:p w14:paraId="3FCE0432" w14:textId="24714EB5"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Patient bathroom</w:t>
            </w:r>
          </w:p>
        </w:tc>
        <w:tc>
          <w:tcPr>
            <w:tcW w:w="1965" w:type="dxa"/>
            <w:vAlign w:val="center"/>
          </w:tcPr>
          <w:p w14:paraId="71AA374F" w14:textId="2F1E2B71"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2%</w:t>
            </w:r>
          </w:p>
        </w:tc>
        <w:tc>
          <w:tcPr>
            <w:tcW w:w="1965" w:type="dxa"/>
            <w:vAlign w:val="center"/>
          </w:tcPr>
          <w:p w14:paraId="7BD3C844" w14:textId="4AE63D68"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2%</w:t>
            </w:r>
          </w:p>
        </w:tc>
        <w:tc>
          <w:tcPr>
            <w:tcW w:w="1950" w:type="dxa"/>
            <w:vAlign w:val="center"/>
          </w:tcPr>
          <w:p w14:paraId="26A9F5A7" w14:textId="4E9EE23F"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16739241" w14:textId="77777777" w:rsidTr="00257A16">
        <w:trPr>
          <w:trHeight w:val="285"/>
        </w:trPr>
        <w:tc>
          <w:tcPr>
            <w:tcW w:w="4305" w:type="dxa"/>
          </w:tcPr>
          <w:p w14:paraId="7DF81BD5" w14:textId="3931A8AC"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Medical imaging</w:t>
            </w:r>
          </w:p>
        </w:tc>
        <w:tc>
          <w:tcPr>
            <w:tcW w:w="1965" w:type="dxa"/>
            <w:vAlign w:val="center"/>
          </w:tcPr>
          <w:p w14:paraId="72B38D8A" w14:textId="67ED7991"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65" w:type="dxa"/>
            <w:vAlign w:val="center"/>
          </w:tcPr>
          <w:p w14:paraId="78234C21" w14:textId="2FD9D2B7"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50" w:type="dxa"/>
            <w:vAlign w:val="center"/>
          </w:tcPr>
          <w:p w14:paraId="47CC99A1" w14:textId="1F7FA235"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298F63D2" w14:textId="77777777" w:rsidTr="00257A16">
        <w:trPr>
          <w:trHeight w:val="285"/>
        </w:trPr>
        <w:tc>
          <w:tcPr>
            <w:tcW w:w="4305" w:type="dxa"/>
          </w:tcPr>
          <w:p w14:paraId="4C3855AB" w14:textId="15ACA571"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 xml:space="preserve">Community or </w:t>
            </w:r>
            <w:proofErr w:type="spellStart"/>
            <w:r w:rsidRPr="00F517BB">
              <w:rPr>
                <w:rFonts w:eastAsia="Arial"/>
                <w:b/>
                <w:bCs/>
                <w:color w:val="007586" w:themeColor="text2"/>
                <w:sz w:val="24"/>
                <w:szCs w:val="24"/>
              </w:rPr>
              <w:t>non health</w:t>
            </w:r>
            <w:proofErr w:type="spellEnd"/>
            <w:r w:rsidRPr="00F517BB">
              <w:rPr>
                <w:rFonts w:eastAsia="Arial"/>
                <w:b/>
                <w:bCs/>
                <w:color w:val="007586" w:themeColor="text2"/>
                <w:sz w:val="24"/>
                <w:szCs w:val="24"/>
              </w:rPr>
              <w:t xml:space="preserve"> care facility location</w:t>
            </w:r>
          </w:p>
        </w:tc>
        <w:tc>
          <w:tcPr>
            <w:tcW w:w="1965" w:type="dxa"/>
            <w:vAlign w:val="center"/>
          </w:tcPr>
          <w:p w14:paraId="699BAB6D" w14:textId="570AF149"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3%</w:t>
            </w:r>
          </w:p>
        </w:tc>
        <w:tc>
          <w:tcPr>
            <w:tcW w:w="1965" w:type="dxa"/>
            <w:vAlign w:val="center"/>
          </w:tcPr>
          <w:p w14:paraId="24901334" w14:textId="4076892F"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3%</w:t>
            </w:r>
          </w:p>
        </w:tc>
        <w:tc>
          <w:tcPr>
            <w:tcW w:w="1950" w:type="dxa"/>
            <w:vAlign w:val="center"/>
          </w:tcPr>
          <w:p w14:paraId="0EA2047C" w14:textId="603A52CF"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r>
      <w:tr w:rsidR="271C3A84" w:rsidRPr="00050912" w14:paraId="72E3D0E7" w14:textId="77777777" w:rsidTr="00257A16">
        <w:trPr>
          <w:trHeight w:val="285"/>
        </w:trPr>
        <w:tc>
          <w:tcPr>
            <w:tcW w:w="4305" w:type="dxa"/>
          </w:tcPr>
          <w:p w14:paraId="147E8E96" w14:textId="13BBF266"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Hospital grounds</w:t>
            </w:r>
          </w:p>
        </w:tc>
        <w:tc>
          <w:tcPr>
            <w:tcW w:w="1965" w:type="dxa"/>
            <w:vAlign w:val="center"/>
          </w:tcPr>
          <w:p w14:paraId="541DA7F9" w14:textId="19D16555"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65" w:type="dxa"/>
            <w:vAlign w:val="center"/>
          </w:tcPr>
          <w:p w14:paraId="588F01CF" w14:textId="3D434321"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c>
          <w:tcPr>
            <w:tcW w:w="1950" w:type="dxa"/>
            <w:vAlign w:val="center"/>
          </w:tcPr>
          <w:p w14:paraId="2DE0398D" w14:textId="733B8040"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r>
      <w:tr w:rsidR="271C3A84" w:rsidRPr="00050912" w14:paraId="625EF290" w14:textId="77777777" w:rsidTr="00257A16">
        <w:trPr>
          <w:trHeight w:val="285"/>
        </w:trPr>
        <w:tc>
          <w:tcPr>
            <w:tcW w:w="4305" w:type="dxa"/>
          </w:tcPr>
          <w:p w14:paraId="4E84EA19" w14:textId="466D9E3B"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Anaesthetic bay</w:t>
            </w:r>
          </w:p>
        </w:tc>
        <w:tc>
          <w:tcPr>
            <w:tcW w:w="1965" w:type="dxa"/>
            <w:vAlign w:val="center"/>
          </w:tcPr>
          <w:p w14:paraId="71B10094" w14:textId="11674C06"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c>
          <w:tcPr>
            <w:tcW w:w="1965" w:type="dxa"/>
            <w:vAlign w:val="center"/>
          </w:tcPr>
          <w:p w14:paraId="728694DD" w14:textId="6234CD4D"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c>
          <w:tcPr>
            <w:tcW w:w="1950" w:type="dxa"/>
            <w:vAlign w:val="center"/>
          </w:tcPr>
          <w:p w14:paraId="71C329B6" w14:textId="26C4EF5D"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r>
      <w:tr w:rsidR="271C3A84" w:rsidRPr="00050912" w14:paraId="3B513DAA" w14:textId="77777777" w:rsidTr="00257A16">
        <w:trPr>
          <w:trHeight w:val="285"/>
        </w:trPr>
        <w:tc>
          <w:tcPr>
            <w:tcW w:w="4305" w:type="dxa"/>
          </w:tcPr>
          <w:p w14:paraId="1CF82AB7" w14:textId="3CA8BAD0" w:rsidR="271C3A84" w:rsidRPr="00F517BB" w:rsidRDefault="271C3A84" w:rsidP="271C3A84">
            <w:pPr>
              <w:pStyle w:val="SCVtablebody"/>
              <w:rPr>
                <w:rFonts w:eastAsia="Arial"/>
                <w:b/>
                <w:bCs/>
                <w:color w:val="007586" w:themeColor="text2"/>
                <w:sz w:val="24"/>
                <w:szCs w:val="24"/>
              </w:rPr>
            </w:pPr>
            <w:r w:rsidRPr="00F517BB">
              <w:rPr>
                <w:rFonts w:eastAsia="Arial"/>
                <w:b/>
                <w:bCs/>
                <w:color w:val="007586" w:themeColor="text2"/>
                <w:sz w:val="24"/>
                <w:szCs w:val="24"/>
              </w:rPr>
              <w:t>Urgent Care Centre</w:t>
            </w:r>
          </w:p>
        </w:tc>
        <w:tc>
          <w:tcPr>
            <w:tcW w:w="1965" w:type="dxa"/>
            <w:vAlign w:val="center"/>
          </w:tcPr>
          <w:p w14:paraId="6D0C5C23" w14:textId="02F42F21"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c>
          <w:tcPr>
            <w:tcW w:w="1965" w:type="dxa"/>
            <w:vAlign w:val="center"/>
          </w:tcPr>
          <w:p w14:paraId="613634BE" w14:textId="6AF6A821"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1%</w:t>
            </w:r>
          </w:p>
        </w:tc>
        <w:tc>
          <w:tcPr>
            <w:tcW w:w="1950" w:type="dxa"/>
            <w:vAlign w:val="center"/>
          </w:tcPr>
          <w:p w14:paraId="41E88B24" w14:textId="60CCC45F" w:rsidR="271C3A84" w:rsidRPr="00050912" w:rsidRDefault="271C3A84" w:rsidP="00257A16">
            <w:pPr>
              <w:pStyle w:val="SCVtablebody"/>
              <w:jc w:val="right"/>
              <w:rPr>
                <w:rFonts w:eastAsia="Arial"/>
                <w:color w:val="000000" w:themeColor="text1"/>
                <w:sz w:val="24"/>
                <w:szCs w:val="24"/>
              </w:rPr>
            </w:pPr>
            <w:r w:rsidRPr="00050912">
              <w:rPr>
                <w:rFonts w:eastAsia="Arial"/>
                <w:color w:val="000000" w:themeColor="text1"/>
                <w:sz w:val="24"/>
                <w:szCs w:val="24"/>
              </w:rPr>
              <w:t>0%</w:t>
            </w:r>
          </w:p>
        </w:tc>
      </w:tr>
    </w:tbl>
    <w:p w14:paraId="1C39FC0C" w14:textId="001E5920" w:rsidR="002B5926" w:rsidRDefault="002B5926" w:rsidP="001B289D">
      <w:pPr>
        <w:pStyle w:val="SCVtablefigurenote"/>
      </w:pPr>
      <w:r w:rsidRPr="00E343FB">
        <w:t>Note: Totals not 100% due to rounding</w:t>
      </w:r>
    </w:p>
    <w:p w14:paraId="70C2F204" w14:textId="3DFAECB1" w:rsidR="00CA014A" w:rsidRPr="006F1353" w:rsidRDefault="72C6CF2B" w:rsidP="57EA0190">
      <w:pPr>
        <w:pStyle w:val="Heading2"/>
        <w:rPr>
          <w:color w:val="007586" w:themeColor="text2"/>
        </w:rPr>
      </w:pPr>
      <w:bookmarkStart w:id="55" w:name="_Toc238026660"/>
      <w:r w:rsidRPr="006F1353">
        <w:rPr>
          <w:color w:val="007586" w:themeColor="text2"/>
        </w:rPr>
        <w:t>Time</w:t>
      </w:r>
      <w:r w:rsidR="5811132B" w:rsidRPr="006F1353">
        <w:rPr>
          <w:color w:val="007586" w:themeColor="text2"/>
        </w:rPr>
        <w:t xml:space="preserve"> </w:t>
      </w:r>
      <w:r w:rsidRPr="006F1353">
        <w:rPr>
          <w:color w:val="007586" w:themeColor="text2"/>
        </w:rPr>
        <w:t>to</w:t>
      </w:r>
      <w:r w:rsidR="5811132B" w:rsidRPr="006F1353">
        <w:rPr>
          <w:color w:val="007586" w:themeColor="text2"/>
        </w:rPr>
        <w:t xml:space="preserve"> </w:t>
      </w:r>
      <w:r w:rsidRPr="006F1353">
        <w:rPr>
          <w:color w:val="007586" w:themeColor="text2"/>
        </w:rPr>
        <w:t>notify</w:t>
      </w:r>
      <w:r w:rsidR="5811132B" w:rsidRPr="006F1353">
        <w:rPr>
          <w:color w:val="007586" w:themeColor="text2"/>
        </w:rPr>
        <w:t xml:space="preserve"> </w:t>
      </w:r>
      <w:r w:rsidRPr="006F1353">
        <w:rPr>
          <w:color w:val="007586" w:themeColor="text2"/>
        </w:rPr>
        <w:t>sentinel</w:t>
      </w:r>
      <w:r w:rsidR="5811132B" w:rsidRPr="006F1353">
        <w:rPr>
          <w:color w:val="007586" w:themeColor="text2"/>
        </w:rPr>
        <w:t xml:space="preserve"> </w:t>
      </w:r>
      <w:r w:rsidRPr="006F1353">
        <w:rPr>
          <w:color w:val="007586" w:themeColor="text2"/>
        </w:rPr>
        <w:t>events</w:t>
      </w:r>
      <w:bookmarkEnd w:id="54"/>
      <w:bookmarkEnd w:id="55"/>
    </w:p>
    <w:p w14:paraId="221B5C9B" w14:textId="580866A8" w:rsidR="00030F53" w:rsidRPr="006657E9" w:rsidRDefault="37F4E76F" w:rsidP="0057201C">
      <w:pPr>
        <w:pStyle w:val="SCVbody"/>
      </w:pPr>
      <w:r>
        <w:t>H</w:t>
      </w:r>
      <w:r w:rsidR="00030F53">
        <w:t>ealth</w:t>
      </w:r>
      <w:r w:rsidR="00824FA7">
        <w:t xml:space="preserve"> </w:t>
      </w:r>
      <w:r w:rsidR="00030F53">
        <w:t>services</w:t>
      </w:r>
      <w:r w:rsidR="00824FA7">
        <w:t xml:space="preserve"> </w:t>
      </w:r>
      <w:r w:rsidR="00EB7B82">
        <w:t>must</w:t>
      </w:r>
      <w:r w:rsidR="00824FA7">
        <w:t xml:space="preserve"> </w:t>
      </w:r>
      <w:r w:rsidR="00030F53">
        <w:t>notify</w:t>
      </w:r>
      <w:r w:rsidR="00824FA7">
        <w:t xml:space="preserve"> </w:t>
      </w:r>
      <w:r w:rsidR="00030F53">
        <w:t>SCV</w:t>
      </w:r>
      <w:r w:rsidR="00824FA7">
        <w:t xml:space="preserve"> </w:t>
      </w:r>
      <w:r w:rsidR="00030F53">
        <w:t>of</w:t>
      </w:r>
      <w:r w:rsidR="00824FA7">
        <w:t xml:space="preserve"> </w:t>
      </w:r>
      <w:r w:rsidR="00030F53">
        <w:t>a</w:t>
      </w:r>
      <w:r w:rsidR="00824FA7">
        <w:t xml:space="preserve"> </w:t>
      </w:r>
      <w:r w:rsidR="00030F53">
        <w:t>sentinel</w:t>
      </w:r>
      <w:r w:rsidR="00824FA7">
        <w:t xml:space="preserve"> </w:t>
      </w:r>
      <w:r w:rsidR="00030F53">
        <w:t>event</w:t>
      </w:r>
      <w:r w:rsidR="00824FA7">
        <w:t xml:space="preserve"> </w:t>
      </w:r>
      <w:r w:rsidR="00030F53">
        <w:t>within</w:t>
      </w:r>
      <w:r w:rsidR="00824FA7">
        <w:t xml:space="preserve"> </w:t>
      </w:r>
      <w:r w:rsidR="3FF0616B">
        <w:t>three</w:t>
      </w:r>
      <w:r w:rsidR="00960886">
        <w:t xml:space="preserve"> </w:t>
      </w:r>
      <w:r w:rsidR="00030F53">
        <w:t>business</w:t>
      </w:r>
      <w:r w:rsidR="00824FA7">
        <w:t xml:space="preserve"> </w:t>
      </w:r>
      <w:r w:rsidR="00030F53">
        <w:t>days</w:t>
      </w:r>
      <w:r w:rsidR="00824FA7">
        <w:t xml:space="preserve"> </w:t>
      </w:r>
      <w:r w:rsidR="00030F53">
        <w:t>of</w:t>
      </w:r>
      <w:r w:rsidR="00824FA7">
        <w:t xml:space="preserve"> </w:t>
      </w:r>
      <w:r w:rsidR="00030F53">
        <w:t>becoming</w:t>
      </w:r>
      <w:r w:rsidR="00824FA7">
        <w:t xml:space="preserve"> </w:t>
      </w:r>
      <w:r w:rsidR="00030F53">
        <w:t>aware</w:t>
      </w:r>
      <w:r w:rsidR="00824FA7">
        <w:t xml:space="preserve"> </w:t>
      </w:r>
      <w:r w:rsidR="00030F53">
        <w:t>of</w:t>
      </w:r>
      <w:r w:rsidR="00824FA7">
        <w:t xml:space="preserve"> </w:t>
      </w:r>
      <w:r w:rsidR="00030F53">
        <w:t>the</w:t>
      </w:r>
      <w:r w:rsidR="00824FA7">
        <w:t xml:space="preserve"> </w:t>
      </w:r>
      <w:r w:rsidR="00030F53">
        <w:t>event.</w:t>
      </w:r>
    </w:p>
    <w:p w14:paraId="0EBC7D9A" w14:textId="67F8D6BB" w:rsidR="00030F53" w:rsidRPr="006657E9" w:rsidRDefault="005B1B3B" w:rsidP="0057201C">
      <w:pPr>
        <w:pStyle w:val="SCVbody"/>
      </w:pPr>
      <w:r>
        <w:lastRenderedPageBreak/>
        <w:t>F</w:t>
      </w:r>
      <w:r w:rsidR="00030F53">
        <w:t>or</w:t>
      </w:r>
      <w:r w:rsidR="00824FA7">
        <w:t xml:space="preserve"> </w:t>
      </w:r>
      <w:r w:rsidR="00030F53">
        <w:t>202</w:t>
      </w:r>
      <w:r w:rsidR="6DAA97AB">
        <w:t>4</w:t>
      </w:r>
      <w:r w:rsidR="001F6610">
        <w:t>–</w:t>
      </w:r>
      <w:r w:rsidR="000A3362">
        <w:t>2</w:t>
      </w:r>
      <w:r w:rsidR="4AEC5127">
        <w:t>5</w:t>
      </w:r>
      <w:r w:rsidR="00516D64">
        <w:t>, Table</w:t>
      </w:r>
      <w:r w:rsidR="6DD4BF1C">
        <w:t>s</w:t>
      </w:r>
      <w:r w:rsidR="00516D64">
        <w:t xml:space="preserve"> </w:t>
      </w:r>
      <w:r w:rsidR="7AE66B1D">
        <w:t>24 and 25</w:t>
      </w:r>
      <w:r w:rsidR="00516D64">
        <w:t xml:space="preserve"> show that</w:t>
      </w:r>
      <w:r w:rsidR="00030F53">
        <w:t>:</w:t>
      </w:r>
    </w:p>
    <w:p w14:paraId="702B47DF" w14:textId="6BD2826B" w:rsidR="00030F53" w:rsidRPr="006657E9" w:rsidRDefault="00030F53" w:rsidP="0057201C">
      <w:pPr>
        <w:pStyle w:val="SCVbullet1"/>
      </w:pPr>
      <w:r>
        <w:t>the</w:t>
      </w:r>
      <w:r w:rsidR="00824FA7">
        <w:t xml:space="preserve"> </w:t>
      </w:r>
      <w:r>
        <w:t>average</w:t>
      </w:r>
      <w:r w:rsidR="00824FA7">
        <w:t xml:space="preserve"> </w:t>
      </w:r>
      <w:r w:rsidR="00670FB7">
        <w:t xml:space="preserve">number of </w:t>
      </w:r>
      <w:r>
        <w:t>days</w:t>
      </w:r>
      <w:r w:rsidR="00824FA7">
        <w:t xml:space="preserve"> </w:t>
      </w:r>
      <w:r>
        <w:t>to</w:t>
      </w:r>
      <w:r w:rsidR="00824FA7">
        <w:t xml:space="preserve"> </w:t>
      </w:r>
      <w:r>
        <w:t>notify</w:t>
      </w:r>
      <w:r w:rsidR="00824FA7">
        <w:t xml:space="preserve"> </w:t>
      </w:r>
      <w:r>
        <w:t>a</w:t>
      </w:r>
      <w:r w:rsidR="00824FA7">
        <w:t xml:space="preserve"> </w:t>
      </w:r>
      <w:r>
        <w:t>sentinel</w:t>
      </w:r>
      <w:r w:rsidR="00824FA7">
        <w:t xml:space="preserve"> </w:t>
      </w:r>
      <w:r>
        <w:t>event</w:t>
      </w:r>
      <w:r w:rsidR="00824FA7">
        <w:t xml:space="preserve"> </w:t>
      </w:r>
      <w:r>
        <w:t>was</w:t>
      </w:r>
      <w:r w:rsidR="00824FA7">
        <w:t xml:space="preserve"> </w:t>
      </w:r>
      <w:r>
        <w:t>22</w:t>
      </w:r>
      <w:r w:rsidR="008F539C">
        <w:t>.</w:t>
      </w:r>
      <w:r w:rsidR="3DAA84DD">
        <w:t>1</w:t>
      </w:r>
      <w:r w:rsidR="00824FA7">
        <w:t xml:space="preserve"> </w:t>
      </w:r>
      <w:r>
        <w:t>business</w:t>
      </w:r>
      <w:r w:rsidR="00824FA7">
        <w:t xml:space="preserve"> </w:t>
      </w:r>
      <w:r>
        <w:t>days,</w:t>
      </w:r>
      <w:r w:rsidR="00824FA7">
        <w:t xml:space="preserve"> </w:t>
      </w:r>
      <w:r>
        <w:t>reduced</w:t>
      </w:r>
      <w:r w:rsidR="00824FA7">
        <w:t xml:space="preserve"> </w:t>
      </w:r>
      <w:r>
        <w:t>from</w:t>
      </w:r>
      <w:r w:rsidR="00824FA7">
        <w:t xml:space="preserve"> </w:t>
      </w:r>
      <w:r>
        <w:t>27.7</w:t>
      </w:r>
      <w:r w:rsidR="00824FA7">
        <w:t xml:space="preserve"> </w:t>
      </w:r>
      <w:r>
        <w:t>business</w:t>
      </w:r>
      <w:r w:rsidR="00824FA7">
        <w:t xml:space="preserve"> </w:t>
      </w:r>
      <w:r>
        <w:t>days</w:t>
      </w:r>
      <w:r w:rsidR="00824FA7">
        <w:t xml:space="preserve"> </w:t>
      </w:r>
      <w:r>
        <w:t>in</w:t>
      </w:r>
      <w:r w:rsidR="00824FA7">
        <w:t xml:space="preserve"> </w:t>
      </w:r>
      <w:r>
        <w:t>2022</w:t>
      </w:r>
      <w:r w:rsidR="001F6610">
        <w:t>–</w:t>
      </w:r>
      <w:r w:rsidR="007D2EAC">
        <w:t>2</w:t>
      </w:r>
      <w:r>
        <w:t>3</w:t>
      </w:r>
      <w:r w:rsidR="66C847CB">
        <w:t xml:space="preserve"> and consistent with 2023</w:t>
      </w:r>
      <w:r w:rsidR="005F2EBC">
        <w:t>–</w:t>
      </w:r>
      <w:r w:rsidR="007D2EAC">
        <w:t>2</w:t>
      </w:r>
      <w:r w:rsidR="66C847CB">
        <w:t>4</w:t>
      </w:r>
    </w:p>
    <w:p w14:paraId="4771286D" w14:textId="33D1194A" w:rsidR="00030F53" w:rsidRPr="006657E9" w:rsidRDefault="2B5318C7" w:rsidP="0057201C">
      <w:pPr>
        <w:pStyle w:val="SCVbullet1"/>
      </w:pPr>
      <w:r>
        <w:t>26</w:t>
      </w:r>
      <w:r w:rsidR="00182D8B">
        <w:t>%</w:t>
      </w:r>
      <w:r w:rsidR="00824FA7">
        <w:t xml:space="preserve"> </w:t>
      </w:r>
      <w:r w:rsidR="00030F53">
        <w:t>of</w:t>
      </w:r>
      <w:r w:rsidR="00824FA7">
        <w:t xml:space="preserve"> </w:t>
      </w:r>
      <w:r w:rsidR="00030F53">
        <w:t>sentinel</w:t>
      </w:r>
      <w:r w:rsidR="00824FA7">
        <w:t xml:space="preserve"> </w:t>
      </w:r>
      <w:r w:rsidR="00030F53">
        <w:t>events</w:t>
      </w:r>
      <w:r w:rsidR="00824FA7">
        <w:t xml:space="preserve"> </w:t>
      </w:r>
      <w:r w:rsidR="00030F53">
        <w:t>were</w:t>
      </w:r>
      <w:r w:rsidR="00824FA7">
        <w:t xml:space="preserve"> </w:t>
      </w:r>
      <w:r w:rsidR="00030F53">
        <w:t>notified</w:t>
      </w:r>
      <w:r w:rsidR="00824FA7">
        <w:t xml:space="preserve"> </w:t>
      </w:r>
      <w:r w:rsidR="00030F53">
        <w:t>within</w:t>
      </w:r>
      <w:r w:rsidR="00824FA7">
        <w:t xml:space="preserve"> </w:t>
      </w:r>
      <w:r w:rsidR="6E3263F0">
        <w:t>three</w:t>
      </w:r>
      <w:r w:rsidR="00960886">
        <w:t xml:space="preserve"> </w:t>
      </w:r>
      <w:r w:rsidR="00030F53">
        <w:t>business</w:t>
      </w:r>
      <w:r w:rsidR="00824FA7">
        <w:t xml:space="preserve"> </w:t>
      </w:r>
      <w:r w:rsidR="00030F53">
        <w:t>days,</w:t>
      </w:r>
      <w:r w:rsidR="00824FA7">
        <w:t xml:space="preserve"> </w:t>
      </w:r>
      <w:r w:rsidR="4523E8B5">
        <w:t>up</w:t>
      </w:r>
      <w:r w:rsidR="00824FA7">
        <w:t xml:space="preserve"> </w:t>
      </w:r>
      <w:r w:rsidR="00030F53">
        <w:t>from</w:t>
      </w:r>
      <w:r w:rsidR="00824FA7">
        <w:t xml:space="preserve"> </w:t>
      </w:r>
      <w:r w:rsidR="6E5C685E">
        <w:t>17</w:t>
      </w:r>
      <w:r w:rsidR="00182D8B">
        <w:t>%</w:t>
      </w:r>
      <w:r w:rsidR="00824FA7">
        <w:t xml:space="preserve"> </w:t>
      </w:r>
      <w:r w:rsidR="00030F53">
        <w:t>in</w:t>
      </w:r>
      <w:r w:rsidR="00824FA7">
        <w:t xml:space="preserve"> </w:t>
      </w:r>
      <w:r w:rsidR="00030F53">
        <w:t>202</w:t>
      </w:r>
      <w:r w:rsidR="4BCA3F70">
        <w:t>3</w:t>
      </w:r>
      <w:r w:rsidR="005F2EBC">
        <w:t>–</w:t>
      </w:r>
      <w:r w:rsidR="00030F53">
        <w:t>2</w:t>
      </w:r>
      <w:r w:rsidR="56E53FBA">
        <w:t>4</w:t>
      </w:r>
      <w:r w:rsidR="00030F53">
        <w:t>.</w:t>
      </w:r>
    </w:p>
    <w:p w14:paraId="7B4FA9F3" w14:textId="1650B966" w:rsidR="00806F1D" w:rsidRPr="006657E9" w:rsidRDefault="001E40C9" w:rsidP="00834EF2">
      <w:pPr>
        <w:pStyle w:val="SCVbodyafterheading"/>
      </w:pPr>
      <w:r>
        <w:t>This shows that health services have improved reporting notification times</w:t>
      </w:r>
      <w:r w:rsidR="0054148E">
        <w:t>,</w:t>
      </w:r>
      <w:r w:rsidR="00C84248">
        <w:t xml:space="preserve"> indicating continuing improvement in reporting culture.</w:t>
      </w:r>
    </w:p>
    <w:p w14:paraId="35EB0427" w14:textId="28847D32" w:rsidR="00A74C35" w:rsidRPr="00636959" w:rsidRDefault="11D26C5F" w:rsidP="001B289D">
      <w:pPr>
        <w:pStyle w:val="SCVfigurecaption"/>
      </w:pPr>
      <w:bookmarkStart w:id="56" w:name="_Toc185595274"/>
      <w:r>
        <w:t>Table 24</w:t>
      </w:r>
      <w:r w:rsidR="00830748">
        <w:t>:</w:t>
      </w:r>
      <w:r w:rsidR="00A74C35">
        <w:t xml:space="preserve"> </w:t>
      </w:r>
      <w:r w:rsidR="002A3E6A">
        <w:t>Number of business d</w:t>
      </w:r>
      <w:r w:rsidR="00A74C35">
        <w:t>ays to notify</w:t>
      </w:r>
      <w:r w:rsidR="00830748">
        <w:t xml:space="preserve"> sentinel event</w:t>
      </w:r>
      <w:r w:rsidR="00845E81">
        <w:t>, 2022–23 to 2024–25</w:t>
      </w:r>
    </w:p>
    <w:tbl>
      <w:tblPr>
        <w:tblStyle w:val="TableGrid"/>
        <w:tblW w:w="0" w:type="auto"/>
        <w:tblLook w:val="06A0" w:firstRow="1" w:lastRow="0" w:firstColumn="1" w:lastColumn="0" w:noHBand="1" w:noVBand="1"/>
      </w:tblPr>
      <w:tblGrid>
        <w:gridCol w:w="2265"/>
        <w:gridCol w:w="2268"/>
        <w:gridCol w:w="2268"/>
        <w:gridCol w:w="2268"/>
      </w:tblGrid>
      <w:tr w:rsidR="271C3A84" w:rsidRPr="00050912" w14:paraId="2ED6C8BD" w14:textId="77777777" w:rsidTr="00257A16">
        <w:trPr>
          <w:cnfStyle w:val="100000000000" w:firstRow="1" w:lastRow="0" w:firstColumn="0" w:lastColumn="0" w:oddVBand="0" w:evenVBand="0" w:oddHBand="0" w:evenHBand="0" w:firstRowFirstColumn="0" w:firstRowLastColumn="0" w:lastRowFirstColumn="0" w:lastRowLastColumn="0"/>
          <w:trHeight w:val="285"/>
        </w:trPr>
        <w:tc>
          <w:tcPr>
            <w:tcW w:w="2265" w:type="dxa"/>
          </w:tcPr>
          <w:p w14:paraId="15D1CAAB" w14:textId="77BD8FA4" w:rsidR="271C3A84" w:rsidRPr="00050912" w:rsidRDefault="271C3A84" w:rsidP="271C3A84">
            <w:pPr>
              <w:pStyle w:val="SCVfigurecaption"/>
              <w:rPr>
                <w:rFonts w:ascii="Arial" w:eastAsia="Arial" w:hAnsi="Arial" w:cs="Arial"/>
                <w:color w:val="007586" w:themeColor="accent2"/>
                <w:szCs w:val="24"/>
                <w:lang w:val="en-US"/>
              </w:rPr>
            </w:pPr>
            <w:r w:rsidRPr="00050912">
              <w:rPr>
                <w:rFonts w:ascii="Arial" w:eastAsia="Arial" w:hAnsi="Arial" w:cs="Arial"/>
                <w:color w:val="007586" w:themeColor="accent2"/>
                <w:szCs w:val="24"/>
              </w:rPr>
              <w:t>Days to notify sentinel event</w:t>
            </w:r>
          </w:p>
        </w:tc>
        <w:tc>
          <w:tcPr>
            <w:tcW w:w="2268" w:type="dxa"/>
            <w:vAlign w:val="center"/>
          </w:tcPr>
          <w:p w14:paraId="5DA190ED" w14:textId="49485436" w:rsidR="271C3A84" w:rsidRPr="00050912" w:rsidRDefault="271C3A84" w:rsidP="00257A16">
            <w:pPr>
              <w:pStyle w:val="SCVfigurecaption"/>
              <w:jc w:val="right"/>
              <w:rPr>
                <w:rFonts w:ascii="Arial" w:eastAsia="Arial" w:hAnsi="Arial" w:cs="Arial"/>
                <w:color w:val="007586" w:themeColor="accent2"/>
                <w:szCs w:val="24"/>
                <w:lang w:val="en-US"/>
              </w:rPr>
            </w:pPr>
            <w:r w:rsidRPr="00050912">
              <w:rPr>
                <w:rFonts w:ascii="Arial" w:eastAsia="Arial" w:hAnsi="Arial" w:cs="Arial"/>
                <w:color w:val="007586" w:themeColor="accent2"/>
                <w:szCs w:val="24"/>
              </w:rPr>
              <w:t>2022–23</w:t>
            </w:r>
          </w:p>
        </w:tc>
        <w:tc>
          <w:tcPr>
            <w:tcW w:w="2268" w:type="dxa"/>
            <w:vAlign w:val="center"/>
          </w:tcPr>
          <w:p w14:paraId="271038D3" w14:textId="2F368207" w:rsidR="271C3A84" w:rsidRPr="00050912" w:rsidRDefault="271C3A84" w:rsidP="00257A16">
            <w:pPr>
              <w:pStyle w:val="SCVfigurecaption"/>
              <w:jc w:val="right"/>
              <w:rPr>
                <w:rFonts w:ascii="Arial" w:eastAsia="Arial" w:hAnsi="Arial" w:cs="Arial"/>
                <w:color w:val="007586" w:themeColor="accent2"/>
                <w:szCs w:val="24"/>
                <w:lang w:val="en-US"/>
              </w:rPr>
            </w:pPr>
            <w:r w:rsidRPr="00050912">
              <w:rPr>
                <w:rFonts w:ascii="Arial" w:eastAsia="Arial" w:hAnsi="Arial" w:cs="Arial"/>
                <w:color w:val="007586" w:themeColor="accent2"/>
                <w:szCs w:val="24"/>
              </w:rPr>
              <w:t>2023–24</w:t>
            </w:r>
          </w:p>
        </w:tc>
        <w:tc>
          <w:tcPr>
            <w:tcW w:w="2268" w:type="dxa"/>
            <w:vAlign w:val="center"/>
          </w:tcPr>
          <w:p w14:paraId="68D1D993" w14:textId="4848E0D4" w:rsidR="271C3A84" w:rsidRPr="00050912" w:rsidRDefault="271C3A84" w:rsidP="00257A16">
            <w:pPr>
              <w:pStyle w:val="SCVfigurecaption"/>
              <w:jc w:val="right"/>
              <w:rPr>
                <w:rFonts w:ascii="Arial" w:eastAsia="Arial" w:hAnsi="Arial" w:cs="Arial"/>
                <w:color w:val="007586" w:themeColor="accent2"/>
                <w:szCs w:val="24"/>
                <w:lang w:val="en-US"/>
              </w:rPr>
            </w:pPr>
            <w:r w:rsidRPr="00050912">
              <w:rPr>
                <w:rFonts w:ascii="Arial" w:eastAsia="Arial" w:hAnsi="Arial" w:cs="Arial"/>
                <w:color w:val="007586" w:themeColor="accent2"/>
                <w:szCs w:val="24"/>
              </w:rPr>
              <w:t>2024–25</w:t>
            </w:r>
          </w:p>
        </w:tc>
      </w:tr>
      <w:tr w:rsidR="271C3A84" w:rsidRPr="00050912" w14:paraId="5BA86AA3" w14:textId="77777777" w:rsidTr="00257A16">
        <w:trPr>
          <w:trHeight w:val="285"/>
        </w:trPr>
        <w:tc>
          <w:tcPr>
            <w:tcW w:w="2265" w:type="dxa"/>
          </w:tcPr>
          <w:p w14:paraId="6F25BFCD" w14:textId="5C434065"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&lt;4</w:t>
            </w:r>
          </w:p>
        </w:tc>
        <w:tc>
          <w:tcPr>
            <w:tcW w:w="2268" w:type="dxa"/>
            <w:vAlign w:val="center"/>
          </w:tcPr>
          <w:p w14:paraId="48A4F574" w14:textId="4E9A94AD"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23%</w:t>
            </w:r>
          </w:p>
        </w:tc>
        <w:tc>
          <w:tcPr>
            <w:tcW w:w="2268" w:type="dxa"/>
            <w:vAlign w:val="center"/>
          </w:tcPr>
          <w:p w14:paraId="3E94C97E" w14:textId="14EDB346"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17%</w:t>
            </w:r>
          </w:p>
        </w:tc>
        <w:tc>
          <w:tcPr>
            <w:tcW w:w="2268" w:type="dxa"/>
            <w:vAlign w:val="center"/>
          </w:tcPr>
          <w:p w14:paraId="33E6545A" w14:textId="52732FF5"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26%</w:t>
            </w:r>
          </w:p>
        </w:tc>
      </w:tr>
      <w:tr w:rsidR="271C3A84" w:rsidRPr="00050912" w14:paraId="0EAE2AFC" w14:textId="77777777" w:rsidTr="00257A16">
        <w:trPr>
          <w:trHeight w:val="285"/>
        </w:trPr>
        <w:tc>
          <w:tcPr>
            <w:tcW w:w="2265" w:type="dxa"/>
          </w:tcPr>
          <w:p w14:paraId="6016448C" w14:textId="00ED73D0"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4-8</w:t>
            </w:r>
          </w:p>
        </w:tc>
        <w:tc>
          <w:tcPr>
            <w:tcW w:w="2268" w:type="dxa"/>
            <w:vAlign w:val="center"/>
          </w:tcPr>
          <w:p w14:paraId="39DB6C7A" w14:textId="78A8705C"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17%</w:t>
            </w:r>
          </w:p>
        </w:tc>
        <w:tc>
          <w:tcPr>
            <w:tcW w:w="2268" w:type="dxa"/>
            <w:vAlign w:val="center"/>
          </w:tcPr>
          <w:p w14:paraId="6D26FB0B" w14:textId="41F76425"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26%</w:t>
            </w:r>
          </w:p>
        </w:tc>
        <w:tc>
          <w:tcPr>
            <w:tcW w:w="2268" w:type="dxa"/>
            <w:vAlign w:val="center"/>
          </w:tcPr>
          <w:p w14:paraId="7126C72F" w14:textId="4A12D55A"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22%</w:t>
            </w:r>
          </w:p>
        </w:tc>
      </w:tr>
      <w:tr w:rsidR="271C3A84" w:rsidRPr="00050912" w14:paraId="043F9C45" w14:textId="77777777" w:rsidTr="00257A16">
        <w:trPr>
          <w:trHeight w:val="285"/>
        </w:trPr>
        <w:tc>
          <w:tcPr>
            <w:tcW w:w="2265" w:type="dxa"/>
          </w:tcPr>
          <w:p w14:paraId="733F83C5" w14:textId="3077F809"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9-13</w:t>
            </w:r>
          </w:p>
        </w:tc>
        <w:tc>
          <w:tcPr>
            <w:tcW w:w="2268" w:type="dxa"/>
            <w:vAlign w:val="center"/>
          </w:tcPr>
          <w:p w14:paraId="102EDF63" w14:textId="3D45F39A"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11%</w:t>
            </w:r>
          </w:p>
        </w:tc>
        <w:tc>
          <w:tcPr>
            <w:tcW w:w="2268" w:type="dxa"/>
            <w:vAlign w:val="center"/>
          </w:tcPr>
          <w:p w14:paraId="42C6E75D" w14:textId="5CD6F908"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16%</w:t>
            </w:r>
          </w:p>
        </w:tc>
        <w:tc>
          <w:tcPr>
            <w:tcW w:w="2268" w:type="dxa"/>
            <w:vAlign w:val="center"/>
          </w:tcPr>
          <w:p w14:paraId="76E53AA6" w14:textId="64D15A16"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12%</w:t>
            </w:r>
          </w:p>
        </w:tc>
      </w:tr>
      <w:tr w:rsidR="271C3A84" w:rsidRPr="00050912" w14:paraId="77BA6B9F" w14:textId="77777777" w:rsidTr="00257A16">
        <w:trPr>
          <w:trHeight w:val="285"/>
        </w:trPr>
        <w:tc>
          <w:tcPr>
            <w:tcW w:w="2265" w:type="dxa"/>
          </w:tcPr>
          <w:p w14:paraId="25DA86B5" w14:textId="67A21CFC"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14-18</w:t>
            </w:r>
          </w:p>
        </w:tc>
        <w:tc>
          <w:tcPr>
            <w:tcW w:w="2268" w:type="dxa"/>
            <w:vAlign w:val="center"/>
          </w:tcPr>
          <w:p w14:paraId="2F37D9CF" w14:textId="2EBA0AAF"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11%</w:t>
            </w:r>
          </w:p>
        </w:tc>
        <w:tc>
          <w:tcPr>
            <w:tcW w:w="2268" w:type="dxa"/>
            <w:vAlign w:val="center"/>
          </w:tcPr>
          <w:p w14:paraId="3548BBFE" w14:textId="26CB0279"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7%</w:t>
            </w:r>
          </w:p>
        </w:tc>
        <w:tc>
          <w:tcPr>
            <w:tcW w:w="2268" w:type="dxa"/>
            <w:vAlign w:val="center"/>
          </w:tcPr>
          <w:p w14:paraId="4AFA1747" w14:textId="3CF82F5D"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6%</w:t>
            </w:r>
          </w:p>
        </w:tc>
      </w:tr>
      <w:tr w:rsidR="271C3A84" w:rsidRPr="00050912" w14:paraId="20F47882" w14:textId="77777777" w:rsidTr="00257A16">
        <w:trPr>
          <w:trHeight w:val="285"/>
        </w:trPr>
        <w:tc>
          <w:tcPr>
            <w:tcW w:w="2265" w:type="dxa"/>
          </w:tcPr>
          <w:p w14:paraId="6B35F897" w14:textId="38B39990"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19-23</w:t>
            </w:r>
          </w:p>
        </w:tc>
        <w:tc>
          <w:tcPr>
            <w:tcW w:w="2268" w:type="dxa"/>
            <w:vAlign w:val="center"/>
          </w:tcPr>
          <w:p w14:paraId="16EDD526" w14:textId="4FA22993"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7%</w:t>
            </w:r>
          </w:p>
        </w:tc>
        <w:tc>
          <w:tcPr>
            <w:tcW w:w="2268" w:type="dxa"/>
            <w:vAlign w:val="center"/>
          </w:tcPr>
          <w:p w14:paraId="5CEEA2F5" w14:textId="28875F56"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7%</w:t>
            </w:r>
          </w:p>
        </w:tc>
        <w:tc>
          <w:tcPr>
            <w:tcW w:w="2268" w:type="dxa"/>
            <w:vAlign w:val="center"/>
          </w:tcPr>
          <w:p w14:paraId="674BAF65" w14:textId="08BDB7E0"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6%</w:t>
            </w:r>
          </w:p>
        </w:tc>
      </w:tr>
      <w:tr w:rsidR="271C3A84" w:rsidRPr="00050912" w14:paraId="17BA7C83" w14:textId="77777777" w:rsidTr="00257A16">
        <w:trPr>
          <w:trHeight w:val="285"/>
        </w:trPr>
        <w:tc>
          <w:tcPr>
            <w:tcW w:w="2265" w:type="dxa"/>
          </w:tcPr>
          <w:p w14:paraId="4334B528" w14:textId="6F1A5C4A"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24-28</w:t>
            </w:r>
          </w:p>
        </w:tc>
        <w:tc>
          <w:tcPr>
            <w:tcW w:w="2268" w:type="dxa"/>
            <w:vAlign w:val="center"/>
          </w:tcPr>
          <w:p w14:paraId="51C86990" w14:textId="17823540"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4%</w:t>
            </w:r>
          </w:p>
        </w:tc>
        <w:tc>
          <w:tcPr>
            <w:tcW w:w="2268" w:type="dxa"/>
            <w:vAlign w:val="center"/>
          </w:tcPr>
          <w:p w14:paraId="243CE7CB" w14:textId="66A55789"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3%</w:t>
            </w:r>
          </w:p>
        </w:tc>
        <w:tc>
          <w:tcPr>
            <w:tcW w:w="2268" w:type="dxa"/>
            <w:vAlign w:val="center"/>
          </w:tcPr>
          <w:p w14:paraId="732DC665" w14:textId="694C72BD"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6%</w:t>
            </w:r>
          </w:p>
        </w:tc>
      </w:tr>
      <w:tr w:rsidR="271C3A84" w:rsidRPr="00050912" w14:paraId="35DA63E1" w14:textId="77777777" w:rsidTr="00257A16">
        <w:trPr>
          <w:trHeight w:val="285"/>
        </w:trPr>
        <w:tc>
          <w:tcPr>
            <w:tcW w:w="2265" w:type="dxa"/>
          </w:tcPr>
          <w:p w14:paraId="30B82F1C" w14:textId="72186157"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29-33</w:t>
            </w:r>
          </w:p>
        </w:tc>
        <w:tc>
          <w:tcPr>
            <w:tcW w:w="2268" w:type="dxa"/>
            <w:vAlign w:val="center"/>
          </w:tcPr>
          <w:p w14:paraId="22B9CF11" w14:textId="7666E05D"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4%</w:t>
            </w:r>
          </w:p>
        </w:tc>
        <w:tc>
          <w:tcPr>
            <w:tcW w:w="2268" w:type="dxa"/>
            <w:vAlign w:val="center"/>
          </w:tcPr>
          <w:p w14:paraId="07EBFBB7" w14:textId="26F964B1"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w:t>
            </w:r>
          </w:p>
        </w:tc>
        <w:tc>
          <w:tcPr>
            <w:tcW w:w="2268" w:type="dxa"/>
            <w:vAlign w:val="center"/>
          </w:tcPr>
          <w:p w14:paraId="5455651E" w14:textId="3AFBC666"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4%</w:t>
            </w:r>
          </w:p>
        </w:tc>
      </w:tr>
      <w:tr w:rsidR="271C3A84" w:rsidRPr="00050912" w14:paraId="5D4E68F4" w14:textId="77777777" w:rsidTr="00257A16">
        <w:trPr>
          <w:trHeight w:val="285"/>
        </w:trPr>
        <w:tc>
          <w:tcPr>
            <w:tcW w:w="2265" w:type="dxa"/>
          </w:tcPr>
          <w:p w14:paraId="3319839C" w14:textId="36427194" w:rsidR="271C3A84" w:rsidRPr="00257A16" w:rsidRDefault="271C3A84" w:rsidP="271C3A84">
            <w:pPr>
              <w:pStyle w:val="SCVtablebody"/>
              <w:rPr>
                <w:rFonts w:ascii="Arial" w:eastAsia="Arial" w:hAnsi="Arial" w:cs="Arial"/>
                <w:b/>
                <w:bCs/>
                <w:color w:val="007586" w:themeColor="text2"/>
                <w:sz w:val="24"/>
                <w:szCs w:val="24"/>
                <w:lang w:val="en-US"/>
              </w:rPr>
            </w:pPr>
            <w:r w:rsidRPr="00257A16">
              <w:rPr>
                <w:rFonts w:ascii="Arial" w:eastAsia="Arial" w:hAnsi="Arial" w:cs="Arial"/>
                <w:b/>
                <w:bCs/>
                <w:color w:val="007586" w:themeColor="text2"/>
                <w:sz w:val="24"/>
                <w:szCs w:val="24"/>
              </w:rPr>
              <w:t>34+</w:t>
            </w:r>
          </w:p>
        </w:tc>
        <w:tc>
          <w:tcPr>
            <w:tcW w:w="2268" w:type="dxa"/>
            <w:vAlign w:val="center"/>
          </w:tcPr>
          <w:p w14:paraId="40B6FD59" w14:textId="3302066C"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23%</w:t>
            </w:r>
          </w:p>
        </w:tc>
        <w:tc>
          <w:tcPr>
            <w:tcW w:w="2268" w:type="dxa"/>
            <w:vAlign w:val="center"/>
          </w:tcPr>
          <w:p w14:paraId="089AC5C8" w14:textId="68FC75C1"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22%</w:t>
            </w:r>
          </w:p>
        </w:tc>
        <w:tc>
          <w:tcPr>
            <w:tcW w:w="2268" w:type="dxa"/>
            <w:vAlign w:val="center"/>
          </w:tcPr>
          <w:p w14:paraId="38875B0B" w14:textId="1093BA07" w:rsidR="271C3A84" w:rsidRPr="00050912" w:rsidRDefault="271C3A84" w:rsidP="00257A16">
            <w:pPr>
              <w:pStyle w:val="SCVtablebody"/>
              <w:jc w:val="right"/>
              <w:rPr>
                <w:rFonts w:ascii="Arial" w:eastAsia="Arial" w:hAnsi="Arial" w:cs="Arial"/>
                <w:color w:val="000000" w:themeColor="text1"/>
                <w:sz w:val="24"/>
                <w:szCs w:val="24"/>
                <w:lang w:val="en-US"/>
              </w:rPr>
            </w:pPr>
            <w:r w:rsidRPr="00050912">
              <w:rPr>
                <w:rFonts w:ascii="Arial" w:eastAsia="Arial" w:hAnsi="Arial" w:cs="Arial"/>
                <w:color w:val="000000" w:themeColor="text1"/>
                <w:sz w:val="24"/>
                <w:szCs w:val="24"/>
              </w:rPr>
              <w:t>17%</w:t>
            </w:r>
          </w:p>
        </w:tc>
      </w:tr>
    </w:tbl>
    <w:p w14:paraId="297E3149" w14:textId="77777777" w:rsidR="00A14109" w:rsidRDefault="00A14109" w:rsidP="00A14109">
      <w:pPr>
        <w:pStyle w:val="SCVtablefigurenote"/>
      </w:pPr>
      <w:r w:rsidRPr="00E343FB">
        <w:t>Note: Totals not 100% due to rounding</w:t>
      </w:r>
    </w:p>
    <w:p w14:paraId="140B1633" w14:textId="1CAA3879" w:rsidR="00A74C35" w:rsidRPr="00636959" w:rsidRDefault="0054148E" w:rsidP="00834EF2">
      <w:pPr>
        <w:pStyle w:val="SCVtablecaption"/>
      </w:pPr>
      <w:r>
        <w:t xml:space="preserve">Table </w:t>
      </w:r>
      <w:r w:rsidR="44AC424A">
        <w:t>25</w:t>
      </w:r>
      <w:r>
        <w:t>: Number of business days to notify sentinel event, 2022–23 to 2024–25</w:t>
      </w:r>
    </w:p>
    <w:tbl>
      <w:tblPr>
        <w:tblStyle w:val="TableGrid"/>
        <w:tblW w:w="9240" w:type="dxa"/>
        <w:tblLook w:val="04A0" w:firstRow="1" w:lastRow="0" w:firstColumn="1" w:lastColumn="0" w:noHBand="0" w:noVBand="1"/>
      </w:tblPr>
      <w:tblGrid>
        <w:gridCol w:w="3798"/>
        <w:gridCol w:w="1814"/>
        <w:gridCol w:w="1814"/>
        <w:gridCol w:w="1814"/>
      </w:tblGrid>
      <w:tr w:rsidR="00A74C35" w:rsidRPr="00050912" w14:paraId="46AA7799" w14:textId="77777777" w:rsidTr="00257A16">
        <w:trPr>
          <w:cnfStyle w:val="100000000000" w:firstRow="1" w:lastRow="0" w:firstColumn="0" w:lastColumn="0" w:oddVBand="0" w:evenVBand="0" w:oddHBand="0" w:evenHBand="0" w:firstRowFirstColumn="0" w:firstRowLastColumn="0" w:lastRowFirstColumn="0" w:lastRowLastColumn="0"/>
          <w:trHeight w:val="218"/>
        </w:trPr>
        <w:tc>
          <w:tcPr>
            <w:tcW w:w="3798" w:type="dxa"/>
            <w:noWrap/>
            <w:hideMark/>
          </w:tcPr>
          <w:p w14:paraId="085F67B1" w14:textId="77777777" w:rsidR="00A74C35" w:rsidRPr="00050912" w:rsidRDefault="00A74C35" w:rsidP="001B289D">
            <w:pPr>
              <w:pStyle w:val="SCVtablecolhead"/>
              <w:rPr>
                <w:sz w:val="24"/>
                <w:szCs w:val="24"/>
              </w:rPr>
            </w:pPr>
            <w:r w:rsidRPr="00050912">
              <w:rPr>
                <w:rFonts w:eastAsia="Arial"/>
                <w:sz w:val="24"/>
                <w:szCs w:val="24"/>
              </w:rPr>
              <w:t> </w:t>
            </w:r>
          </w:p>
        </w:tc>
        <w:tc>
          <w:tcPr>
            <w:tcW w:w="1814" w:type="dxa"/>
            <w:noWrap/>
            <w:vAlign w:val="center"/>
            <w:hideMark/>
          </w:tcPr>
          <w:p w14:paraId="4F199783" w14:textId="4347C1F2" w:rsidR="00A74C35" w:rsidRPr="00050912" w:rsidRDefault="00EF6041" w:rsidP="00257A16">
            <w:pPr>
              <w:pStyle w:val="SCVtablecolhead"/>
              <w:jc w:val="right"/>
              <w:rPr>
                <w:color w:val="000000"/>
                <w:sz w:val="24"/>
                <w:szCs w:val="24"/>
              </w:rPr>
            </w:pPr>
            <w:r w:rsidRPr="00050912">
              <w:rPr>
                <w:sz w:val="24"/>
                <w:szCs w:val="24"/>
              </w:rPr>
              <w:t>20</w:t>
            </w:r>
            <w:r w:rsidR="00A74C35" w:rsidRPr="00050912">
              <w:rPr>
                <w:sz w:val="24"/>
                <w:szCs w:val="24"/>
              </w:rPr>
              <w:t>22</w:t>
            </w:r>
            <w:r w:rsidRPr="00050912">
              <w:rPr>
                <w:sz w:val="24"/>
                <w:szCs w:val="24"/>
              </w:rPr>
              <w:t>–</w:t>
            </w:r>
            <w:r w:rsidR="00A74C35" w:rsidRPr="00050912">
              <w:rPr>
                <w:sz w:val="24"/>
                <w:szCs w:val="24"/>
              </w:rPr>
              <w:t>23</w:t>
            </w:r>
          </w:p>
        </w:tc>
        <w:tc>
          <w:tcPr>
            <w:tcW w:w="1814" w:type="dxa"/>
            <w:noWrap/>
            <w:vAlign w:val="center"/>
            <w:hideMark/>
          </w:tcPr>
          <w:p w14:paraId="23D66EDC" w14:textId="77433C66" w:rsidR="00A74C35" w:rsidRPr="00050912" w:rsidRDefault="00EF6041" w:rsidP="00257A16">
            <w:pPr>
              <w:pStyle w:val="SCVtablecolhead"/>
              <w:jc w:val="right"/>
              <w:rPr>
                <w:color w:val="000000"/>
                <w:sz w:val="24"/>
                <w:szCs w:val="24"/>
              </w:rPr>
            </w:pPr>
            <w:r w:rsidRPr="00050912">
              <w:rPr>
                <w:sz w:val="24"/>
                <w:szCs w:val="24"/>
              </w:rPr>
              <w:t>20</w:t>
            </w:r>
            <w:r w:rsidR="00A74C35" w:rsidRPr="00050912">
              <w:rPr>
                <w:sz w:val="24"/>
                <w:szCs w:val="24"/>
              </w:rPr>
              <w:t>23</w:t>
            </w:r>
            <w:r w:rsidR="00BD5DCF" w:rsidRPr="00050912">
              <w:rPr>
                <w:sz w:val="24"/>
                <w:szCs w:val="24"/>
              </w:rPr>
              <w:t>–</w:t>
            </w:r>
            <w:r w:rsidR="00A74C35" w:rsidRPr="00050912">
              <w:rPr>
                <w:sz w:val="24"/>
                <w:szCs w:val="24"/>
              </w:rPr>
              <w:t>24</w:t>
            </w:r>
          </w:p>
        </w:tc>
        <w:tc>
          <w:tcPr>
            <w:tcW w:w="1814" w:type="dxa"/>
            <w:noWrap/>
            <w:vAlign w:val="center"/>
            <w:hideMark/>
          </w:tcPr>
          <w:p w14:paraId="7467A178" w14:textId="2C3D38AA" w:rsidR="00A74C35" w:rsidRPr="00050912" w:rsidRDefault="00BD5DCF" w:rsidP="00257A16">
            <w:pPr>
              <w:pStyle w:val="SCVtablecolhead"/>
              <w:jc w:val="right"/>
              <w:rPr>
                <w:color w:val="000000"/>
                <w:sz w:val="24"/>
                <w:szCs w:val="24"/>
              </w:rPr>
            </w:pPr>
            <w:r w:rsidRPr="00050912">
              <w:rPr>
                <w:sz w:val="24"/>
                <w:szCs w:val="24"/>
              </w:rPr>
              <w:t>20</w:t>
            </w:r>
            <w:r w:rsidR="00A74C35" w:rsidRPr="00050912">
              <w:rPr>
                <w:sz w:val="24"/>
                <w:szCs w:val="24"/>
              </w:rPr>
              <w:t>24</w:t>
            </w:r>
            <w:r w:rsidRPr="00050912">
              <w:rPr>
                <w:sz w:val="24"/>
                <w:szCs w:val="24"/>
              </w:rPr>
              <w:t>–</w:t>
            </w:r>
            <w:r w:rsidR="00A74C35" w:rsidRPr="00050912">
              <w:rPr>
                <w:sz w:val="24"/>
                <w:szCs w:val="24"/>
              </w:rPr>
              <w:t>25</w:t>
            </w:r>
          </w:p>
        </w:tc>
      </w:tr>
      <w:tr w:rsidR="00A74C35" w:rsidRPr="00050912" w14:paraId="60C842BA" w14:textId="77777777" w:rsidTr="00257A16">
        <w:trPr>
          <w:trHeight w:val="227"/>
        </w:trPr>
        <w:tc>
          <w:tcPr>
            <w:tcW w:w="3798" w:type="dxa"/>
            <w:noWrap/>
            <w:hideMark/>
          </w:tcPr>
          <w:p w14:paraId="14BAFDEE" w14:textId="6964C383" w:rsidR="00A74C35" w:rsidRPr="00257A16" w:rsidRDefault="00A74C35" w:rsidP="001B289D">
            <w:pPr>
              <w:pStyle w:val="SCVtablebody"/>
              <w:rPr>
                <w:b/>
                <w:bCs/>
                <w:color w:val="007586" w:themeColor="text2"/>
                <w:sz w:val="24"/>
                <w:szCs w:val="24"/>
              </w:rPr>
            </w:pPr>
            <w:r w:rsidRPr="00257A16">
              <w:rPr>
                <w:b/>
                <w:bCs/>
                <w:color w:val="007586" w:themeColor="text2"/>
                <w:sz w:val="24"/>
                <w:szCs w:val="24"/>
              </w:rPr>
              <w:t>Average days to notify</w:t>
            </w:r>
          </w:p>
        </w:tc>
        <w:tc>
          <w:tcPr>
            <w:tcW w:w="1814" w:type="dxa"/>
            <w:noWrap/>
            <w:vAlign w:val="center"/>
            <w:hideMark/>
          </w:tcPr>
          <w:p w14:paraId="64AC42AA" w14:textId="270DC634" w:rsidR="00A74C35" w:rsidRPr="00050912" w:rsidRDefault="00A74C35" w:rsidP="00257A16">
            <w:pPr>
              <w:pStyle w:val="SCVtablebody"/>
              <w:jc w:val="right"/>
              <w:rPr>
                <w:color w:val="000000"/>
                <w:sz w:val="24"/>
                <w:szCs w:val="24"/>
              </w:rPr>
            </w:pPr>
            <w:r w:rsidRPr="00050912">
              <w:rPr>
                <w:sz w:val="24"/>
                <w:szCs w:val="24"/>
              </w:rPr>
              <w:t>27.7</w:t>
            </w:r>
            <w:r w:rsidR="00890AD8" w:rsidRPr="00050912">
              <w:rPr>
                <w:sz w:val="24"/>
                <w:szCs w:val="24"/>
              </w:rPr>
              <w:t xml:space="preserve"> </w:t>
            </w:r>
            <w:r w:rsidRPr="00050912">
              <w:rPr>
                <w:sz w:val="24"/>
                <w:szCs w:val="24"/>
              </w:rPr>
              <w:t>days</w:t>
            </w:r>
          </w:p>
        </w:tc>
        <w:tc>
          <w:tcPr>
            <w:tcW w:w="1814" w:type="dxa"/>
            <w:noWrap/>
            <w:vAlign w:val="center"/>
            <w:hideMark/>
          </w:tcPr>
          <w:p w14:paraId="3F865E3B" w14:textId="77777777" w:rsidR="00A74C35" w:rsidRPr="00050912" w:rsidRDefault="00A74C35" w:rsidP="00257A16">
            <w:pPr>
              <w:pStyle w:val="SCVtablebody"/>
              <w:jc w:val="right"/>
              <w:rPr>
                <w:color w:val="000000"/>
                <w:sz w:val="24"/>
                <w:szCs w:val="24"/>
              </w:rPr>
            </w:pPr>
            <w:r w:rsidRPr="00050912">
              <w:rPr>
                <w:sz w:val="24"/>
                <w:szCs w:val="24"/>
              </w:rPr>
              <w:t>22 days</w:t>
            </w:r>
          </w:p>
        </w:tc>
        <w:tc>
          <w:tcPr>
            <w:tcW w:w="1814" w:type="dxa"/>
            <w:noWrap/>
            <w:vAlign w:val="center"/>
            <w:hideMark/>
          </w:tcPr>
          <w:p w14:paraId="20D9DB8C" w14:textId="77777777" w:rsidR="00A74C35" w:rsidRPr="00050912" w:rsidRDefault="00A74C35" w:rsidP="00257A16">
            <w:pPr>
              <w:pStyle w:val="SCVtablebody"/>
              <w:jc w:val="right"/>
              <w:rPr>
                <w:color w:val="000000"/>
                <w:sz w:val="24"/>
                <w:szCs w:val="24"/>
              </w:rPr>
            </w:pPr>
            <w:r w:rsidRPr="00050912">
              <w:rPr>
                <w:sz w:val="24"/>
                <w:szCs w:val="24"/>
              </w:rPr>
              <w:t>22.1 days</w:t>
            </w:r>
          </w:p>
        </w:tc>
      </w:tr>
      <w:tr w:rsidR="00A74C35" w:rsidRPr="00050912" w14:paraId="554520C6" w14:textId="77777777" w:rsidTr="00257A16">
        <w:trPr>
          <w:trHeight w:val="218"/>
        </w:trPr>
        <w:tc>
          <w:tcPr>
            <w:tcW w:w="3798" w:type="dxa"/>
            <w:noWrap/>
            <w:hideMark/>
          </w:tcPr>
          <w:p w14:paraId="7DB4D499" w14:textId="102C44DE" w:rsidR="00A74C35" w:rsidRPr="00257A16" w:rsidRDefault="2CB33766" w:rsidP="001B289D">
            <w:pPr>
              <w:pStyle w:val="SCVtablebody"/>
              <w:rPr>
                <w:b/>
                <w:bCs/>
                <w:color w:val="007586" w:themeColor="text2"/>
                <w:sz w:val="24"/>
                <w:szCs w:val="24"/>
              </w:rPr>
            </w:pPr>
            <w:r w:rsidRPr="00257A16">
              <w:rPr>
                <w:b/>
                <w:bCs/>
                <w:color w:val="007586" w:themeColor="text2"/>
                <w:sz w:val="24"/>
                <w:szCs w:val="24"/>
              </w:rPr>
              <w:t>Percentage of events</w:t>
            </w:r>
            <w:r w:rsidR="00A74C35" w:rsidRPr="00257A16">
              <w:rPr>
                <w:b/>
                <w:bCs/>
                <w:color w:val="007586" w:themeColor="text2"/>
                <w:sz w:val="24"/>
                <w:szCs w:val="24"/>
              </w:rPr>
              <w:t xml:space="preserve"> </w:t>
            </w:r>
            <w:r w:rsidR="31CD8A49" w:rsidRPr="00257A16">
              <w:rPr>
                <w:b/>
                <w:bCs/>
                <w:color w:val="007586" w:themeColor="text2"/>
                <w:sz w:val="24"/>
                <w:szCs w:val="24"/>
              </w:rPr>
              <w:t>n</w:t>
            </w:r>
            <w:r w:rsidR="00A74C35" w:rsidRPr="00257A16">
              <w:rPr>
                <w:b/>
                <w:bCs/>
                <w:color w:val="007586" w:themeColor="text2"/>
                <w:sz w:val="24"/>
                <w:szCs w:val="24"/>
              </w:rPr>
              <w:t xml:space="preserve">otified </w:t>
            </w:r>
            <w:r w:rsidRPr="00257A16">
              <w:rPr>
                <w:b/>
                <w:bCs/>
                <w:color w:val="007586" w:themeColor="text2"/>
                <w:sz w:val="24"/>
                <w:szCs w:val="24"/>
              </w:rPr>
              <w:t>with</w:t>
            </w:r>
            <w:r w:rsidR="00A74C35" w:rsidRPr="00257A16">
              <w:rPr>
                <w:b/>
                <w:bCs/>
                <w:color w:val="007586" w:themeColor="text2"/>
                <w:sz w:val="24"/>
                <w:szCs w:val="24"/>
              </w:rPr>
              <w:t>in 3</w:t>
            </w:r>
            <w:r w:rsidRPr="00257A16">
              <w:rPr>
                <w:b/>
                <w:bCs/>
                <w:color w:val="007586" w:themeColor="text2"/>
                <w:sz w:val="24"/>
                <w:szCs w:val="24"/>
              </w:rPr>
              <w:t xml:space="preserve"> business</w:t>
            </w:r>
            <w:r w:rsidR="00A74C35" w:rsidRPr="00257A16">
              <w:rPr>
                <w:b/>
                <w:bCs/>
                <w:color w:val="007586" w:themeColor="text2"/>
                <w:sz w:val="24"/>
                <w:szCs w:val="24"/>
              </w:rPr>
              <w:t xml:space="preserve"> days</w:t>
            </w:r>
          </w:p>
        </w:tc>
        <w:tc>
          <w:tcPr>
            <w:tcW w:w="1814" w:type="dxa"/>
            <w:noWrap/>
            <w:vAlign w:val="center"/>
            <w:hideMark/>
          </w:tcPr>
          <w:p w14:paraId="1D4CFB87" w14:textId="769DB077" w:rsidR="00A74C35" w:rsidRPr="00050912" w:rsidRDefault="00A74C35" w:rsidP="00257A16">
            <w:pPr>
              <w:pStyle w:val="SCVtablebody"/>
              <w:jc w:val="right"/>
              <w:rPr>
                <w:color w:val="000000"/>
                <w:sz w:val="24"/>
                <w:szCs w:val="24"/>
              </w:rPr>
            </w:pPr>
            <w:r w:rsidRPr="00050912">
              <w:rPr>
                <w:sz w:val="24"/>
                <w:szCs w:val="24"/>
              </w:rPr>
              <w:t>23</w:t>
            </w:r>
            <w:r w:rsidR="00317F17" w:rsidRPr="00050912">
              <w:rPr>
                <w:sz w:val="24"/>
                <w:szCs w:val="24"/>
              </w:rPr>
              <w:t>%</w:t>
            </w:r>
          </w:p>
        </w:tc>
        <w:tc>
          <w:tcPr>
            <w:tcW w:w="1814" w:type="dxa"/>
            <w:noWrap/>
            <w:vAlign w:val="center"/>
            <w:hideMark/>
          </w:tcPr>
          <w:p w14:paraId="2D5A2CF5" w14:textId="364C4217" w:rsidR="00A74C35" w:rsidRPr="00050912" w:rsidRDefault="00A74C35" w:rsidP="00257A16">
            <w:pPr>
              <w:pStyle w:val="SCVtablebody"/>
              <w:jc w:val="right"/>
              <w:rPr>
                <w:color w:val="000000"/>
                <w:sz w:val="24"/>
                <w:szCs w:val="24"/>
              </w:rPr>
            </w:pPr>
            <w:r w:rsidRPr="00050912">
              <w:rPr>
                <w:sz w:val="24"/>
                <w:szCs w:val="24"/>
              </w:rPr>
              <w:t>17</w:t>
            </w:r>
            <w:r w:rsidR="00B82034" w:rsidRPr="00050912">
              <w:rPr>
                <w:sz w:val="24"/>
                <w:szCs w:val="24"/>
              </w:rPr>
              <w:t>%</w:t>
            </w:r>
          </w:p>
        </w:tc>
        <w:tc>
          <w:tcPr>
            <w:tcW w:w="1814" w:type="dxa"/>
            <w:noWrap/>
            <w:vAlign w:val="center"/>
            <w:hideMark/>
          </w:tcPr>
          <w:p w14:paraId="777B6E58" w14:textId="23539579" w:rsidR="00A74C35" w:rsidRPr="00050912" w:rsidRDefault="00A74C35" w:rsidP="00257A16">
            <w:pPr>
              <w:pStyle w:val="SCVtablebody"/>
              <w:jc w:val="right"/>
              <w:rPr>
                <w:color w:val="000000"/>
                <w:sz w:val="24"/>
                <w:szCs w:val="24"/>
              </w:rPr>
            </w:pPr>
            <w:r w:rsidRPr="00050912">
              <w:rPr>
                <w:sz w:val="24"/>
                <w:szCs w:val="24"/>
              </w:rPr>
              <w:t>26</w:t>
            </w:r>
            <w:r w:rsidR="00B82034" w:rsidRPr="00050912">
              <w:rPr>
                <w:sz w:val="24"/>
                <w:szCs w:val="24"/>
              </w:rPr>
              <w:t>%</w:t>
            </w:r>
          </w:p>
        </w:tc>
      </w:tr>
    </w:tbl>
    <w:p w14:paraId="33ADCC6A" w14:textId="42719986" w:rsidR="00E85D6A" w:rsidRPr="006F1353" w:rsidRDefault="26CB3538" w:rsidP="00D6265B">
      <w:pPr>
        <w:pStyle w:val="Heading2"/>
        <w:rPr>
          <w:color w:val="007586" w:themeColor="text2"/>
        </w:rPr>
      </w:pPr>
      <w:bookmarkStart w:id="57" w:name="_Toc238026661"/>
      <w:r w:rsidRPr="006F1353">
        <w:rPr>
          <w:color w:val="007586" w:themeColor="text2"/>
        </w:rPr>
        <w:t>Time</w:t>
      </w:r>
      <w:r w:rsidR="5811132B" w:rsidRPr="006F1353">
        <w:rPr>
          <w:color w:val="007586" w:themeColor="text2"/>
        </w:rPr>
        <w:t xml:space="preserve"> </w:t>
      </w:r>
      <w:r w:rsidRPr="006F1353">
        <w:rPr>
          <w:color w:val="007586" w:themeColor="text2"/>
        </w:rPr>
        <w:t>to</w:t>
      </w:r>
      <w:r w:rsidR="5811132B" w:rsidRPr="006F1353">
        <w:rPr>
          <w:color w:val="007586" w:themeColor="text2"/>
        </w:rPr>
        <w:t xml:space="preserve"> </w:t>
      </w:r>
      <w:r w:rsidRPr="006F1353">
        <w:rPr>
          <w:color w:val="007586" w:themeColor="text2"/>
        </w:rPr>
        <w:t>review</w:t>
      </w:r>
      <w:r w:rsidR="5811132B" w:rsidRPr="006F1353">
        <w:rPr>
          <w:color w:val="007586" w:themeColor="text2"/>
        </w:rPr>
        <w:t xml:space="preserve"> </w:t>
      </w:r>
      <w:r w:rsidRPr="006F1353">
        <w:rPr>
          <w:color w:val="007586" w:themeColor="text2"/>
        </w:rPr>
        <w:t>sentinel</w:t>
      </w:r>
      <w:r w:rsidR="5811132B" w:rsidRPr="006F1353">
        <w:rPr>
          <w:color w:val="007586" w:themeColor="text2"/>
        </w:rPr>
        <w:t xml:space="preserve"> </w:t>
      </w:r>
      <w:r w:rsidRPr="006F1353">
        <w:rPr>
          <w:color w:val="007586" w:themeColor="text2"/>
        </w:rPr>
        <w:t>events</w:t>
      </w:r>
      <w:bookmarkEnd w:id="56"/>
      <w:bookmarkEnd w:id="57"/>
      <w:r w:rsidR="5811132B" w:rsidRPr="006F1353">
        <w:rPr>
          <w:color w:val="007586" w:themeColor="text2"/>
        </w:rPr>
        <w:t xml:space="preserve"> </w:t>
      </w:r>
    </w:p>
    <w:p w14:paraId="28865858" w14:textId="10964C74" w:rsidR="00536BBD" w:rsidRPr="006657E9" w:rsidRDefault="00536BBD" w:rsidP="0057201C">
      <w:pPr>
        <w:pStyle w:val="SCVbody"/>
      </w:pPr>
      <w:r>
        <w:t>This</w:t>
      </w:r>
      <w:r w:rsidR="00824FA7">
        <w:t xml:space="preserve"> </w:t>
      </w:r>
      <w:r>
        <w:t>indicator</w:t>
      </w:r>
      <w:r w:rsidR="00824FA7">
        <w:t xml:space="preserve"> </w:t>
      </w:r>
      <w:r>
        <w:t>measures</w:t>
      </w:r>
      <w:r w:rsidR="00824FA7">
        <w:t xml:space="preserve"> </w:t>
      </w:r>
      <w:r>
        <w:t>the</w:t>
      </w:r>
      <w:r w:rsidR="00824FA7">
        <w:t xml:space="preserve"> </w:t>
      </w:r>
      <w:r>
        <w:t>time</w:t>
      </w:r>
      <w:r w:rsidR="00824FA7">
        <w:t xml:space="preserve"> </w:t>
      </w:r>
      <w:r>
        <w:t>taken</w:t>
      </w:r>
      <w:r w:rsidR="00824FA7">
        <w:t xml:space="preserve"> </w:t>
      </w:r>
      <w:r>
        <w:t>from</w:t>
      </w:r>
      <w:r w:rsidR="00824FA7">
        <w:t xml:space="preserve"> </w:t>
      </w:r>
      <w:r>
        <w:t>sentinel</w:t>
      </w:r>
      <w:r w:rsidR="00824FA7">
        <w:t xml:space="preserve"> </w:t>
      </w:r>
      <w:r>
        <w:t>event</w:t>
      </w:r>
      <w:r w:rsidR="00824FA7">
        <w:t xml:space="preserve"> </w:t>
      </w:r>
      <w:r>
        <w:t>notification</w:t>
      </w:r>
      <w:r w:rsidR="00824FA7">
        <w:t xml:space="preserve"> </w:t>
      </w:r>
      <w:r>
        <w:t>to</w:t>
      </w:r>
      <w:r w:rsidR="00824FA7">
        <w:t xml:space="preserve"> </w:t>
      </w:r>
      <w:r>
        <w:t>the</w:t>
      </w:r>
      <w:r w:rsidR="00824FA7">
        <w:t xml:space="preserve"> </w:t>
      </w:r>
      <w:r>
        <w:t>submission</w:t>
      </w:r>
      <w:r w:rsidR="00824FA7">
        <w:t xml:space="preserve"> </w:t>
      </w:r>
      <w:r>
        <w:t>of</w:t>
      </w:r>
      <w:r w:rsidR="00824FA7">
        <w:t xml:space="preserve"> </w:t>
      </w:r>
      <w:r>
        <w:t>the</w:t>
      </w:r>
      <w:r w:rsidR="00824FA7">
        <w:t xml:space="preserve"> </w:t>
      </w:r>
      <w:r>
        <w:t>recommendations</w:t>
      </w:r>
      <w:r w:rsidR="00824FA7">
        <w:t xml:space="preserve"> </w:t>
      </w:r>
      <w:r>
        <w:t>formed</w:t>
      </w:r>
      <w:r w:rsidR="00824FA7">
        <w:t xml:space="preserve"> </w:t>
      </w:r>
      <w:r>
        <w:t>by</w:t>
      </w:r>
      <w:r w:rsidR="00824FA7">
        <w:t xml:space="preserve"> </w:t>
      </w:r>
      <w:r>
        <w:t>the</w:t>
      </w:r>
      <w:r w:rsidR="00824FA7">
        <w:t xml:space="preserve"> </w:t>
      </w:r>
      <w:r>
        <w:t>health</w:t>
      </w:r>
      <w:r w:rsidR="00824FA7">
        <w:t xml:space="preserve"> </w:t>
      </w:r>
      <w:r>
        <w:t>service’s</w:t>
      </w:r>
      <w:r w:rsidR="00824FA7">
        <w:t xml:space="preserve"> </w:t>
      </w:r>
      <w:r>
        <w:t>review</w:t>
      </w:r>
      <w:r w:rsidR="00824FA7">
        <w:t xml:space="preserve"> </w:t>
      </w:r>
      <w:r>
        <w:t>of</w:t>
      </w:r>
      <w:r w:rsidR="00824FA7">
        <w:t xml:space="preserve"> </w:t>
      </w:r>
      <w:r>
        <w:t>the</w:t>
      </w:r>
      <w:r w:rsidR="00824FA7">
        <w:t xml:space="preserve"> </w:t>
      </w:r>
      <w:r>
        <w:t>event</w:t>
      </w:r>
      <w:r w:rsidR="00824FA7">
        <w:t xml:space="preserve"> </w:t>
      </w:r>
      <w:r>
        <w:t>(</w:t>
      </w:r>
      <w:r w:rsidR="00EB7B82">
        <w:t>p</w:t>
      </w:r>
      <w:r>
        <w:t>art</w:t>
      </w:r>
      <w:r w:rsidR="00824FA7">
        <w:t xml:space="preserve"> </w:t>
      </w:r>
      <w:r>
        <w:t>C</w:t>
      </w:r>
      <w:r w:rsidR="00824FA7">
        <w:t xml:space="preserve"> </w:t>
      </w:r>
      <w:r>
        <w:t>of</w:t>
      </w:r>
      <w:r w:rsidR="00824FA7">
        <w:t xml:space="preserve"> </w:t>
      </w:r>
      <w:r>
        <w:t>the</w:t>
      </w:r>
      <w:r w:rsidR="00824FA7">
        <w:t xml:space="preserve"> </w:t>
      </w:r>
      <w:r>
        <w:t>sentinel</w:t>
      </w:r>
      <w:r w:rsidR="00824FA7">
        <w:t xml:space="preserve"> </w:t>
      </w:r>
      <w:r>
        <w:t>event</w:t>
      </w:r>
      <w:r w:rsidR="00824FA7">
        <w:t xml:space="preserve"> </w:t>
      </w:r>
      <w:r>
        <w:t>report).</w:t>
      </w:r>
    </w:p>
    <w:p w14:paraId="44F7FC43" w14:textId="6AE80495" w:rsidR="00536BBD" w:rsidRPr="006657E9" w:rsidRDefault="00536BBD" w:rsidP="0057201C">
      <w:pPr>
        <w:pStyle w:val="SCVbody"/>
      </w:pPr>
      <w:r>
        <w:lastRenderedPageBreak/>
        <w:t>The</w:t>
      </w:r>
      <w:r w:rsidR="00824FA7">
        <w:t xml:space="preserve"> </w:t>
      </w:r>
      <w:r>
        <w:t>required</w:t>
      </w:r>
      <w:r w:rsidR="00824FA7">
        <w:t xml:space="preserve"> </w:t>
      </w:r>
      <w:r>
        <w:t>timeframes</w:t>
      </w:r>
      <w:r w:rsidR="00824FA7">
        <w:t xml:space="preserve"> </w:t>
      </w:r>
      <w:r>
        <w:t>for</w:t>
      </w:r>
      <w:r w:rsidR="00824FA7">
        <w:t xml:space="preserve"> </w:t>
      </w:r>
      <w:r>
        <w:t>sentinel</w:t>
      </w:r>
      <w:r w:rsidR="00824FA7">
        <w:t xml:space="preserve"> </w:t>
      </w:r>
      <w:r>
        <w:t>event</w:t>
      </w:r>
      <w:r w:rsidR="00824FA7">
        <w:t xml:space="preserve"> </w:t>
      </w:r>
      <w:r>
        <w:t>report</w:t>
      </w:r>
      <w:r w:rsidR="00824FA7">
        <w:t xml:space="preserve"> </w:t>
      </w:r>
      <w:r w:rsidR="00EB7B82">
        <w:t>p</w:t>
      </w:r>
      <w:r>
        <w:t>art</w:t>
      </w:r>
      <w:r w:rsidR="00824FA7">
        <w:t xml:space="preserve"> </w:t>
      </w:r>
      <w:r>
        <w:t>C</w:t>
      </w:r>
      <w:r w:rsidR="00824FA7">
        <w:t xml:space="preserve"> </w:t>
      </w:r>
      <w:r>
        <w:t>submission</w:t>
      </w:r>
      <w:r w:rsidR="00824FA7">
        <w:t xml:space="preserve"> </w:t>
      </w:r>
      <w:r>
        <w:t>for</w:t>
      </w:r>
      <w:r w:rsidR="00824FA7">
        <w:t xml:space="preserve"> </w:t>
      </w:r>
      <w:r>
        <w:t>a</w:t>
      </w:r>
      <w:r w:rsidR="00824FA7">
        <w:t xml:space="preserve"> </w:t>
      </w:r>
      <w:r>
        <w:t>health</w:t>
      </w:r>
      <w:r w:rsidR="00824FA7">
        <w:t xml:space="preserve"> </w:t>
      </w:r>
      <w:r>
        <w:t>service</w:t>
      </w:r>
      <w:r w:rsidR="00824FA7">
        <w:t xml:space="preserve"> </w:t>
      </w:r>
      <w:r w:rsidR="00255030">
        <w:t>are</w:t>
      </w:r>
      <w:r>
        <w:t>:</w:t>
      </w:r>
    </w:p>
    <w:p w14:paraId="78957D70" w14:textId="63A9A6B7" w:rsidR="00536BBD" w:rsidRPr="006657E9" w:rsidRDefault="00536BBD" w:rsidP="0057201C">
      <w:pPr>
        <w:pStyle w:val="SCVbullet1"/>
      </w:pPr>
      <w:r w:rsidRPr="006657E9">
        <w:t>50</w:t>
      </w:r>
      <w:r w:rsidR="00824FA7">
        <w:t xml:space="preserve"> </w:t>
      </w:r>
      <w:r w:rsidRPr="006657E9">
        <w:t>business</w:t>
      </w:r>
      <w:r w:rsidR="00824FA7">
        <w:t xml:space="preserve"> </w:t>
      </w:r>
      <w:r w:rsidRPr="006657E9">
        <w:t>days</w:t>
      </w:r>
      <w:r w:rsidR="00824FA7">
        <w:t xml:space="preserve"> </w:t>
      </w:r>
      <w:r w:rsidRPr="006657E9">
        <w:t>for</w:t>
      </w:r>
      <w:r w:rsidR="00824FA7">
        <w:t xml:space="preserve"> </w:t>
      </w:r>
      <w:r w:rsidRPr="006657E9">
        <w:t>a</w:t>
      </w:r>
      <w:r w:rsidR="00824FA7">
        <w:t xml:space="preserve"> </w:t>
      </w:r>
      <w:r w:rsidRPr="006657E9">
        <w:t>single</w:t>
      </w:r>
      <w:r w:rsidR="00824FA7">
        <w:t xml:space="preserve"> </w:t>
      </w:r>
      <w:r w:rsidRPr="006657E9">
        <w:t>agency</w:t>
      </w:r>
      <w:r w:rsidR="00824FA7">
        <w:t xml:space="preserve"> </w:t>
      </w:r>
      <w:r w:rsidRPr="006657E9">
        <w:t>review</w:t>
      </w:r>
      <w:r w:rsidR="00824FA7">
        <w:t xml:space="preserve"> </w:t>
      </w:r>
    </w:p>
    <w:p w14:paraId="2DFCCDB7" w14:textId="5C1239F6" w:rsidR="00536BBD" w:rsidRPr="006657E9" w:rsidRDefault="00536BBD" w:rsidP="0057201C">
      <w:pPr>
        <w:pStyle w:val="SCVbullet1"/>
      </w:pPr>
      <w:r w:rsidRPr="006657E9">
        <w:t>75</w:t>
      </w:r>
      <w:r w:rsidR="00824FA7">
        <w:t xml:space="preserve"> </w:t>
      </w:r>
      <w:r w:rsidRPr="006657E9">
        <w:t>business</w:t>
      </w:r>
      <w:r w:rsidR="00824FA7">
        <w:t xml:space="preserve"> </w:t>
      </w:r>
      <w:r w:rsidRPr="006657E9">
        <w:t>days</w:t>
      </w:r>
      <w:r w:rsidR="00824FA7">
        <w:t xml:space="preserve"> </w:t>
      </w:r>
      <w:r w:rsidRPr="006657E9">
        <w:t>for</w:t>
      </w:r>
      <w:r w:rsidR="00824FA7">
        <w:t xml:space="preserve"> </w:t>
      </w:r>
      <w:r w:rsidR="00EB7B82">
        <w:t xml:space="preserve">an </w:t>
      </w:r>
      <w:r w:rsidRPr="006657E9">
        <w:t>approved</w:t>
      </w:r>
      <w:r w:rsidR="00824FA7">
        <w:t xml:space="preserve"> </w:t>
      </w:r>
      <w:r w:rsidRPr="006657E9">
        <w:t>multiagency</w:t>
      </w:r>
      <w:r w:rsidR="00824FA7">
        <w:t xml:space="preserve"> </w:t>
      </w:r>
      <w:r w:rsidRPr="006657E9">
        <w:t>review.</w:t>
      </w:r>
    </w:p>
    <w:p w14:paraId="566CB042" w14:textId="3E2AAEAA" w:rsidR="00536BBD" w:rsidRPr="006657E9" w:rsidRDefault="44C21174" w:rsidP="00834EF2">
      <w:pPr>
        <w:pStyle w:val="SCVbodyafterheading"/>
      </w:pPr>
      <w:r>
        <w:t xml:space="preserve">Table 26 </w:t>
      </w:r>
      <w:r w:rsidR="00B273A7">
        <w:t>shows that the a</w:t>
      </w:r>
      <w:r w:rsidR="00536BBD">
        <w:t>verage</w:t>
      </w:r>
      <w:r w:rsidR="00824FA7">
        <w:t xml:space="preserve"> </w:t>
      </w:r>
      <w:r w:rsidR="00B273A7">
        <w:t xml:space="preserve">number of </w:t>
      </w:r>
      <w:r w:rsidR="00536BBD">
        <w:t>days</w:t>
      </w:r>
      <w:r w:rsidR="00824FA7">
        <w:t xml:space="preserve"> </w:t>
      </w:r>
      <w:r w:rsidR="00536BBD">
        <w:t>to</w:t>
      </w:r>
      <w:r w:rsidR="00824FA7">
        <w:t xml:space="preserve"> </w:t>
      </w:r>
      <w:r w:rsidR="00536BBD">
        <w:t>complete</w:t>
      </w:r>
      <w:r w:rsidR="00824FA7">
        <w:t xml:space="preserve"> </w:t>
      </w:r>
      <w:r w:rsidR="00536BBD">
        <w:t>a</w:t>
      </w:r>
      <w:r w:rsidR="00824FA7">
        <w:t xml:space="preserve"> </w:t>
      </w:r>
      <w:r w:rsidR="00536BBD">
        <w:t>review</w:t>
      </w:r>
      <w:r w:rsidR="00824FA7">
        <w:t xml:space="preserve"> </w:t>
      </w:r>
      <w:r w:rsidR="00536BBD">
        <w:t>in</w:t>
      </w:r>
      <w:r w:rsidR="00824FA7">
        <w:t xml:space="preserve"> </w:t>
      </w:r>
      <w:r w:rsidR="00536BBD">
        <w:t>202</w:t>
      </w:r>
      <w:r w:rsidR="0343E89D">
        <w:t>4</w:t>
      </w:r>
      <w:r w:rsidR="001F6610">
        <w:t>–</w:t>
      </w:r>
      <w:r w:rsidR="00203364">
        <w:t>2</w:t>
      </w:r>
      <w:r w:rsidR="08E99DD1">
        <w:t>5</w:t>
      </w:r>
      <w:r w:rsidR="00824FA7">
        <w:t xml:space="preserve"> </w:t>
      </w:r>
      <w:r w:rsidR="00536BBD">
        <w:t>were:</w:t>
      </w:r>
    </w:p>
    <w:p w14:paraId="22B2B875" w14:textId="0607407A" w:rsidR="00536BBD" w:rsidRPr="00834EF2" w:rsidRDefault="00536BBD" w:rsidP="0057201C">
      <w:pPr>
        <w:pStyle w:val="SCVbullet1"/>
      </w:pPr>
      <w:r>
        <w:t>for</w:t>
      </w:r>
      <w:r w:rsidR="00824FA7">
        <w:t xml:space="preserve"> </w:t>
      </w:r>
      <w:r>
        <w:t>a</w:t>
      </w:r>
      <w:r w:rsidR="00824FA7">
        <w:t xml:space="preserve"> </w:t>
      </w:r>
      <w:r>
        <w:t>single</w:t>
      </w:r>
      <w:r w:rsidR="00824FA7">
        <w:t xml:space="preserve"> </w:t>
      </w:r>
      <w:r>
        <w:t>agency</w:t>
      </w:r>
      <w:r w:rsidR="00824FA7">
        <w:t xml:space="preserve"> </w:t>
      </w:r>
      <w:r>
        <w:t>review,</w:t>
      </w:r>
      <w:r w:rsidR="00824FA7">
        <w:t xml:space="preserve"> </w:t>
      </w:r>
      <w:r>
        <w:t>7</w:t>
      </w:r>
      <w:r w:rsidR="000A0BC3">
        <w:t>9</w:t>
      </w:r>
      <w:r w:rsidR="00824FA7">
        <w:t xml:space="preserve"> </w:t>
      </w:r>
      <w:r>
        <w:t>business</w:t>
      </w:r>
      <w:r w:rsidR="00824FA7">
        <w:t xml:space="preserve"> </w:t>
      </w:r>
      <w:r>
        <w:t>days,</w:t>
      </w:r>
      <w:r w:rsidR="00824FA7">
        <w:t xml:space="preserve"> </w:t>
      </w:r>
      <w:r>
        <w:t>compared</w:t>
      </w:r>
      <w:r w:rsidR="00824FA7">
        <w:t xml:space="preserve"> </w:t>
      </w:r>
      <w:r w:rsidR="00182D8B">
        <w:t xml:space="preserve">with </w:t>
      </w:r>
      <w:r w:rsidR="00CF3512">
        <w:t>7</w:t>
      </w:r>
      <w:r w:rsidR="00FB4477">
        <w:t>6</w:t>
      </w:r>
      <w:r w:rsidR="00824FA7">
        <w:t xml:space="preserve"> </w:t>
      </w:r>
      <w:r>
        <w:t>business</w:t>
      </w:r>
      <w:r w:rsidR="00824FA7">
        <w:t xml:space="preserve"> </w:t>
      </w:r>
      <w:r>
        <w:t>days</w:t>
      </w:r>
      <w:r w:rsidR="00824FA7">
        <w:t xml:space="preserve"> </w:t>
      </w:r>
      <w:r>
        <w:t>in</w:t>
      </w:r>
      <w:r w:rsidR="00824FA7">
        <w:t xml:space="preserve"> </w:t>
      </w:r>
      <w:r>
        <w:t>202</w:t>
      </w:r>
      <w:r w:rsidR="00604D8F">
        <w:t>3</w:t>
      </w:r>
      <w:r w:rsidR="001F6610">
        <w:t>–</w:t>
      </w:r>
      <w:r>
        <w:t>2</w:t>
      </w:r>
      <w:r w:rsidR="00604D8F">
        <w:t>4</w:t>
      </w:r>
    </w:p>
    <w:p w14:paraId="3D5B2A3C" w14:textId="62ECCE8B" w:rsidR="00536BBD" w:rsidRPr="00834EF2" w:rsidRDefault="00536BBD" w:rsidP="0057201C">
      <w:pPr>
        <w:pStyle w:val="SCVbullet1"/>
      </w:pPr>
      <w:r>
        <w:t>for</w:t>
      </w:r>
      <w:r w:rsidR="00824FA7">
        <w:t xml:space="preserve"> </w:t>
      </w:r>
      <w:r>
        <w:t>a</w:t>
      </w:r>
      <w:r w:rsidR="00824FA7">
        <w:t xml:space="preserve"> </w:t>
      </w:r>
      <w:r>
        <w:t>multiagency</w:t>
      </w:r>
      <w:r w:rsidR="00824FA7">
        <w:t xml:space="preserve"> </w:t>
      </w:r>
      <w:r>
        <w:t>review,</w:t>
      </w:r>
      <w:r w:rsidR="00824FA7">
        <w:t xml:space="preserve"> </w:t>
      </w:r>
      <w:r w:rsidR="000E1A2B">
        <w:t>106</w:t>
      </w:r>
      <w:r w:rsidR="00824FA7">
        <w:t xml:space="preserve"> </w:t>
      </w:r>
      <w:r>
        <w:t>business</w:t>
      </w:r>
      <w:r w:rsidR="00824FA7">
        <w:t xml:space="preserve"> </w:t>
      </w:r>
      <w:r>
        <w:t>days,</w:t>
      </w:r>
      <w:r w:rsidR="00824FA7">
        <w:t xml:space="preserve"> </w:t>
      </w:r>
      <w:r>
        <w:t>compared</w:t>
      </w:r>
      <w:r w:rsidR="00824FA7">
        <w:t xml:space="preserve"> </w:t>
      </w:r>
      <w:r w:rsidR="00182D8B">
        <w:t xml:space="preserve">with </w:t>
      </w:r>
      <w:r w:rsidR="005F1679">
        <w:t>9</w:t>
      </w:r>
      <w:r w:rsidR="00E97660">
        <w:t>3</w:t>
      </w:r>
      <w:r w:rsidR="00824FA7">
        <w:t xml:space="preserve"> </w:t>
      </w:r>
      <w:r>
        <w:t>business</w:t>
      </w:r>
      <w:r w:rsidR="00824FA7">
        <w:t xml:space="preserve"> </w:t>
      </w:r>
      <w:r>
        <w:t>days</w:t>
      </w:r>
      <w:r w:rsidR="00824FA7">
        <w:t xml:space="preserve"> </w:t>
      </w:r>
      <w:r>
        <w:t>in</w:t>
      </w:r>
      <w:r w:rsidR="00824FA7">
        <w:t xml:space="preserve"> </w:t>
      </w:r>
      <w:r>
        <w:t>202</w:t>
      </w:r>
      <w:r w:rsidR="00604D8F">
        <w:t>3</w:t>
      </w:r>
      <w:r w:rsidR="001F6610">
        <w:t>–</w:t>
      </w:r>
      <w:r>
        <w:t>2</w:t>
      </w:r>
      <w:r w:rsidR="009B11D5">
        <w:t>4</w:t>
      </w:r>
      <w:r>
        <w:t>.</w:t>
      </w:r>
      <w:r w:rsidR="00824FA7">
        <w:t xml:space="preserve"> </w:t>
      </w:r>
    </w:p>
    <w:p w14:paraId="6D700F71" w14:textId="671265CC" w:rsidR="00536BBD" w:rsidRPr="006657E9" w:rsidRDefault="00297D68" w:rsidP="0057201C">
      <w:pPr>
        <w:pStyle w:val="SCVbody"/>
      </w:pPr>
      <w:r>
        <w:t>The</w:t>
      </w:r>
      <w:r w:rsidR="00203364">
        <w:t xml:space="preserve"> extended review time in 2024</w:t>
      </w:r>
      <w:r w:rsidR="005F2EBC">
        <w:t>–</w:t>
      </w:r>
      <w:r w:rsidR="00203364">
        <w:t>25</w:t>
      </w:r>
      <w:r>
        <w:t xml:space="preserve"> indicates</w:t>
      </w:r>
      <w:r w:rsidR="00203364">
        <w:t xml:space="preserve"> </w:t>
      </w:r>
      <w:r w:rsidR="009F2845">
        <w:t>the need for improve</w:t>
      </w:r>
      <w:r w:rsidR="00EB7602">
        <w:t>ment in both the effectiveness and efficiency of</w:t>
      </w:r>
      <w:r w:rsidR="009F2845">
        <w:t xml:space="preserve"> review</w:t>
      </w:r>
      <w:r w:rsidR="00EB7602">
        <w:t>s</w:t>
      </w:r>
      <w:r w:rsidR="00EB7B82">
        <w:t>.</w:t>
      </w:r>
    </w:p>
    <w:p w14:paraId="397BA2D9" w14:textId="5C7757E1" w:rsidR="0022117A" w:rsidRDefault="2642292D" w:rsidP="00834EF2">
      <w:pPr>
        <w:pStyle w:val="SCVfigurecaption"/>
      </w:pPr>
      <w:r>
        <w:t>Table 26</w:t>
      </w:r>
      <w:r w:rsidR="00E51940">
        <w:t>:</w:t>
      </w:r>
      <w:r w:rsidR="00824FA7">
        <w:t xml:space="preserve"> </w:t>
      </w:r>
      <w:r w:rsidR="002D60F7">
        <w:t>Distribution of sentinel events</w:t>
      </w:r>
      <w:r w:rsidR="005B6192">
        <w:t xml:space="preserve"> (single agency and </w:t>
      </w:r>
      <w:r w:rsidR="00E27245">
        <w:t>multi-agency</w:t>
      </w:r>
      <w:r w:rsidR="005B6192">
        <w:t xml:space="preserve"> reviews) </w:t>
      </w:r>
      <w:r w:rsidR="002D60F7">
        <w:t>by reporting timeframe</w:t>
      </w:r>
      <w:r w:rsidR="00E51940">
        <w:t>,</w:t>
      </w:r>
      <w:r w:rsidR="00824FA7">
        <w:t xml:space="preserve"> </w:t>
      </w:r>
      <w:r w:rsidR="004907A2">
        <w:t xml:space="preserve">by percentage, </w:t>
      </w:r>
      <w:r w:rsidR="00856892">
        <w:t>202</w:t>
      </w:r>
      <w:r w:rsidR="00C72028">
        <w:t>2</w:t>
      </w:r>
      <w:r w:rsidR="00856892">
        <w:t>–2</w:t>
      </w:r>
      <w:r w:rsidR="00C72028">
        <w:t>3</w:t>
      </w:r>
      <w:r w:rsidR="00824FA7">
        <w:t xml:space="preserve"> </w:t>
      </w:r>
      <w:r w:rsidR="00D52309">
        <w:t>to</w:t>
      </w:r>
      <w:r w:rsidR="00824FA7">
        <w:t xml:space="preserve"> </w:t>
      </w:r>
      <w:r w:rsidR="00856892">
        <w:t>202</w:t>
      </w:r>
      <w:r w:rsidR="00C72028">
        <w:t>4</w:t>
      </w:r>
      <w:r w:rsidR="00856892">
        <w:t>–2</w:t>
      </w:r>
      <w:r w:rsidR="00C72028">
        <w:t>5</w:t>
      </w:r>
      <w:r w:rsidR="00824FA7">
        <w:t xml:space="preserve"> </w:t>
      </w:r>
    </w:p>
    <w:tbl>
      <w:tblPr>
        <w:tblStyle w:val="TableGrid"/>
        <w:tblW w:w="0" w:type="auto"/>
        <w:tblLook w:val="06A0" w:firstRow="1" w:lastRow="0" w:firstColumn="1" w:lastColumn="0" w:noHBand="1" w:noVBand="1"/>
      </w:tblPr>
      <w:tblGrid>
        <w:gridCol w:w="3402"/>
        <w:gridCol w:w="2098"/>
        <w:gridCol w:w="2098"/>
        <w:gridCol w:w="2098"/>
      </w:tblGrid>
      <w:tr w:rsidR="271C3A84" w:rsidRPr="00946412" w14:paraId="19FDC4ED" w14:textId="77777777" w:rsidTr="00F04CBC">
        <w:trPr>
          <w:cnfStyle w:val="100000000000" w:firstRow="1" w:lastRow="0" w:firstColumn="0" w:lastColumn="0" w:oddVBand="0" w:evenVBand="0" w:oddHBand="0" w:evenHBand="0" w:firstRowFirstColumn="0" w:firstRowLastColumn="0" w:lastRowFirstColumn="0" w:lastRowLastColumn="0"/>
          <w:trHeight w:val="285"/>
        </w:trPr>
        <w:tc>
          <w:tcPr>
            <w:tcW w:w="3402" w:type="dxa"/>
          </w:tcPr>
          <w:p w14:paraId="7DB39CC9" w14:textId="54321CA6" w:rsidR="271C3A84" w:rsidRPr="00946412" w:rsidRDefault="271C3A84" w:rsidP="271C3A84">
            <w:pPr>
              <w:pStyle w:val="SCVfigurecaption"/>
              <w:rPr>
                <w:rFonts w:ascii="Arial" w:eastAsia="Arial" w:hAnsi="Arial" w:cs="Arial"/>
                <w:color w:val="007586" w:themeColor="accent2"/>
                <w:szCs w:val="24"/>
                <w:lang w:val="en-US"/>
              </w:rPr>
            </w:pPr>
            <w:r w:rsidRPr="00946412">
              <w:rPr>
                <w:rFonts w:ascii="Arial" w:eastAsia="Arial" w:hAnsi="Arial" w:cs="Arial"/>
                <w:color w:val="007586" w:themeColor="accent2"/>
                <w:szCs w:val="24"/>
              </w:rPr>
              <w:t>Days to complete a review</w:t>
            </w:r>
          </w:p>
        </w:tc>
        <w:tc>
          <w:tcPr>
            <w:tcW w:w="2098" w:type="dxa"/>
            <w:vAlign w:val="center"/>
          </w:tcPr>
          <w:p w14:paraId="572DE85C" w14:textId="1BFD7B1B" w:rsidR="271C3A84" w:rsidRPr="00946412" w:rsidRDefault="271C3A84" w:rsidP="00F04CBC">
            <w:pPr>
              <w:pStyle w:val="SCVfigurecaption"/>
              <w:jc w:val="right"/>
              <w:rPr>
                <w:rFonts w:ascii="Arial" w:eastAsia="Arial" w:hAnsi="Arial" w:cs="Arial"/>
                <w:color w:val="007586" w:themeColor="accent2"/>
                <w:szCs w:val="24"/>
                <w:lang w:val="en-US"/>
              </w:rPr>
            </w:pPr>
            <w:r w:rsidRPr="00946412">
              <w:rPr>
                <w:rFonts w:ascii="Arial" w:eastAsia="Arial" w:hAnsi="Arial" w:cs="Arial"/>
                <w:color w:val="007586" w:themeColor="accent2"/>
                <w:szCs w:val="24"/>
              </w:rPr>
              <w:t>2022–23</w:t>
            </w:r>
          </w:p>
        </w:tc>
        <w:tc>
          <w:tcPr>
            <w:tcW w:w="2098" w:type="dxa"/>
            <w:vAlign w:val="center"/>
          </w:tcPr>
          <w:p w14:paraId="7CFC6E35" w14:textId="4304163C" w:rsidR="271C3A84" w:rsidRPr="00946412" w:rsidRDefault="271C3A84" w:rsidP="00F04CBC">
            <w:pPr>
              <w:pStyle w:val="SCVfigurecaption"/>
              <w:jc w:val="right"/>
              <w:rPr>
                <w:rFonts w:ascii="Arial" w:eastAsia="Arial" w:hAnsi="Arial" w:cs="Arial"/>
                <w:color w:val="007586" w:themeColor="accent2"/>
                <w:szCs w:val="24"/>
                <w:lang w:val="en-US"/>
              </w:rPr>
            </w:pPr>
            <w:r w:rsidRPr="00946412">
              <w:rPr>
                <w:rFonts w:ascii="Arial" w:eastAsia="Arial" w:hAnsi="Arial" w:cs="Arial"/>
                <w:color w:val="007586" w:themeColor="accent2"/>
                <w:szCs w:val="24"/>
              </w:rPr>
              <w:t>2023–24</w:t>
            </w:r>
          </w:p>
        </w:tc>
        <w:tc>
          <w:tcPr>
            <w:tcW w:w="2098" w:type="dxa"/>
            <w:vAlign w:val="center"/>
          </w:tcPr>
          <w:p w14:paraId="40325DDA" w14:textId="2EDE42F3" w:rsidR="271C3A84" w:rsidRPr="00946412" w:rsidRDefault="271C3A84" w:rsidP="00F04CBC">
            <w:pPr>
              <w:pStyle w:val="SCVfigurecaption"/>
              <w:jc w:val="right"/>
              <w:rPr>
                <w:rFonts w:ascii="Arial" w:eastAsia="Arial" w:hAnsi="Arial" w:cs="Arial"/>
                <w:color w:val="007586" w:themeColor="accent2"/>
                <w:szCs w:val="24"/>
                <w:lang w:val="en-US"/>
              </w:rPr>
            </w:pPr>
            <w:r w:rsidRPr="00946412">
              <w:rPr>
                <w:rFonts w:ascii="Arial" w:eastAsia="Arial" w:hAnsi="Arial" w:cs="Arial"/>
                <w:color w:val="007586" w:themeColor="accent2"/>
                <w:szCs w:val="24"/>
              </w:rPr>
              <w:t>2024–25</w:t>
            </w:r>
          </w:p>
        </w:tc>
      </w:tr>
      <w:tr w:rsidR="271C3A84" w:rsidRPr="00946412" w14:paraId="1AF5D0DE" w14:textId="77777777" w:rsidTr="00F04CBC">
        <w:trPr>
          <w:trHeight w:val="285"/>
        </w:trPr>
        <w:tc>
          <w:tcPr>
            <w:tcW w:w="3402" w:type="dxa"/>
          </w:tcPr>
          <w:p w14:paraId="4C6596DC" w14:textId="1443ABDA"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&lt;50</w:t>
            </w:r>
          </w:p>
        </w:tc>
        <w:tc>
          <w:tcPr>
            <w:tcW w:w="2098" w:type="dxa"/>
            <w:vAlign w:val="center"/>
          </w:tcPr>
          <w:p w14:paraId="316B9C32" w14:textId="45EB18F6"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9%</w:t>
            </w:r>
          </w:p>
        </w:tc>
        <w:tc>
          <w:tcPr>
            <w:tcW w:w="2098" w:type="dxa"/>
            <w:vAlign w:val="center"/>
          </w:tcPr>
          <w:p w14:paraId="36AFF3D5" w14:textId="1A44FBCA"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19%</w:t>
            </w:r>
          </w:p>
        </w:tc>
        <w:tc>
          <w:tcPr>
            <w:tcW w:w="2098" w:type="dxa"/>
            <w:vAlign w:val="center"/>
          </w:tcPr>
          <w:p w14:paraId="2BC519ED" w14:textId="5BC6347C"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19%</w:t>
            </w:r>
          </w:p>
        </w:tc>
      </w:tr>
      <w:tr w:rsidR="271C3A84" w:rsidRPr="00946412" w14:paraId="04715509" w14:textId="77777777" w:rsidTr="00F04CBC">
        <w:trPr>
          <w:trHeight w:val="285"/>
        </w:trPr>
        <w:tc>
          <w:tcPr>
            <w:tcW w:w="3402" w:type="dxa"/>
          </w:tcPr>
          <w:p w14:paraId="07D23CB3" w14:textId="5AC9BED2"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50-59</w:t>
            </w:r>
          </w:p>
        </w:tc>
        <w:tc>
          <w:tcPr>
            <w:tcW w:w="2098" w:type="dxa"/>
            <w:vAlign w:val="center"/>
          </w:tcPr>
          <w:p w14:paraId="25CF44A9" w14:textId="458C019E"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30%</w:t>
            </w:r>
          </w:p>
        </w:tc>
        <w:tc>
          <w:tcPr>
            <w:tcW w:w="2098" w:type="dxa"/>
            <w:vAlign w:val="center"/>
          </w:tcPr>
          <w:p w14:paraId="240EE423" w14:textId="0DC1BF71"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21%</w:t>
            </w:r>
          </w:p>
        </w:tc>
        <w:tc>
          <w:tcPr>
            <w:tcW w:w="2098" w:type="dxa"/>
            <w:vAlign w:val="center"/>
          </w:tcPr>
          <w:p w14:paraId="030D5AFD" w14:textId="170355A2"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15%</w:t>
            </w:r>
          </w:p>
        </w:tc>
      </w:tr>
      <w:tr w:rsidR="271C3A84" w:rsidRPr="00946412" w14:paraId="51C6D4AB" w14:textId="77777777" w:rsidTr="00F04CBC">
        <w:trPr>
          <w:trHeight w:val="285"/>
        </w:trPr>
        <w:tc>
          <w:tcPr>
            <w:tcW w:w="3402" w:type="dxa"/>
          </w:tcPr>
          <w:p w14:paraId="5F8A225E" w14:textId="07ECBFD2"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60-69</w:t>
            </w:r>
          </w:p>
        </w:tc>
        <w:tc>
          <w:tcPr>
            <w:tcW w:w="2098" w:type="dxa"/>
            <w:vAlign w:val="center"/>
          </w:tcPr>
          <w:p w14:paraId="2BBAF846" w14:textId="777238C8"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8%</w:t>
            </w:r>
          </w:p>
        </w:tc>
        <w:tc>
          <w:tcPr>
            <w:tcW w:w="2098" w:type="dxa"/>
            <w:vAlign w:val="center"/>
          </w:tcPr>
          <w:p w14:paraId="1FD6B872" w14:textId="3CA359B8"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11%</w:t>
            </w:r>
          </w:p>
        </w:tc>
        <w:tc>
          <w:tcPr>
            <w:tcW w:w="2098" w:type="dxa"/>
            <w:vAlign w:val="center"/>
          </w:tcPr>
          <w:p w14:paraId="430725E5" w14:textId="714D8E11"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10%</w:t>
            </w:r>
          </w:p>
        </w:tc>
      </w:tr>
      <w:tr w:rsidR="271C3A84" w:rsidRPr="00946412" w14:paraId="71411160" w14:textId="77777777" w:rsidTr="00F04CBC">
        <w:trPr>
          <w:trHeight w:val="285"/>
        </w:trPr>
        <w:tc>
          <w:tcPr>
            <w:tcW w:w="3402" w:type="dxa"/>
          </w:tcPr>
          <w:p w14:paraId="0ECC435B" w14:textId="2AF6C719"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70-79</w:t>
            </w:r>
          </w:p>
        </w:tc>
        <w:tc>
          <w:tcPr>
            <w:tcW w:w="2098" w:type="dxa"/>
            <w:vAlign w:val="center"/>
          </w:tcPr>
          <w:p w14:paraId="1A607D6F" w14:textId="7335E8FE"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13%</w:t>
            </w:r>
          </w:p>
        </w:tc>
        <w:tc>
          <w:tcPr>
            <w:tcW w:w="2098" w:type="dxa"/>
            <w:vAlign w:val="center"/>
          </w:tcPr>
          <w:p w14:paraId="72CB2E94" w14:textId="522DB346"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15%</w:t>
            </w:r>
          </w:p>
        </w:tc>
        <w:tc>
          <w:tcPr>
            <w:tcW w:w="2098" w:type="dxa"/>
            <w:vAlign w:val="center"/>
          </w:tcPr>
          <w:p w14:paraId="6C43FD72" w14:textId="27284D1B"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18%</w:t>
            </w:r>
          </w:p>
        </w:tc>
      </w:tr>
      <w:tr w:rsidR="271C3A84" w:rsidRPr="00946412" w14:paraId="35401244" w14:textId="77777777" w:rsidTr="00F04CBC">
        <w:trPr>
          <w:trHeight w:val="285"/>
        </w:trPr>
        <w:tc>
          <w:tcPr>
            <w:tcW w:w="3402" w:type="dxa"/>
          </w:tcPr>
          <w:p w14:paraId="3AFED0DE" w14:textId="1C65C109"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80-89</w:t>
            </w:r>
          </w:p>
        </w:tc>
        <w:tc>
          <w:tcPr>
            <w:tcW w:w="2098" w:type="dxa"/>
            <w:vAlign w:val="center"/>
          </w:tcPr>
          <w:p w14:paraId="119EA423" w14:textId="611C42E3"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5%</w:t>
            </w:r>
          </w:p>
        </w:tc>
        <w:tc>
          <w:tcPr>
            <w:tcW w:w="2098" w:type="dxa"/>
            <w:vAlign w:val="center"/>
          </w:tcPr>
          <w:p w14:paraId="428CAC31" w14:textId="2C4E8271"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9%</w:t>
            </w:r>
          </w:p>
        </w:tc>
        <w:tc>
          <w:tcPr>
            <w:tcW w:w="2098" w:type="dxa"/>
            <w:vAlign w:val="center"/>
          </w:tcPr>
          <w:p w14:paraId="4B90F44D" w14:textId="49B4D904"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8%</w:t>
            </w:r>
          </w:p>
        </w:tc>
      </w:tr>
      <w:tr w:rsidR="271C3A84" w:rsidRPr="00946412" w14:paraId="12473992" w14:textId="77777777" w:rsidTr="00F04CBC">
        <w:trPr>
          <w:trHeight w:val="285"/>
        </w:trPr>
        <w:tc>
          <w:tcPr>
            <w:tcW w:w="3402" w:type="dxa"/>
          </w:tcPr>
          <w:p w14:paraId="4FB0F4F3" w14:textId="75FA7F08"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90-99</w:t>
            </w:r>
          </w:p>
        </w:tc>
        <w:tc>
          <w:tcPr>
            <w:tcW w:w="2098" w:type="dxa"/>
            <w:vAlign w:val="center"/>
          </w:tcPr>
          <w:p w14:paraId="02BC5978" w14:textId="1CD2A1D6"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11%</w:t>
            </w:r>
          </w:p>
        </w:tc>
        <w:tc>
          <w:tcPr>
            <w:tcW w:w="2098" w:type="dxa"/>
            <w:vAlign w:val="center"/>
          </w:tcPr>
          <w:p w14:paraId="2FFBBACF" w14:textId="2D038E8A"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8%</w:t>
            </w:r>
          </w:p>
        </w:tc>
        <w:tc>
          <w:tcPr>
            <w:tcW w:w="2098" w:type="dxa"/>
            <w:vAlign w:val="center"/>
          </w:tcPr>
          <w:p w14:paraId="3D294660" w14:textId="0D7106E1"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6%</w:t>
            </w:r>
          </w:p>
        </w:tc>
      </w:tr>
      <w:tr w:rsidR="271C3A84" w:rsidRPr="00946412" w14:paraId="7B5C0D6A" w14:textId="77777777" w:rsidTr="00F04CBC">
        <w:trPr>
          <w:trHeight w:val="285"/>
        </w:trPr>
        <w:tc>
          <w:tcPr>
            <w:tcW w:w="3402" w:type="dxa"/>
          </w:tcPr>
          <w:p w14:paraId="5C7FAF30" w14:textId="34C97285" w:rsidR="271C3A84" w:rsidRPr="00F04CBC" w:rsidRDefault="271C3A84" w:rsidP="271C3A84">
            <w:pPr>
              <w:pStyle w:val="SCVtablebody"/>
              <w:rPr>
                <w:rFonts w:ascii="Arial" w:eastAsia="Arial" w:hAnsi="Arial" w:cs="Arial"/>
                <w:b/>
                <w:bCs/>
                <w:color w:val="007586" w:themeColor="text2"/>
                <w:sz w:val="24"/>
                <w:szCs w:val="24"/>
                <w:lang w:val="en-US"/>
              </w:rPr>
            </w:pPr>
            <w:r w:rsidRPr="00F04CBC">
              <w:rPr>
                <w:rFonts w:ascii="Arial" w:eastAsia="Arial" w:hAnsi="Arial" w:cs="Arial"/>
                <w:b/>
                <w:bCs/>
                <w:color w:val="007586" w:themeColor="text2"/>
                <w:sz w:val="24"/>
                <w:szCs w:val="24"/>
              </w:rPr>
              <w:t>100+</w:t>
            </w:r>
          </w:p>
        </w:tc>
        <w:tc>
          <w:tcPr>
            <w:tcW w:w="2098" w:type="dxa"/>
            <w:vAlign w:val="center"/>
          </w:tcPr>
          <w:p w14:paraId="12D8DE03" w14:textId="119DFAAF"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25%</w:t>
            </w:r>
          </w:p>
        </w:tc>
        <w:tc>
          <w:tcPr>
            <w:tcW w:w="2098" w:type="dxa"/>
            <w:vAlign w:val="center"/>
          </w:tcPr>
          <w:p w14:paraId="5CC20DE4" w14:textId="348A2C71"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18%</w:t>
            </w:r>
          </w:p>
        </w:tc>
        <w:tc>
          <w:tcPr>
            <w:tcW w:w="2098" w:type="dxa"/>
            <w:vAlign w:val="center"/>
          </w:tcPr>
          <w:p w14:paraId="4A9A0376" w14:textId="457998D6" w:rsidR="271C3A84" w:rsidRPr="00946412" w:rsidRDefault="271C3A84" w:rsidP="00F04CBC">
            <w:pPr>
              <w:pStyle w:val="SCVtablebody"/>
              <w:jc w:val="right"/>
              <w:rPr>
                <w:rFonts w:ascii="Arial" w:eastAsia="Arial" w:hAnsi="Arial" w:cs="Arial"/>
                <w:color w:val="000000" w:themeColor="text1"/>
                <w:sz w:val="24"/>
                <w:szCs w:val="24"/>
                <w:lang w:val="en-US"/>
              </w:rPr>
            </w:pPr>
            <w:r w:rsidRPr="00946412">
              <w:rPr>
                <w:rFonts w:ascii="Arial" w:eastAsia="Arial" w:hAnsi="Arial" w:cs="Arial"/>
                <w:color w:val="000000" w:themeColor="text1"/>
                <w:sz w:val="24"/>
                <w:szCs w:val="24"/>
              </w:rPr>
              <w:t>23%</w:t>
            </w:r>
          </w:p>
        </w:tc>
      </w:tr>
    </w:tbl>
    <w:p w14:paraId="7FA9B76D" w14:textId="77777777" w:rsidR="00AE48C9" w:rsidRDefault="00AE48C9" w:rsidP="00AE48C9">
      <w:pPr>
        <w:pStyle w:val="SCVtablefigurenote"/>
      </w:pPr>
      <w:r w:rsidRPr="00E343FB">
        <w:t>Note: Totals not 100% due to rounding</w:t>
      </w:r>
    </w:p>
    <w:p w14:paraId="56E5ADFC" w14:textId="0B97D6F0" w:rsidR="271C3A84" w:rsidRDefault="271C3A84" w:rsidP="271C3A84">
      <w:pPr>
        <w:pStyle w:val="SCVbodyafterheading"/>
      </w:pPr>
    </w:p>
    <w:p w14:paraId="51FFF8CA" w14:textId="77777777" w:rsidR="0097754B" w:rsidRDefault="0097754B" w:rsidP="00834EF2">
      <w:pPr>
        <w:pStyle w:val="SCVbody"/>
      </w:pPr>
      <w:bookmarkStart w:id="58" w:name="_Toc185595275"/>
    </w:p>
    <w:p w14:paraId="2014CC37" w14:textId="62AC2FA8" w:rsidR="00D14126" w:rsidRDefault="3A09C71F" w:rsidP="00D14126">
      <w:pPr>
        <w:pStyle w:val="Heading1"/>
        <w:rPr>
          <w:rStyle w:val="normaltextrun"/>
        </w:rPr>
      </w:pPr>
      <w:bookmarkStart w:id="59" w:name="_Toc238026662"/>
      <w:bookmarkStart w:id="60" w:name="_Ref229382257"/>
      <w:r w:rsidRPr="57EA0190">
        <w:rPr>
          <w:rStyle w:val="normaltextrun"/>
        </w:rPr>
        <w:lastRenderedPageBreak/>
        <w:t xml:space="preserve">Appendix </w:t>
      </w:r>
      <w:r w:rsidR="16CC3C67" w:rsidRPr="57EA0190">
        <w:rPr>
          <w:rStyle w:val="normaltextrun"/>
        </w:rPr>
        <w:t>2</w:t>
      </w:r>
      <w:r w:rsidRPr="57EA0190">
        <w:rPr>
          <w:rStyle w:val="normaltextrun"/>
        </w:rPr>
        <w:t xml:space="preserve">: Sentinel </w:t>
      </w:r>
      <w:r w:rsidR="127E7FA2" w:rsidRPr="57EA0190">
        <w:rPr>
          <w:rStyle w:val="normaltextrun"/>
        </w:rPr>
        <w:t>e</w:t>
      </w:r>
      <w:r w:rsidRPr="57EA0190">
        <w:rPr>
          <w:rStyle w:val="normaltextrun"/>
        </w:rPr>
        <w:t>vent identification</w:t>
      </w:r>
      <w:r w:rsidR="3BA81F85" w:rsidRPr="57EA0190">
        <w:rPr>
          <w:rStyle w:val="normaltextrun"/>
        </w:rPr>
        <w:t xml:space="preserve"> and</w:t>
      </w:r>
      <w:r w:rsidRPr="57EA0190">
        <w:rPr>
          <w:rStyle w:val="normaltextrun"/>
        </w:rPr>
        <w:t xml:space="preserve"> review process</w:t>
      </w:r>
      <w:bookmarkEnd w:id="59"/>
    </w:p>
    <w:p w14:paraId="4DC3A1A1" w14:textId="77777777" w:rsidR="00CE7637" w:rsidRPr="006F1353" w:rsidRDefault="2FF014A0" w:rsidP="00CE7637">
      <w:pPr>
        <w:pStyle w:val="Heading2"/>
        <w:rPr>
          <w:color w:val="007586" w:themeColor="text2"/>
        </w:rPr>
      </w:pPr>
      <w:bookmarkStart w:id="61" w:name="_Toc238026663"/>
      <w:r w:rsidRPr="006F1353">
        <w:rPr>
          <w:rStyle w:val="SCVbodyChar"/>
          <w:rFonts w:eastAsiaTheme="majorEastAsia"/>
          <w:color w:val="007586" w:themeColor="text2"/>
          <w:sz w:val="28"/>
          <w:szCs w:val="28"/>
          <w:lang w:eastAsia="en-AU"/>
        </w:rPr>
        <w:t>Sentinel event identification</w:t>
      </w:r>
      <w:bookmarkEnd w:id="61"/>
      <w:r w:rsidRPr="006F1353">
        <w:rPr>
          <w:rStyle w:val="SCVbodyChar"/>
          <w:rFonts w:eastAsiaTheme="majorEastAsia"/>
          <w:color w:val="007586" w:themeColor="text2"/>
          <w:sz w:val="28"/>
          <w:szCs w:val="28"/>
          <w:lang w:eastAsia="en-AU"/>
        </w:rPr>
        <w:t xml:space="preserve"> </w:t>
      </w:r>
    </w:p>
    <w:p w14:paraId="472548D3" w14:textId="19419120" w:rsidR="00516D64" w:rsidRDefault="00516D64" w:rsidP="00CE7637">
      <w:pPr>
        <w:pStyle w:val="SCVbody"/>
      </w:pPr>
      <w:r>
        <w:t>Clinician</w:t>
      </w:r>
      <w:r w:rsidR="00156DD7">
        <w:t>s</w:t>
      </w:r>
      <w:r>
        <w:t xml:space="preserve"> usually identify s</w:t>
      </w:r>
      <w:r w:rsidR="00CE7637" w:rsidRPr="00BD5964">
        <w:t>entinel events at the point of care when the event occurred. Occasionally, sentinel events are not identified immediately but may be identified</w:t>
      </w:r>
      <w:r>
        <w:t>:</w:t>
      </w:r>
      <w:r w:rsidR="00CE7637" w:rsidRPr="00BD5964">
        <w:t xml:space="preserve"> </w:t>
      </w:r>
    </w:p>
    <w:p w14:paraId="0D3B5080" w14:textId="1B223AA3" w:rsidR="00516D64" w:rsidRDefault="00CE7637" w:rsidP="00516D64">
      <w:pPr>
        <w:pStyle w:val="SCVbullet1"/>
      </w:pPr>
      <w:r w:rsidRPr="00BD5964">
        <w:t>by other hospitals, primary care providers, or the patient, consumer and/or their family or carer</w:t>
      </w:r>
    </w:p>
    <w:p w14:paraId="651C80FE" w14:textId="0B3041AE" w:rsidR="00CE7637" w:rsidRPr="00BD5964" w:rsidRDefault="00CE7637" w:rsidP="00A325E0">
      <w:pPr>
        <w:pStyle w:val="SCVbullet1"/>
      </w:pPr>
      <w:r w:rsidRPr="00BD5964">
        <w:t xml:space="preserve">after a patient’s discharge or death. </w:t>
      </w:r>
    </w:p>
    <w:p w14:paraId="118D7282" w14:textId="5554681B" w:rsidR="00CE7637" w:rsidRPr="00BD5964" w:rsidRDefault="00CE7637" w:rsidP="00A325E0">
      <w:pPr>
        <w:pStyle w:val="SCVbodyafterheading"/>
      </w:pPr>
      <w:r w:rsidRPr="00BD5964">
        <w:t>Below are several examples of how sentinel events may be identified</w:t>
      </w:r>
      <w:r w:rsidR="00516D64">
        <w:t>.</w:t>
      </w:r>
    </w:p>
    <w:p w14:paraId="7A6E9DB8" w14:textId="77777777" w:rsidR="00CE7637" w:rsidRPr="006F1353" w:rsidRDefault="00CE7637" w:rsidP="00CE7637">
      <w:pPr>
        <w:pStyle w:val="Heading3"/>
        <w:rPr>
          <w:color w:val="auto"/>
        </w:rPr>
      </w:pPr>
      <w:r w:rsidRPr="006F1353">
        <w:rPr>
          <w:color w:val="auto"/>
        </w:rPr>
        <w:t>Consumer feedback</w:t>
      </w:r>
    </w:p>
    <w:p w14:paraId="00A59A67" w14:textId="685FE15C" w:rsidR="00CE7637" w:rsidRPr="00BD5964" w:rsidRDefault="00CE7637" w:rsidP="00CE7637">
      <w:pPr>
        <w:pStyle w:val="SCVbody"/>
      </w:pPr>
      <w:r>
        <w:t xml:space="preserve">It is vital that consumer experience and quality and safety teams work with consumers, families and carers to ensure SAPSEs and sentinel events identified by consumers are reported in a timely manner. SCV receives around </w:t>
      </w:r>
      <w:r w:rsidR="3F80FA6E">
        <w:t>six</w:t>
      </w:r>
      <w:r>
        <w:t xml:space="preserve"> consumer complaints each year via the Minister for Health that are later recognised as sentinel events. </w:t>
      </w:r>
    </w:p>
    <w:p w14:paraId="6C210CF3" w14:textId="77777777" w:rsidR="00CE7637" w:rsidRPr="006F1353" w:rsidRDefault="00CE7637" w:rsidP="00CE7637">
      <w:pPr>
        <w:pStyle w:val="Heading3"/>
        <w:rPr>
          <w:color w:val="auto"/>
        </w:rPr>
      </w:pPr>
      <w:r w:rsidRPr="006F1353">
        <w:rPr>
          <w:color w:val="auto"/>
        </w:rPr>
        <w:t>Morbidity and mortality</w:t>
      </w:r>
      <w:r w:rsidRPr="006F1353" w:rsidDel="004302F1">
        <w:rPr>
          <w:color w:val="auto"/>
        </w:rPr>
        <w:t xml:space="preserve"> </w:t>
      </w:r>
      <w:r w:rsidRPr="006F1353">
        <w:rPr>
          <w:color w:val="auto"/>
        </w:rPr>
        <w:t>reviews</w:t>
      </w:r>
    </w:p>
    <w:p w14:paraId="4AFAB493" w14:textId="6EA26107" w:rsidR="00CE7637" w:rsidRPr="00BD5964" w:rsidRDefault="2FF014A0" w:rsidP="00CE7637">
      <w:pPr>
        <w:pStyle w:val="SCVbody"/>
      </w:pPr>
      <w:r>
        <w:t xml:space="preserve">Each health service has morbidity (illness) and mortality (death) review processes </w:t>
      </w:r>
      <w:r w:rsidR="6D0E0649">
        <w:t xml:space="preserve">that </w:t>
      </w:r>
      <w:proofErr w:type="gramStart"/>
      <w:r w:rsidR="6D0E0649">
        <w:t>look into</w:t>
      </w:r>
      <w:proofErr w:type="gramEnd"/>
      <w:r w:rsidR="6D0E0649">
        <w:t xml:space="preserve"> incidences of</w:t>
      </w:r>
      <w:r>
        <w:t xml:space="preserve"> patient harm or death. These reviews include a structured forum for peer review and education with the aim of learning lessons and preventing such events occurring again. SCV has developed the </w:t>
      </w:r>
      <w:hyperlink r:id="rId103">
        <w:r w:rsidRPr="57EA0190">
          <w:rPr>
            <w:rStyle w:val="Hyperlink"/>
          </w:rPr>
          <w:t>Morbidity and Mortality meetings - Framework and toolkit</w:t>
        </w:r>
      </w:hyperlink>
      <w:r>
        <w:t xml:space="preserve"> &lt;https://www.safercare.vic.gov.au/publications/morbidity-and-mortality-meetings-framework-and-toolkit&gt; to assist health services.</w:t>
      </w:r>
    </w:p>
    <w:p w14:paraId="0EEE38CE" w14:textId="77777777" w:rsidR="00CE7637" w:rsidRPr="006F1353" w:rsidRDefault="00CE7637" w:rsidP="00CE7637">
      <w:pPr>
        <w:pStyle w:val="Heading3"/>
        <w:rPr>
          <w:color w:val="auto"/>
        </w:rPr>
      </w:pPr>
      <w:r w:rsidRPr="006F1353">
        <w:rPr>
          <w:color w:val="auto"/>
        </w:rPr>
        <w:t xml:space="preserve">Other health services </w:t>
      </w:r>
    </w:p>
    <w:p w14:paraId="640602A9" w14:textId="111AA30E" w:rsidR="00CE7637" w:rsidRPr="00BD5964" w:rsidRDefault="00CE7637" w:rsidP="00CE7637">
      <w:pPr>
        <w:pStyle w:val="SCVbody"/>
      </w:pPr>
      <w:r>
        <w:t xml:space="preserve">Sometimes a patient is discharged or transferred to another health service and the second health service may become aware of a sentinel event occurring in the original health service. The second health service will then report the sentinel event to the original health service. </w:t>
      </w:r>
    </w:p>
    <w:p w14:paraId="55A106B4" w14:textId="77777777" w:rsidR="00CE7637" w:rsidRPr="006F1353" w:rsidRDefault="00CE7637" w:rsidP="00CE7637">
      <w:pPr>
        <w:pStyle w:val="Heading3"/>
        <w:rPr>
          <w:color w:val="auto"/>
        </w:rPr>
      </w:pPr>
      <w:r w:rsidRPr="006F1353">
        <w:rPr>
          <w:color w:val="auto"/>
        </w:rPr>
        <w:t>Coroner’s notifications and reports</w:t>
      </w:r>
    </w:p>
    <w:p w14:paraId="1D8B0427" w14:textId="19A8D3D2" w:rsidR="00CE7637" w:rsidRPr="00BD5964" w:rsidRDefault="6D0E0649" w:rsidP="00CE7637">
      <w:pPr>
        <w:pStyle w:val="SCVbody"/>
      </w:pPr>
      <w:r>
        <w:t>The</w:t>
      </w:r>
      <w:r w:rsidR="2FF014A0">
        <w:t xml:space="preserve"> Victorian Coroner </w:t>
      </w:r>
      <w:r>
        <w:t xml:space="preserve">may notify health services </w:t>
      </w:r>
      <w:r w:rsidR="2FF014A0">
        <w:t xml:space="preserve">of a patient’s death </w:t>
      </w:r>
      <w:r>
        <w:t xml:space="preserve">after </w:t>
      </w:r>
      <w:r w:rsidR="2FF014A0">
        <w:t xml:space="preserve">discharge </w:t>
      </w:r>
      <w:r>
        <w:t>in case</w:t>
      </w:r>
      <w:r w:rsidR="12E01EC8">
        <w:t>s</w:t>
      </w:r>
      <w:r>
        <w:t xml:space="preserve"> where </w:t>
      </w:r>
      <w:r w:rsidR="2FF014A0">
        <w:t>the death meets the criteria of a sentinel event.</w:t>
      </w:r>
    </w:p>
    <w:p w14:paraId="792B210F" w14:textId="77777777" w:rsidR="00CE7637" w:rsidRPr="006F1353" w:rsidRDefault="00CE7637" w:rsidP="00CE7637">
      <w:pPr>
        <w:pStyle w:val="Heading3"/>
        <w:rPr>
          <w:color w:val="auto"/>
        </w:rPr>
      </w:pPr>
      <w:r w:rsidRPr="006F1353">
        <w:rPr>
          <w:color w:val="auto"/>
        </w:rPr>
        <w:lastRenderedPageBreak/>
        <w:t>Office of Chief Psychiatrist</w:t>
      </w:r>
    </w:p>
    <w:p w14:paraId="06A034F0" w14:textId="72FD10B2" w:rsidR="00CE7637" w:rsidRPr="00BD5964" w:rsidRDefault="2FF014A0" w:rsidP="00CE7637">
      <w:pPr>
        <w:pStyle w:val="SCVbody"/>
      </w:pPr>
      <w:r>
        <w:t xml:space="preserve">The Office of the Chief Psychiatrist may become aware that the circumstances surrounding the death of a consumer of mental health services may meet the criteria of a sentinel event and will notify the </w:t>
      </w:r>
      <w:r w:rsidR="12E01EC8">
        <w:t xml:space="preserve">relevant </w:t>
      </w:r>
      <w:r>
        <w:t xml:space="preserve">mental health service. </w:t>
      </w:r>
    </w:p>
    <w:p w14:paraId="4B1B91A9" w14:textId="4EF8DFD1" w:rsidR="00CE7637" w:rsidRPr="006F1353" w:rsidRDefault="00CE7637" w:rsidP="00CE7637">
      <w:pPr>
        <w:pStyle w:val="Heading3"/>
        <w:rPr>
          <w:color w:val="auto"/>
        </w:rPr>
      </w:pPr>
      <w:r w:rsidRPr="006F1353">
        <w:rPr>
          <w:color w:val="auto"/>
        </w:rPr>
        <w:t xml:space="preserve">Primary </w:t>
      </w:r>
      <w:r w:rsidR="006F142B" w:rsidRPr="006F1353">
        <w:rPr>
          <w:color w:val="auto"/>
        </w:rPr>
        <w:t>c</w:t>
      </w:r>
      <w:r w:rsidRPr="006F1353">
        <w:rPr>
          <w:color w:val="auto"/>
        </w:rPr>
        <w:t>are or other service providers</w:t>
      </w:r>
    </w:p>
    <w:p w14:paraId="7BAFDC41" w14:textId="5B95EB4A" w:rsidR="00CE7637" w:rsidRDefault="00CE7637" w:rsidP="00CE7637">
      <w:pPr>
        <w:pStyle w:val="SCVbody"/>
      </w:pPr>
      <w:r w:rsidRPr="00BD5964">
        <w:t xml:space="preserve">Primary care providers or other </w:t>
      </w:r>
      <w:r>
        <w:t>service providers</w:t>
      </w:r>
      <w:r w:rsidRPr="00BD5964">
        <w:t xml:space="preserve"> are the key to successful</w:t>
      </w:r>
      <w:r w:rsidR="00311F5C">
        <w:t xml:space="preserve">ly transitioning </w:t>
      </w:r>
      <w:r w:rsidRPr="00BD5964">
        <w:t xml:space="preserve">a patient back to the community. </w:t>
      </w:r>
      <w:r w:rsidR="00311F5C">
        <w:t>P</w:t>
      </w:r>
      <w:r w:rsidRPr="00BD5964">
        <w:t xml:space="preserve">rimary care providers </w:t>
      </w:r>
      <w:r>
        <w:t xml:space="preserve">or other service providers </w:t>
      </w:r>
      <w:r w:rsidR="00311F5C">
        <w:t>sometimes</w:t>
      </w:r>
      <w:r w:rsidR="00311F5C" w:rsidRPr="00BD5964">
        <w:t xml:space="preserve"> </w:t>
      </w:r>
      <w:r w:rsidRPr="00BD5964">
        <w:t xml:space="preserve">identify that a sentinel event occurred </w:t>
      </w:r>
      <w:r w:rsidRPr="004868DF">
        <w:t>when the patient was in hospital and will r</w:t>
      </w:r>
      <w:r w:rsidRPr="00BD5964">
        <w:t>eport the event to the</w:t>
      </w:r>
      <w:r>
        <w:t xml:space="preserve"> treating</w:t>
      </w:r>
      <w:r w:rsidRPr="00BD5964">
        <w:t xml:space="preserve"> health service.</w:t>
      </w:r>
      <w:r>
        <w:t xml:space="preserve"> </w:t>
      </w:r>
    </w:p>
    <w:p w14:paraId="3139070F" w14:textId="77777777" w:rsidR="006F1353" w:rsidRPr="00F76796" w:rsidRDefault="006F1353" w:rsidP="006F1353">
      <w:pPr>
        <w:pStyle w:val="Heading3"/>
        <w:spacing w:before="120"/>
      </w:pPr>
      <w:r>
        <w:t>Guidance for health services</w:t>
      </w:r>
      <w:r w:rsidRPr="5EAC5C8C">
        <w:rPr>
          <w:rFonts w:ascii="Arial" w:hAnsi="Arial" w:cs="Arial"/>
        </w:rPr>
        <w:t xml:space="preserve"> to inform continuous improvement</w:t>
      </w:r>
    </w:p>
    <w:p w14:paraId="73D09D3E" w14:textId="77777777" w:rsidR="006F1353" w:rsidRDefault="006F1353" w:rsidP="006F1353">
      <w:pPr>
        <w:pStyle w:val="SCVbody"/>
      </w:pPr>
      <w:r w:rsidRPr="0375C011">
        <w:t>Consider</w:t>
      </w:r>
      <w:r>
        <w:t xml:space="preserve"> </w:t>
      </w:r>
      <w:r w:rsidRPr="0375C011">
        <w:t>the</w:t>
      </w:r>
      <w:r>
        <w:t xml:space="preserve"> </w:t>
      </w:r>
      <w:r w:rsidRPr="0375C011">
        <w:t>clinical</w:t>
      </w:r>
      <w:r>
        <w:t xml:space="preserve"> </w:t>
      </w:r>
      <w:r w:rsidRPr="0375C011">
        <w:t>governance</w:t>
      </w:r>
      <w:r>
        <w:t xml:space="preserve"> </w:t>
      </w:r>
      <w:r w:rsidRPr="0375C011">
        <w:t>processes</w:t>
      </w:r>
      <w:r>
        <w:t xml:space="preserve">, policies and pathways that are in place </w:t>
      </w:r>
      <w:r w:rsidRPr="0375C011">
        <w:t>at</w:t>
      </w:r>
      <w:r>
        <w:t xml:space="preserve"> </w:t>
      </w:r>
      <w:r w:rsidRPr="0375C011">
        <w:t>your</w:t>
      </w:r>
      <w:r>
        <w:t xml:space="preserve"> </w:t>
      </w:r>
      <w:r w:rsidRPr="0375C011">
        <w:t>health</w:t>
      </w:r>
      <w:r>
        <w:t xml:space="preserve"> </w:t>
      </w:r>
      <w:r w:rsidRPr="0375C011">
        <w:t>service</w:t>
      </w:r>
      <w:r>
        <w:t xml:space="preserve"> that help to identify, </w:t>
      </w:r>
      <w:r w:rsidRPr="0375C011">
        <w:t>escalate</w:t>
      </w:r>
      <w:r>
        <w:t xml:space="preserve"> </w:t>
      </w:r>
      <w:r w:rsidRPr="0375C011">
        <w:t>or</w:t>
      </w:r>
      <w:r>
        <w:t xml:space="preserve"> </w:t>
      </w:r>
      <w:r w:rsidRPr="0375C011">
        <w:t>refer</w:t>
      </w:r>
      <w:r>
        <w:t xml:space="preserve"> </w:t>
      </w:r>
      <w:r w:rsidRPr="0375C011">
        <w:t>possible</w:t>
      </w:r>
      <w:r>
        <w:t xml:space="preserve"> </w:t>
      </w:r>
      <w:r w:rsidRPr="0375C011">
        <w:t>adverse</w:t>
      </w:r>
      <w:r>
        <w:t xml:space="preserve"> </w:t>
      </w:r>
      <w:r w:rsidRPr="0375C011">
        <w:t>events.</w:t>
      </w:r>
      <w:r>
        <w:t xml:space="preserve"> </w:t>
      </w:r>
    </w:p>
    <w:p w14:paraId="252D48B7" w14:textId="77777777" w:rsidR="006F1353" w:rsidRDefault="006F1353" w:rsidP="006F1353">
      <w:pPr>
        <w:pStyle w:val="SCVbody"/>
      </w:pPr>
      <w:r>
        <w:t xml:space="preserve">Good questions to ask are: </w:t>
      </w:r>
    </w:p>
    <w:p w14:paraId="0BC0CB9C" w14:textId="77777777" w:rsidR="006F1353" w:rsidRPr="006F1353" w:rsidRDefault="006F1353" w:rsidP="006F1353">
      <w:pPr>
        <w:pStyle w:val="SCVbullet1"/>
        <w:rPr>
          <w:b/>
          <w:bCs/>
        </w:rPr>
      </w:pPr>
      <w:r>
        <w:t xml:space="preserve">Are governance processes visible and accessible to staff? </w:t>
      </w:r>
    </w:p>
    <w:p w14:paraId="50FDBC98" w14:textId="62CA7393" w:rsidR="006F1353" w:rsidRPr="006F1353" w:rsidRDefault="006F1353" w:rsidP="006F1353">
      <w:pPr>
        <w:pStyle w:val="SCVbullet1"/>
        <w:rPr>
          <w:b/>
          <w:bCs/>
        </w:rPr>
      </w:pPr>
      <w:r>
        <w:t>How are staff supported to identify, escalate and report a sentinel event?</w:t>
      </w:r>
    </w:p>
    <w:p w14:paraId="3A4A6D3B" w14:textId="21E68448" w:rsidR="00CE7637" w:rsidRPr="006F1353" w:rsidRDefault="2FF014A0" w:rsidP="00CE7637">
      <w:pPr>
        <w:pStyle w:val="Heading2"/>
        <w:spacing w:before="160" w:after="0" w:line="276" w:lineRule="auto"/>
        <w:rPr>
          <w:color w:val="007586" w:themeColor="text2"/>
        </w:rPr>
      </w:pPr>
      <w:bookmarkStart w:id="62" w:name="_Toc238026664"/>
      <w:r w:rsidRPr="006F1353">
        <w:rPr>
          <w:color w:val="007586" w:themeColor="text2"/>
        </w:rPr>
        <w:t xml:space="preserve">The sentinel events </w:t>
      </w:r>
      <w:r w:rsidR="3BA81F85" w:rsidRPr="006F1353">
        <w:rPr>
          <w:color w:val="007586" w:themeColor="text2"/>
        </w:rPr>
        <w:t xml:space="preserve">review </w:t>
      </w:r>
      <w:r w:rsidRPr="006F1353">
        <w:rPr>
          <w:color w:val="007586" w:themeColor="text2"/>
        </w:rPr>
        <w:t>process</w:t>
      </w:r>
      <w:bookmarkEnd w:id="62"/>
      <w:r w:rsidRPr="006F1353">
        <w:rPr>
          <w:color w:val="007586" w:themeColor="text2"/>
        </w:rPr>
        <w:t xml:space="preserve"> </w:t>
      </w:r>
    </w:p>
    <w:p w14:paraId="30C32F2A" w14:textId="77777777" w:rsidR="00CE7637" w:rsidRPr="00D47AC8" w:rsidRDefault="00CE7637" w:rsidP="003D76A5">
      <w:pPr>
        <w:pStyle w:val="SCVbody"/>
      </w:pPr>
      <w:r w:rsidRPr="00D47AC8">
        <w:t>Sentinel event reviews must follow a formal, structured systems</w:t>
      </w:r>
      <w:r>
        <w:t>-</w:t>
      </w:r>
      <w:r w:rsidRPr="00D47AC8">
        <w:t xml:space="preserve">focused methodology that includes a written report detailing all aspects of the review. </w:t>
      </w:r>
    </w:p>
    <w:p w14:paraId="4AF51927" w14:textId="77777777" w:rsidR="00CE7637" w:rsidRPr="00966B7E" w:rsidRDefault="00CE7637" w:rsidP="003D76A5">
      <w:pPr>
        <w:pStyle w:val="SCVbody"/>
      </w:pPr>
      <w:r w:rsidRPr="00D47AC8">
        <w:t>SCV accepts various methodologies includ</w:t>
      </w:r>
      <w:r>
        <w:t>ing</w:t>
      </w:r>
      <w:r w:rsidRPr="00D47AC8">
        <w:t xml:space="preserve"> RCA/RCA2, the London Protocol and </w:t>
      </w:r>
      <w:proofErr w:type="spellStart"/>
      <w:r w:rsidRPr="00D47AC8">
        <w:t>AcciMap</w:t>
      </w:r>
      <w:proofErr w:type="spellEnd"/>
      <w:r w:rsidRPr="00D47AC8">
        <w:t>.</w:t>
      </w:r>
      <w:r w:rsidRPr="00F31ACC" w:rsidDel="00C8743B">
        <w:t xml:space="preserve"> </w:t>
      </w:r>
      <w:r w:rsidRPr="00C8743B">
        <w:t>SCV encourages organisations to adopt the robust and validated methodology they find most appropriate, efficient, tailored to the incident and to the needs of the health service</w:t>
      </w:r>
      <w:r>
        <w:t>.</w:t>
      </w:r>
    </w:p>
    <w:p w14:paraId="37D2BE2B" w14:textId="1DC38F1F" w:rsidR="00CE7637" w:rsidRDefault="2FF014A0" w:rsidP="00CE7637">
      <w:pPr>
        <w:pStyle w:val="SCVbody"/>
      </w:pPr>
      <w:r>
        <w:t xml:space="preserve">For more on review methodologies, refer to the </w:t>
      </w:r>
      <w:hyperlink r:id="rId104">
        <w:r w:rsidRPr="271C3A84">
          <w:rPr>
            <w:rStyle w:val="Hyperlink"/>
          </w:rPr>
          <w:t>Victorian sentinel events guide</w:t>
        </w:r>
      </w:hyperlink>
      <w:r>
        <w:t xml:space="preserve"> &lt;https://www.safercare.vic.gov.au/best-practice-improvement/publications/sentinel-events-guide</w:t>
      </w:r>
      <w:r w:rsidR="0E7CC8E8">
        <w:t>&gt;</w:t>
      </w:r>
      <w:r>
        <w:t xml:space="preserve"> and</w:t>
      </w:r>
      <w:r w:rsidR="12E01EC8">
        <w:t xml:space="preserve"> the</w:t>
      </w:r>
      <w:r>
        <w:t xml:space="preserve"> </w:t>
      </w:r>
      <w:hyperlink r:id="rId105">
        <w:r w:rsidRPr="271C3A84">
          <w:rPr>
            <w:rStyle w:val="Hyperlink"/>
            <w:rFonts w:ascii="Arial" w:hAnsi="Arial" w:cs="Arial"/>
          </w:rPr>
          <w:t>Adverse Patient Safety Event guideline</w:t>
        </w:r>
      </w:hyperlink>
      <w:r>
        <w:t xml:space="preserve"> &lt;https://www.safercare.vic.gov.au/sites/default/files/2023-07/Adverse%20Patient%20Safety%20Event%20guideline_Safer%20Care%20Victoria_2.pdf&gt;.</w:t>
      </w:r>
    </w:p>
    <w:p w14:paraId="6676762E" w14:textId="77777777" w:rsidR="007173DA" w:rsidRPr="006F1353" w:rsidRDefault="41DC8421" w:rsidP="007173DA">
      <w:pPr>
        <w:pStyle w:val="Heading2"/>
        <w:spacing w:line="276" w:lineRule="auto"/>
        <w:rPr>
          <w:color w:val="007586" w:themeColor="text2"/>
        </w:rPr>
      </w:pPr>
      <w:bookmarkStart w:id="63" w:name="_Toc238026665"/>
      <w:r w:rsidRPr="006F1353">
        <w:rPr>
          <w:color w:val="007586" w:themeColor="text2"/>
        </w:rPr>
        <w:t>Developing recommendations</w:t>
      </w:r>
      <w:bookmarkEnd w:id="63"/>
      <w:r w:rsidRPr="006F1353">
        <w:rPr>
          <w:color w:val="007586" w:themeColor="text2"/>
        </w:rPr>
        <w:t xml:space="preserve"> </w:t>
      </w:r>
    </w:p>
    <w:p w14:paraId="69A0BBDE" w14:textId="49FB2110" w:rsidR="007173DA" w:rsidRPr="00180959" w:rsidRDefault="007173DA" w:rsidP="007173DA">
      <w:pPr>
        <w:pStyle w:val="SCVbody"/>
      </w:pPr>
      <w:r>
        <w:t>After each sentinel event review, the review panel develops recommendations and sets out an action plan for implementing the recommendations. Recommendations are developed to address findings and lessons from the review. They</w:t>
      </w:r>
      <w:r w:rsidDel="009A6B63">
        <w:t xml:space="preserve"> </w:t>
      </w:r>
      <w:r>
        <w:t xml:space="preserve">aim to reduce the risk of similar events recurring, ultimately improving the quality and safety of patient care. In alignment with systems </w:t>
      </w:r>
      <w:r>
        <w:lastRenderedPageBreak/>
        <w:t>thinking and just culture, these recommendations should prioritise addressing systemic issues rather than focusing on individual fault.</w:t>
      </w:r>
    </w:p>
    <w:p w14:paraId="0F78E45F" w14:textId="77777777" w:rsidR="007173DA" w:rsidRDefault="007173DA" w:rsidP="00CE7637">
      <w:pPr>
        <w:pStyle w:val="SCVbody"/>
      </w:pPr>
    </w:p>
    <w:p w14:paraId="056DCBCF" w14:textId="76738A53" w:rsidR="00010C6E" w:rsidRPr="00834EF2" w:rsidRDefault="2A6A78D8" w:rsidP="005F2EBC">
      <w:pPr>
        <w:pStyle w:val="Heading1"/>
        <w:rPr>
          <w:rStyle w:val="normaltextrun"/>
        </w:rPr>
      </w:pPr>
      <w:bookmarkStart w:id="64" w:name="_Toc238026666"/>
      <w:r w:rsidRPr="57EA0190">
        <w:rPr>
          <w:rStyle w:val="normaltextrun"/>
        </w:rPr>
        <w:lastRenderedPageBreak/>
        <w:t>Appendix</w:t>
      </w:r>
      <w:r w:rsidR="7B2B20DD" w:rsidRPr="57EA0190">
        <w:rPr>
          <w:rStyle w:val="normaltextrun"/>
        </w:rPr>
        <w:t xml:space="preserve"> </w:t>
      </w:r>
      <w:r w:rsidR="5372BA04" w:rsidRPr="57EA0190">
        <w:rPr>
          <w:rStyle w:val="normaltextrun"/>
        </w:rPr>
        <w:t>3</w:t>
      </w:r>
      <w:r w:rsidRPr="57EA0190">
        <w:rPr>
          <w:rStyle w:val="normaltextrun"/>
        </w:rPr>
        <w:t>:</w:t>
      </w:r>
      <w:r w:rsidR="5811132B" w:rsidRPr="57EA0190">
        <w:rPr>
          <w:rStyle w:val="normaltextrun"/>
        </w:rPr>
        <w:t xml:space="preserve"> </w:t>
      </w:r>
      <w:r w:rsidRPr="57EA0190">
        <w:rPr>
          <w:rStyle w:val="normaltextrun"/>
        </w:rPr>
        <w:t>Guide</w:t>
      </w:r>
      <w:r w:rsidR="5811132B" w:rsidRPr="57EA0190">
        <w:rPr>
          <w:rStyle w:val="normaltextrun"/>
        </w:rPr>
        <w:t xml:space="preserve"> </w:t>
      </w:r>
      <w:r w:rsidRPr="57EA0190">
        <w:rPr>
          <w:rStyle w:val="normaltextrun"/>
        </w:rPr>
        <w:t>to</w:t>
      </w:r>
      <w:r w:rsidR="5811132B" w:rsidRPr="57EA0190">
        <w:rPr>
          <w:rStyle w:val="normaltextrun"/>
        </w:rPr>
        <w:t xml:space="preserve"> </w:t>
      </w:r>
      <w:r w:rsidRPr="57EA0190">
        <w:rPr>
          <w:rStyle w:val="normaltextrun"/>
        </w:rPr>
        <w:t>recommendation</w:t>
      </w:r>
      <w:r w:rsidR="5372BA04" w:rsidRPr="57EA0190">
        <w:rPr>
          <w:rStyle w:val="normaltextrun"/>
        </w:rPr>
        <w:t xml:space="preserve"> </w:t>
      </w:r>
      <w:r w:rsidRPr="57EA0190">
        <w:rPr>
          <w:rStyle w:val="normaltextrun"/>
        </w:rPr>
        <w:t>s</w:t>
      </w:r>
      <w:bookmarkEnd w:id="6"/>
      <w:bookmarkEnd w:id="58"/>
      <w:bookmarkEnd w:id="60"/>
      <w:r w:rsidR="5372BA04" w:rsidRPr="57EA0190">
        <w:rPr>
          <w:rStyle w:val="normaltextrun"/>
        </w:rPr>
        <w:t>trength</w:t>
      </w:r>
      <w:bookmarkEnd w:id="64"/>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3240"/>
        <w:gridCol w:w="4875"/>
      </w:tblGrid>
      <w:tr w:rsidR="00010C6E" w:rsidRPr="00946412" w14:paraId="0CBC0CAD" w14:textId="77777777" w:rsidTr="69193B64">
        <w:trPr>
          <w:trHeight w:val="300"/>
          <w:tblHeader/>
        </w:trPr>
        <w:tc>
          <w:tcPr>
            <w:tcW w:w="2070" w:type="dxa"/>
            <w:tcBorders>
              <w:top w:val="nil"/>
              <w:left w:val="nil"/>
              <w:bottom w:val="single" w:sz="24" w:space="0" w:color="CCCCD0"/>
              <w:right w:val="nil"/>
            </w:tcBorders>
            <w:shd w:val="clear" w:color="auto" w:fill="EDF5F7" w:themeFill="background2"/>
            <w:hideMark/>
          </w:tcPr>
          <w:p w14:paraId="60308A68" w14:textId="77777777" w:rsidR="00010C6E" w:rsidRPr="00CB4C72" w:rsidRDefault="00010C6E" w:rsidP="00010C6E">
            <w:pPr>
              <w:pStyle w:val="SCVtablecolhead"/>
              <w:rPr>
                <w:sz w:val="24"/>
                <w:szCs w:val="24"/>
              </w:rPr>
            </w:pPr>
            <w:r w:rsidRPr="00CB4C72">
              <w:rPr>
                <w:sz w:val="24"/>
                <w:szCs w:val="24"/>
              </w:rPr>
              <w:t>Recommendation strength </w:t>
            </w:r>
          </w:p>
        </w:tc>
        <w:tc>
          <w:tcPr>
            <w:tcW w:w="3240" w:type="dxa"/>
            <w:tcBorders>
              <w:top w:val="nil"/>
              <w:left w:val="nil"/>
              <w:bottom w:val="single" w:sz="24" w:space="0" w:color="CCCCD0"/>
              <w:right w:val="nil"/>
            </w:tcBorders>
            <w:shd w:val="clear" w:color="auto" w:fill="EDF5F7" w:themeFill="background2"/>
            <w:hideMark/>
          </w:tcPr>
          <w:p w14:paraId="413A9930" w14:textId="77777777" w:rsidR="00010C6E" w:rsidRPr="00946412" w:rsidRDefault="00010C6E" w:rsidP="002A409B">
            <w:pPr>
              <w:pStyle w:val="SCVtablecolhead"/>
              <w:ind w:left="198"/>
              <w:rPr>
                <w:sz w:val="24"/>
                <w:szCs w:val="24"/>
              </w:rPr>
            </w:pPr>
            <w:r w:rsidRPr="00946412">
              <w:rPr>
                <w:sz w:val="24"/>
                <w:szCs w:val="24"/>
              </w:rPr>
              <w:t>Recommendation category </w:t>
            </w:r>
          </w:p>
        </w:tc>
        <w:tc>
          <w:tcPr>
            <w:tcW w:w="4875" w:type="dxa"/>
            <w:tcBorders>
              <w:top w:val="nil"/>
              <w:left w:val="nil"/>
              <w:bottom w:val="single" w:sz="24" w:space="0" w:color="CCCCD0"/>
              <w:right w:val="nil"/>
            </w:tcBorders>
            <w:shd w:val="clear" w:color="auto" w:fill="EDF5F7" w:themeFill="background2"/>
            <w:hideMark/>
          </w:tcPr>
          <w:p w14:paraId="0013A560" w14:textId="5DA85D46" w:rsidR="00010C6E" w:rsidRPr="00946412" w:rsidRDefault="00010C6E" w:rsidP="00010C6E">
            <w:pPr>
              <w:pStyle w:val="SCVtablecolhead"/>
              <w:rPr>
                <w:sz w:val="24"/>
                <w:szCs w:val="24"/>
              </w:rPr>
            </w:pPr>
            <w:r w:rsidRPr="00946412">
              <w:rPr>
                <w:sz w:val="24"/>
                <w:szCs w:val="24"/>
              </w:rPr>
              <w:t>Example</w:t>
            </w:r>
          </w:p>
        </w:tc>
      </w:tr>
      <w:tr w:rsidR="00010C6E" w:rsidRPr="00946412" w14:paraId="0D476AFB" w14:textId="77777777" w:rsidTr="69193B64">
        <w:trPr>
          <w:trHeight w:val="300"/>
        </w:trPr>
        <w:tc>
          <w:tcPr>
            <w:tcW w:w="2070" w:type="dxa"/>
            <w:tcBorders>
              <w:top w:val="single" w:sz="6" w:space="0" w:color="80808B"/>
              <w:left w:val="nil"/>
              <w:bottom w:val="single" w:sz="6" w:space="0" w:color="80808B"/>
              <w:right w:val="nil"/>
            </w:tcBorders>
            <w:hideMark/>
          </w:tcPr>
          <w:p w14:paraId="253EF030" w14:textId="47D82617"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Strong </w:t>
            </w:r>
          </w:p>
        </w:tc>
        <w:tc>
          <w:tcPr>
            <w:tcW w:w="3240" w:type="dxa"/>
            <w:tcBorders>
              <w:top w:val="single" w:sz="6" w:space="0" w:color="80808B"/>
              <w:left w:val="nil"/>
              <w:bottom w:val="single" w:sz="6" w:space="0" w:color="80808B"/>
              <w:right w:val="nil"/>
            </w:tcBorders>
            <w:hideMark/>
          </w:tcPr>
          <w:p w14:paraId="7A91306D" w14:textId="77777777" w:rsidR="00010C6E" w:rsidRPr="00946412" w:rsidRDefault="00010C6E" w:rsidP="002A409B">
            <w:pPr>
              <w:pStyle w:val="SCVtablebody"/>
              <w:ind w:left="198"/>
              <w:rPr>
                <w:sz w:val="24"/>
                <w:szCs w:val="24"/>
              </w:rPr>
            </w:pPr>
            <w:r w:rsidRPr="00946412">
              <w:rPr>
                <w:sz w:val="24"/>
                <w:szCs w:val="24"/>
              </w:rPr>
              <w:t>Architectural/physical changes in surroundings </w:t>
            </w:r>
          </w:p>
        </w:tc>
        <w:tc>
          <w:tcPr>
            <w:tcW w:w="4875" w:type="dxa"/>
            <w:tcBorders>
              <w:top w:val="single" w:sz="6" w:space="0" w:color="80808B"/>
              <w:left w:val="nil"/>
              <w:bottom w:val="single" w:sz="6" w:space="0" w:color="80808B"/>
              <w:right w:val="nil"/>
            </w:tcBorders>
            <w:hideMark/>
          </w:tcPr>
          <w:p w14:paraId="2EFBCF2B" w14:textId="41D34205" w:rsidR="00010C6E" w:rsidRPr="00946412" w:rsidRDefault="00010C6E" w:rsidP="00010C6E">
            <w:pPr>
              <w:pStyle w:val="SCVtablebody"/>
              <w:rPr>
                <w:sz w:val="24"/>
                <w:szCs w:val="24"/>
              </w:rPr>
            </w:pPr>
            <w:r w:rsidRPr="00946412">
              <w:rPr>
                <w:sz w:val="24"/>
                <w:szCs w:val="24"/>
              </w:rPr>
              <w:t>Replace revolving doors at the main entrance into the building with powered sliding or swinging doors to reduce patient falls</w:t>
            </w:r>
          </w:p>
        </w:tc>
      </w:tr>
      <w:tr w:rsidR="00010C6E" w:rsidRPr="00946412" w14:paraId="19F94B19" w14:textId="77777777" w:rsidTr="69193B64">
        <w:trPr>
          <w:trHeight w:val="300"/>
        </w:trPr>
        <w:tc>
          <w:tcPr>
            <w:tcW w:w="2070" w:type="dxa"/>
            <w:tcBorders>
              <w:top w:val="single" w:sz="6" w:space="0" w:color="80808B"/>
              <w:left w:val="nil"/>
              <w:bottom w:val="single" w:sz="6" w:space="0" w:color="80808B"/>
              <w:right w:val="nil"/>
            </w:tcBorders>
            <w:hideMark/>
          </w:tcPr>
          <w:p w14:paraId="07DFE82B" w14:textId="4A3A182C"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Strong </w:t>
            </w:r>
          </w:p>
        </w:tc>
        <w:tc>
          <w:tcPr>
            <w:tcW w:w="3240" w:type="dxa"/>
            <w:tcBorders>
              <w:top w:val="single" w:sz="6" w:space="0" w:color="80808B"/>
              <w:left w:val="nil"/>
              <w:bottom w:val="single" w:sz="6" w:space="0" w:color="80808B"/>
              <w:right w:val="nil"/>
            </w:tcBorders>
            <w:hideMark/>
          </w:tcPr>
          <w:p w14:paraId="33DA69F3" w14:textId="6BEFDEDD" w:rsidR="00010C6E" w:rsidRPr="00946412" w:rsidRDefault="00010C6E" w:rsidP="002A409B">
            <w:pPr>
              <w:pStyle w:val="SCVtablebody"/>
              <w:ind w:left="198"/>
              <w:rPr>
                <w:sz w:val="24"/>
                <w:szCs w:val="24"/>
              </w:rPr>
            </w:pPr>
            <w:r w:rsidRPr="00946412">
              <w:rPr>
                <w:sz w:val="24"/>
                <w:szCs w:val="24"/>
              </w:rPr>
              <w:t>New devices with usability testing</w:t>
            </w:r>
          </w:p>
        </w:tc>
        <w:tc>
          <w:tcPr>
            <w:tcW w:w="4875" w:type="dxa"/>
            <w:tcBorders>
              <w:top w:val="single" w:sz="6" w:space="0" w:color="80808B"/>
              <w:left w:val="nil"/>
              <w:bottom w:val="single" w:sz="6" w:space="0" w:color="80808B"/>
              <w:right w:val="nil"/>
            </w:tcBorders>
            <w:hideMark/>
          </w:tcPr>
          <w:p w14:paraId="5D1F6F2F" w14:textId="22A9BDD4" w:rsidR="00010C6E" w:rsidRPr="00946412" w:rsidRDefault="00010C6E" w:rsidP="00010C6E">
            <w:pPr>
              <w:pStyle w:val="SCVtablebody"/>
              <w:rPr>
                <w:sz w:val="24"/>
                <w:szCs w:val="24"/>
              </w:rPr>
            </w:pPr>
            <w:r w:rsidRPr="00946412">
              <w:rPr>
                <w:sz w:val="24"/>
                <w:szCs w:val="24"/>
              </w:rPr>
              <w:t>Perform pre-purchase testing of blood glucose monitors and test strips to select the most appropriate for the patient population</w:t>
            </w:r>
          </w:p>
        </w:tc>
      </w:tr>
      <w:tr w:rsidR="00010C6E" w:rsidRPr="00946412" w14:paraId="1D617934" w14:textId="77777777" w:rsidTr="69193B64">
        <w:trPr>
          <w:trHeight w:val="300"/>
        </w:trPr>
        <w:tc>
          <w:tcPr>
            <w:tcW w:w="2070" w:type="dxa"/>
            <w:tcBorders>
              <w:top w:val="single" w:sz="6" w:space="0" w:color="80808B"/>
              <w:left w:val="nil"/>
              <w:bottom w:val="single" w:sz="6" w:space="0" w:color="80808B"/>
              <w:right w:val="nil"/>
            </w:tcBorders>
            <w:hideMark/>
          </w:tcPr>
          <w:p w14:paraId="0BC2BC93" w14:textId="31BE2554"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Strong </w:t>
            </w:r>
          </w:p>
        </w:tc>
        <w:tc>
          <w:tcPr>
            <w:tcW w:w="3240" w:type="dxa"/>
            <w:tcBorders>
              <w:top w:val="single" w:sz="6" w:space="0" w:color="80808B"/>
              <w:left w:val="nil"/>
              <w:bottom w:val="single" w:sz="6" w:space="0" w:color="80808B"/>
              <w:right w:val="nil"/>
            </w:tcBorders>
            <w:hideMark/>
          </w:tcPr>
          <w:p w14:paraId="48C9199C" w14:textId="77D99B91" w:rsidR="00010C6E" w:rsidRPr="00946412" w:rsidRDefault="00010C6E" w:rsidP="002A409B">
            <w:pPr>
              <w:pStyle w:val="SCVtablebody"/>
              <w:ind w:left="198"/>
              <w:rPr>
                <w:sz w:val="24"/>
                <w:szCs w:val="24"/>
              </w:rPr>
            </w:pPr>
            <w:r w:rsidRPr="00946412">
              <w:rPr>
                <w:sz w:val="24"/>
                <w:szCs w:val="24"/>
              </w:rPr>
              <w:t>Engineering control (forcing functions that force the user to complete the action)</w:t>
            </w:r>
          </w:p>
        </w:tc>
        <w:tc>
          <w:tcPr>
            <w:tcW w:w="4875" w:type="dxa"/>
            <w:tcBorders>
              <w:top w:val="single" w:sz="6" w:space="0" w:color="80808B"/>
              <w:left w:val="nil"/>
              <w:bottom w:val="single" w:sz="6" w:space="0" w:color="80808B"/>
              <w:right w:val="nil"/>
            </w:tcBorders>
            <w:hideMark/>
          </w:tcPr>
          <w:p w14:paraId="65E85714" w14:textId="22E0E804" w:rsidR="00010C6E" w:rsidRPr="00946412" w:rsidRDefault="00010C6E" w:rsidP="00010C6E">
            <w:pPr>
              <w:pStyle w:val="SCVtablebody"/>
              <w:rPr>
                <w:sz w:val="24"/>
                <w:szCs w:val="24"/>
              </w:rPr>
            </w:pPr>
            <w:r w:rsidRPr="00946412">
              <w:rPr>
                <w:sz w:val="24"/>
                <w:szCs w:val="24"/>
              </w:rPr>
              <w:t>Eliminate the use of universal adapters and peripheral devices for medical equipment; use tubing/fittings that can only be connected the correct way</w:t>
            </w:r>
          </w:p>
        </w:tc>
      </w:tr>
      <w:tr w:rsidR="00010C6E" w:rsidRPr="00946412" w14:paraId="2E342AD5" w14:textId="77777777" w:rsidTr="69193B64">
        <w:trPr>
          <w:trHeight w:val="300"/>
        </w:trPr>
        <w:tc>
          <w:tcPr>
            <w:tcW w:w="2070" w:type="dxa"/>
            <w:tcBorders>
              <w:top w:val="single" w:sz="6" w:space="0" w:color="80808B"/>
              <w:left w:val="nil"/>
              <w:bottom w:val="single" w:sz="6" w:space="0" w:color="80808B"/>
              <w:right w:val="nil"/>
            </w:tcBorders>
            <w:hideMark/>
          </w:tcPr>
          <w:p w14:paraId="3F7378B0" w14:textId="66AADD15"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Strong </w:t>
            </w:r>
          </w:p>
        </w:tc>
        <w:tc>
          <w:tcPr>
            <w:tcW w:w="3240" w:type="dxa"/>
            <w:tcBorders>
              <w:top w:val="single" w:sz="6" w:space="0" w:color="80808B"/>
              <w:left w:val="nil"/>
              <w:bottom w:val="single" w:sz="6" w:space="0" w:color="80808B"/>
              <w:right w:val="nil"/>
            </w:tcBorders>
            <w:hideMark/>
          </w:tcPr>
          <w:p w14:paraId="4BE9C5A3" w14:textId="77777777" w:rsidR="00010C6E" w:rsidRPr="00946412" w:rsidRDefault="00010C6E" w:rsidP="002A409B">
            <w:pPr>
              <w:pStyle w:val="SCVtablebody"/>
              <w:ind w:left="198"/>
              <w:rPr>
                <w:sz w:val="24"/>
                <w:szCs w:val="24"/>
              </w:rPr>
            </w:pPr>
            <w:r w:rsidRPr="00946412">
              <w:rPr>
                <w:sz w:val="24"/>
                <w:szCs w:val="24"/>
              </w:rPr>
              <w:t>Simplify process and remove unnecessary steps </w:t>
            </w:r>
          </w:p>
        </w:tc>
        <w:tc>
          <w:tcPr>
            <w:tcW w:w="4875" w:type="dxa"/>
            <w:tcBorders>
              <w:top w:val="single" w:sz="6" w:space="0" w:color="80808B"/>
              <w:left w:val="nil"/>
              <w:bottom w:val="single" w:sz="6" w:space="0" w:color="80808B"/>
              <w:right w:val="nil"/>
            </w:tcBorders>
            <w:hideMark/>
          </w:tcPr>
          <w:p w14:paraId="624FE5EA" w14:textId="24874DD4" w:rsidR="00010C6E" w:rsidRPr="00946412" w:rsidRDefault="00010C6E" w:rsidP="00010C6E">
            <w:pPr>
              <w:pStyle w:val="SCVtablebody"/>
              <w:rPr>
                <w:sz w:val="24"/>
                <w:szCs w:val="24"/>
              </w:rPr>
            </w:pPr>
            <w:r w:rsidRPr="00946412">
              <w:rPr>
                <w:sz w:val="24"/>
                <w:szCs w:val="24"/>
              </w:rPr>
              <w:t>Remove unnecessary steps in a process; standardise the make and model of medication pumps used throughout the organisation; use barcoding for medication administration</w:t>
            </w:r>
          </w:p>
        </w:tc>
      </w:tr>
      <w:tr w:rsidR="00010C6E" w:rsidRPr="00946412" w14:paraId="3D5B9BA8" w14:textId="77777777" w:rsidTr="69193B64">
        <w:trPr>
          <w:trHeight w:val="300"/>
        </w:trPr>
        <w:tc>
          <w:tcPr>
            <w:tcW w:w="2070" w:type="dxa"/>
            <w:tcBorders>
              <w:top w:val="single" w:sz="6" w:space="0" w:color="80808B"/>
              <w:left w:val="nil"/>
              <w:bottom w:val="single" w:sz="6" w:space="0" w:color="80808B"/>
              <w:right w:val="nil"/>
            </w:tcBorders>
            <w:hideMark/>
          </w:tcPr>
          <w:p w14:paraId="225C0BA4" w14:textId="43F0591A"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Strong </w:t>
            </w:r>
          </w:p>
        </w:tc>
        <w:tc>
          <w:tcPr>
            <w:tcW w:w="3240" w:type="dxa"/>
            <w:tcBorders>
              <w:top w:val="single" w:sz="6" w:space="0" w:color="80808B"/>
              <w:left w:val="nil"/>
              <w:bottom w:val="single" w:sz="6" w:space="0" w:color="80808B"/>
              <w:right w:val="nil"/>
            </w:tcBorders>
            <w:hideMark/>
          </w:tcPr>
          <w:p w14:paraId="40375963" w14:textId="77777777" w:rsidR="00010C6E" w:rsidRPr="00946412" w:rsidRDefault="00010C6E" w:rsidP="002A409B">
            <w:pPr>
              <w:pStyle w:val="SCVtablebody"/>
              <w:ind w:left="198"/>
              <w:rPr>
                <w:sz w:val="24"/>
                <w:szCs w:val="24"/>
              </w:rPr>
            </w:pPr>
            <w:r w:rsidRPr="00946412">
              <w:rPr>
                <w:sz w:val="24"/>
                <w:szCs w:val="24"/>
              </w:rPr>
              <w:t>Tangible involvement by leadership </w:t>
            </w:r>
          </w:p>
        </w:tc>
        <w:tc>
          <w:tcPr>
            <w:tcW w:w="4875" w:type="dxa"/>
            <w:tcBorders>
              <w:top w:val="single" w:sz="6" w:space="0" w:color="80808B"/>
              <w:left w:val="nil"/>
              <w:bottom w:val="single" w:sz="6" w:space="0" w:color="80808B"/>
              <w:right w:val="nil"/>
            </w:tcBorders>
            <w:hideMark/>
          </w:tcPr>
          <w:p w14:paraId="266CF765" w14:textId="29791F2E" w:rsidR="00010C6E" w:rsidRPr="00946412" w:rsidRDefault="00010C6E" w:rsidP="00010C6E">
            <w:pPr>
              <w:pStyle w:val="SCVtablebody"/>
              <w:rPr>
                <w:sz w:val="24"/>
                <w:szCs w:val="24"/>
              </w:rPr>
            </w:pPr>
            <w:r w:rsidRPr="00946412">
              <w:rPr>
                <w:sz w:val="24"/>
                <w:szCs w:val="24"/>
              </w:rPr>
              <w:t>Participate in unit patient safety evaluations and interact with staff</w:t>
            </w:r>
            <w:r w:rsidR="003F44A8" w:rsidRPr="00946412">
              <w:rPr>
                <w:sz w:val="24"/>
                <w:szCs w:val="24"/>
              </w:rPr>
              <w:t>;</w:t>
            </w:r>
            <w:r w:rsidRPr="00946412">
              <w:rPr>
                <w:sz w:val="24"/>
                <w:szCs w:val="24"/>
              </w:rPr>
              <w:t xml:space="preserve"> purchase needed equipment</w:t>
            </w:r>
            <w:r w:rsidR="003F44A8" w:rsidRPr="00946412">
              <w:rPr>
                <w:sz w:val="24"/>
                <w:szCs w:val="24"/>
              </w:rPr>
              <w:t>;</w:t>
            </w:r>
            <w:r w:rsidRPr="00946412">
              <w:rPr>
                <w:sz w:val="24"/>
                <w:szCs w:val="24"/>
              </w:rPr>
              <w:t xml:space="preserve"> ensure staffing and workload is balanced</w:t>
            </w:r>
          </w:p>
        </w:tc>
      </w:tr>
      <w:tr w:rsidR="00010C6E" w:rsidRPr="00946412" w14:paraId="7256C755" w14:textId="77777777" w:rsidTr="69193B64">
        <w:trPr>
          <w:trHeight w:val="300"/>
        </w:trPr>
        <w:tc>
          <w:tcPr>
            <w:tcW w:w="2070" w:type="dxa"/>
            <w:tcBorders>
              <w:top w:val="single" w:sz="6" w:space="0" w:color="80808B"/>
              <w:left w:val="nil"/>
              <w:bottom w:val="single" w:sz="6" w:space="0" w:color="80808B"/>
              <w:right w:val="nil"/>
            </w:tcBorders>
            <w:hideMark/>
          </w:tcPr>
          <w:p w14:paraId="7E6F5E2F" w14:textId="7697188D"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117D2F55" w14:textId="77777777" w:rsidR="00010C6E" w:rsidRPr="00946412" w:rsidRDefault="00010C6E" w:rsidP="002A409B">
            <w:pPr>
              <w:pStyle w:val="SCVtablebody"/>
              <w:ind w:left="198"/>
              <w:rPr>
                <w:sz w:val="24"/>
                <w:szCs w:val="24"/>
              </w:rPr>
            </w:pPr>
            <w:r w:rsidRPr="00946412">
              <w:rPr>
                <w:sz w:val="24"/>
                <w:szCs w:val="24"/>
              </w:rPr>
              <w:t>Redundancy </w:t>
            </w:r>
          </w:p>
        </w:tc>
        <w:tc>
          <w:tcPr>
            <w:tcW w:w="4875" w:type="dxa"/>
            <w:tcBorders>
              <w:top w:val="single" w:sz="6" w:space="0" w:color="80808B"/>
              <w:left w:val="nil"/>
              <w:bottom w:val="single" w:sz="6" w:space="0" w:color="80808B"/>
              <w:right w:val="nil"/>
            </w:tcBorders>
            <w:hideMark/>
          </w:tcPr>
          <w:p w14:paraId="0A8D85E8" w14:textId="70068F26" w:rsidR="00010C6E" w:rsidRPr="00946412" w:rsidRDefault="00010C6E" w:rsidP="00010C6E">
            <w:pPr>
              <w:pStyle w:val="SCVtablebody"/>
              <w:rPr>
                <w:sz w:val="24"/>
                <w:szCs w:val="24"/>
              </w:rPr>
            </w:pPr>
            <w:r w:rsidRPr="00946412">
              <w:rPr>
                <w:sz w:val="24"/>
                <w:szCs w:val="24"/>
              </w:rPr>
              <w:t xml:space="preserve">Use </w:t>
            </w:r>
            <w:r w:rsidR="00F409DA" w:rsidRPr="00946412">
              <w:rPr>
                <w:sz w:val="24"/>
                <w:szCs w:val="24"/>
              </w:rPr>
              <w:t xml:space="preserve">2 </w:t>
            </w:r>
            <w:r w:rsidRPr="00946412">
              <w:rPr>
                <w:sz w:val="24"/>
                <w:szCs w:val="24"/>
              </w:rPr>
              <w:t>registered nurses to independently calculate high-risk medication dosages</w:t>
            </w:r>
          </w:p>
        </w:tc>
      </w:tr>
      <w:tr w:rsidR="00010C6E" w:rsidRPr="00946412" w14:paraId="7D8AB0F5" w14:textId="77777777" w:rsidTr="69193B64">
        <w:trPr>
          <w:trHeight w:val="300"/>
        </w:trPr>
        <w:tc>
          <w:tcPr>
            <w:tcW w:w="2070" w:type="dxa"/>
            <w:tcBorders>
              <w:top w:val="single" w:sz="6" w:space="0" w:color="80808B"/>
              <w:left w:val="nil"/>
              <w:bottom w:val="single" w:sz="6" w:space="0" w:color="80808B"/>
              <w:right w:val="nil"/>
            </w:tcBorders>
            <w:hideMark/>
          </w:tcPr>
          <w:p w14:paraId="0629EE9C" w14:textId="1D95DED2"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11B38B5A" w14:textId="54DC8F12" w:rsidR="00010C6E" w:rsidRPr="00946412" w:rsidRDefault="00010C6E" w:rsidP="002A409B">
            <w:pPr>
              <w:pStyle w:val="SCVtablebody"/>
              <w:ind w:left="198"/>
              <w:rPr>
                <w:sz w:val="24"/>
                <w:szCs w:val="24"/>
              </w:rPr>
            </w:pPr>
            <w:r w:rsidRPr="00946412">
              <w:rPr>
                <w:sz w:val="24"/>
                <w:szCs w:val="24"/>
              </w:rPr>
              <w:t>Increase in staffing</w:t>
            </w:r>
            <w:r w:rsidR="003F44A8" w:rsidRPr="00946412">
              <w:rPr>
                <w:sz w:val="24"/>
                <w:szCs w:val="24"/>
              </w:rPr>
              <w:t xml:space="preserve"> </w:t>
            </w:r>
            <w:r w:rsidRPr="00946412">
              <w:rPr>
                <w:sz w:val="24"/>
                <w:szCs w:val="24"/>
              </w:rPr>
              <w:t>/</w:t>
            </w:r>
            <w:r w:rsidR="003F44A8" w:rsidRPr="00946412">
              <w:rPr>
                <w:sz w:val="24"/>
                <w:szCs w:val="24"/>
              </w:rPr>
              <w:t xml:space="preserve"> </w:t>
            </w:r>
            <w:r w:rsidRPr="00946412">
              <w:rPr>
                <w:sz w:val="24"/>
                <w:szCs w:val="24"/>
              </w:rPr>
              <w:t>decrease in workload </w:t>
            </w:r>
          </w:p>
        </w:tc>
        <w:tc>
          <w:tcPr>
            <w:tcW w:w="4875" w:type="dxa"/>
            <w:tcBorders>
              <w:top w:val="single" w:sz="6" w:space="0" w:color="80808B"/>
              <w:left w:val="nil"/>
              <w:bottom w:val="single" w:sz="6" w:space="0" w:color="80808B"/>
              <w:right w:val="nil"/>
            </w:tcBorders>
            <w:hideMark/>
          </w:tcPr>
          <w:p w14:paraId="2FF5A369" w14:textId="4B767C3F" w:rsidR="00010C6E" w:rsidRPr="00946412" w:rsidRDefault="00010C6E" w:rsidP="00010C6E">
            <w:pPr>
              <w:pStyle w:val="SCVtablebody"/>
              <w:rPr>
                <w:sz w:val="24"/>
                <w:szCs w:val="24"/>
              </w:rPr>
            </w:pPr>
            <w:r w:rsidRPr="00946412">
              <w:rPr>
                <w:sz w:val="24"/>
                <w:szCs w:val="24"/>
              </w:rPr>
              <w:t>Make float staff available to assist when workloads peak during the day</w:t>
            </w:r>
          </w:p>
        </w:tc>
      </w:tr>
      <w:tr w:rsidR="00010C6E" w:rsidRPr="00946412" w14:paraId="05A4686F" w14:textId="77777777" w:rsidTr="69193B64">
        <w:trPr>
          <w:trHeight w:val="300"/>
        </w:trPr>
        <w:tc>
          <w:tcPr>
            <w:tcW w:w="2070" w:type="dxa"/>
            <w:tcBorders>
              <w:top w:val="single" w:sz="6" w:space="0" w:color="80808B"/>
              <w:left w:val="nil"/>
              <w:bottom w:val="single" w:sz="6" w:space="0" w:color="80808B"/>
              <w:right w:val="nil"/>
            </w:tcBorders>
            <w:hideMark/>
          </w:tcPr>
          <w:p w14:paraId="4CB3A196" w14:textId="1991F309"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224AD7A1" w14:textId="77777777" w:rsidR="00010C6E" w:rsidRPr="00946412" w:rsidRDefault="00010C6E" w:rsidP="002A409B">
            <w:pPr>
              <w:pStyle w:val="SCVtablebody"/>
              <w:ind w:left="198"/>
              <w:rPr>
                <w:sz w:val="24"/>
                <w:szCs w:val="24"/>
              </w:rPr>
            </w:pPr>
            <w:r w:rsidRPr="00946412">
              <w:rPr>
                <w:sz w:val="24"/>
                <w:szCs w:val="24"/>
              </w:rPr>
              <w:t>Software enhancements or modifications </w:t>
            </w:r>
          </w:p>
        </w:tc>
        <w:tc>
          <w:tcPr>
            <w:tcW w:w="4875" w:type="dxa"/>
            <w:tcBorders>
              <w:top w:val="single" w:sz="6" w:space="0" w:color="80808B"/>
              <w:left w:val="nil"/>
              <w:bottom w:val="single" w:sz="6" w:space="0" w:color="80808B"/>
              <w:right w:val="nil"/>
            </w:tcBorders>
            <w:hideMark/>
          </w:tcPr>
          <w:p w14:paraId="2C3EF0B0" w14:textId="4528932A" w:rsidR="00010C6E" w:rsidRPr="00946412" w:rsidRDefault="00010C6E" w:rsidP="00010C6E">
            <w:pPr>
              <w:pStyle w:val="SCVtablebody"/>
              <w:rPr>
                <w:sz w:val="24"/>
                <w:szCs w:val="24"/>
              </w:rPr>
            </w:pPr>
            <w:r w:rsidRPr="00946412">
              <w:rPr>
                <w:sz w:val="24"/>
                <w:szCs w:val="24"/>
              </w:rPr>
              <w:t>Use computer alerts for drug-to-drug interactions</w:t>
            </w:r>
          </w:p>
        </w:tc>
      </w:tr>
      <w:tr w:rsidR="00010C6E" w:rsidRPr="00946412" w14:paraId="2F2E9686" w14:textId="77777777" w:rsidTr="69193B64">
        <w:trPr>
          <w:trHeight w:val="300"/>
        </w:trPr>
        <w:tc>
          <w:tcPr>
            <w:tcW w:w="2070" w:type="dxa"/>
            <w:tcBorders>
              <w:top w:val="single" w:sz="6" w:space="0" w:color="80808B"/>
              <w:left w:val="nil"/>
              <w:bottom w:val="single" w:sz="6" w:space="0" w:color="80808B"/>
              <w:right w:val="nil"/>
            </w:tcBorders>
            <w:hideMark/>
          </w:tcPr>
          <w:p w14:paraId="0F470B4C" w14:textId="0F256475"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33891317" w14:textId="77777777" w:rsidR="00010C6E" w:rsidRPr="00946412" w:rsidRDefault="00010C6E" w:rsidP="002A409B">
            <w:pPr>
              <w:pStyle w:val="SCVtablebody"/>
              <w:ind w:left="198"/>
              <w:rPr>
                <w:sz w:val="24"/>
                <w:szCs w:val="24"/>
              </w:rPr>
            </w:pPr>
            <w:r w:rsidRPr="00946412">
              <w:rPr>
                <w:sz w:val="24"/>
                <w:szCs w:val="24"/>
              </w:rPr>
              <w:t>Eliminate/reduce distractions </w:t>
            </w:r>
          </w:p>
        </w:tc>
        <w:tc>
          <w:tcPr>
            <w:tcW w:w="4875" w:type="dxa"/>
            <w:tcBorders>
              <w:top w:val="single" w:sz="6" w:space="0" w:color="80808B"/>
              <w:left w:val="nil"/>
              <w:bottom w:val="single" w:sz="6" w:space="0" w:color="80808B"/>
              <w:right w:val="nil"/>
            </w:tcBorders>
            <w:hideMark/>
          </w:tcPr>
          <w:p w14:paraId="2CAE20D7" w14:textId="5B552C1B" w:rsidR="00010C6E" w:rsidRPr="00946412" w:rsidRDefault="00010C6E" w:rsidP="00010C6E">
            <w:pPr>
              <w:pStyle w:val="SCVtablebody"/>
              <w:rPr>
                <w:sz w:val="24"/>
                <w:szCs w:val="24"/>
              </w:rPr>
            </w:pPr>
            <w:r w:rsidRPr="00946412">
              <w:rPr>
                <w:sz w:val="24"/>
                <w:szCs w:val="24"/>
              </w:rPr>
              <w:t>Provide quiet rooms for programming patient-controlled analgesia pumps; remove distractions for nurses when programming medication pumps</w:t>
            </w:r>
          </w:p>
        </w:tc>
      </w:tr>
      <w:tr w:rsidR="00010C6E" w:rsidRPr="00946412" w14:paraId="5C580A37" w14:textId="77777777" w:rsidTr="69193B64">
        <w:trPr>
          <w:trHeight w:val="300"/>
        </w:trPr>
        <w:tc>
          <w:tcPr>
            <w:tcW w:w="2070" w:type="dxa"/>
            <w:tcBorders>
              <w:top w:val="single" w:sz="6" w:space="0" w:color="80808B"/>
              <w:left w:val="nil"/>
              <w:bottom w:val="single" w:sz="6" w:space="0" w:color="80808B"/>
              <w:right w:val="nil"/>
            </w:tcBorders>
            <w:hideMark/>
          </w:tcPr>
          <w:p w14:paraId="295151EC" w14:textId="288B9B38" w:rsidR="00010C6E" w:rsidRPr="00CB4C72" w:rsidRDefault="00010C6E" w:rsidP="00010C6E">
            <w:pPr>
              <w:pStyle w:val="SCVtablebody"/>
              <w:rPr>
                <w:b/>
                <w:color w:val="007586" w:themeColor="text2"/>
                <w:sz w:val="24"/>
                <w:szCs w:val="24"/>
              </w:rPr>
            </w:pPr>
            <w:r w:rsidRPr="00CB4C72">
              <w:rPr>
                <w:b/>
                <w:color w:val="007586" w:themeColor="text2"/>
                <w:sz w:val="24"/>
                <w:szCs w:val="24"/>
              </w:rPr>
              <w:lastRenderedPageBreak/>
              <w:t xml:space="preserve">Moderate </w:t>
            </w:r>
          </w:p>
        </w:tc>
        <w:tc>
          <w:tcPr>
            <w:tcW w:w="3240" w:type="dxa"/>
            <w:tcBorders>
              <w:top w:val="single" w:sz="6" w:space="0" w:color="80808B"/>
              <w:left w:val="nil"/>
              <w:bottom w:val="single" w:sz="6" w:space="0" w:color="80808B"/>
              <w:right w:val="nil"/>
            </w:tcBorders>
            <w:hideMark/>
          </w:tcPr>
          <w:p w14:paraId="2FC089E6" w14:textId="26ADFBC8" w:rsidR="00010C6E" w:rsidRPr="00946412" w:rsidRDefault="00010C6E" w:rsidP="002A409B">
            <w:pPr>
              <w:pStyle w:val="SCVtablebody"/>
              <w:ind w:left="198"/>
              <w:rPr>
                <w:sz w:val="24"/>
                <w:szCs w:val="24"/>
              </w:rPr>
            </w:pPr>
            <w:r w:rsidRPr="00946412">
              <w:rPr>
                <w:sz w:val="24"/>
                <w:szCs w:val="24"/>
              </w:rPr>
              <w:t>Education using simulation-based training with periodic refresher sessions</w:t>
            </w:r>
            <w:r w:rsidR="003F44A8" w:rsidRPr="00946412">
              <w:rPr>
                <w:sz w:val="24"/>
                <w:szCs w:val="24"/>
              </w:rPr>
              <w:t xml:space="preserve"> or </w:t>
            </w:r>
            <w:r w:rsidRPr="00946412">
              <w:rPr>
                <w:sz w:val="24"/>
                <w:szCs w:val="24"/>
              </w:rPr>
              <w:t>observations</w:t>
            </w:r>
          </w:p>
        </w:tc>
        <w:tc>
          <w:tcPr>
            <w:tcW w:w="4875" w:type="dxa"/>
            <w:tcBorders>
              <w:top w:val="single" w:sz="6" w:space="0" w:color="80808B"/>
              <w:left w:val="nil"/>
              <w:bottom w:val="single" w:sz="6" w:space="0" w:color="80808B"/>
              <w:right w:val="nil"/>
            </w:tcBorders>
            <w:hideMark/>
          </w:tcPr>
          <w:p w14:paraId="08771B1E" w14:textId="6438B28C" w:rsidR="00010C6E" w:rsidRPr="00946412" w:rsidRDefault="00010C6E" w:rsidP="00010C6E">
            <w:pPr>
              <w:pStyle w:val="SCVtablebody"/>
              <w:rPr>
                <w:sz w:val="24"/>
                <w:szCs w:val="24"/>
              </w:rPr>
            </w:pPr>
            <w:r w:rsidRPr="00946412">
              <w:rPr>
                <w:sz w:val="24"/>
                <w:szCs w:val="24"/>
              </w:rPr>
              <w:t>Conduct patient handover in a simulation lab environment, with after-action critiques and debriefing</w:t>
            </w:r>
          </w:p>
        </w:tc>
      </w:tr>
      <w:tr w:rsidR="00010C6E" w:rsidRPr="00946412" w14:paraId="56DE539D" w14:textId="77777777" w:rsidTr="69193B64">
        <w:trPr>
          <w:trHeight w:val="300"/>
        </w:trPr>
        <w:tc>
          <w:tcPr>
            <w:tcW w:w="2070" w:type="dxa"/>
            <w:tcBorders>
              <w:top w:val="single" w:sz="6" w:space="0" w:color="80808B"/>
              <w:left w:val="nil"/>
              <w:bottom w:val="single" w:sz="6" w:space="0" w:color="80808B"/>
              <w:right w:val="nil"/>
            </w:tcBorders>
            <w:hideMark/>
          </w:tcPr>
          <w:p w14:paraId="388CC24A" w14:textId="0ECE8E76"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0B06505A" w14:textId="7BA0F9D9" w:rsidR="00010C6E" w:rsidRPr="00946412" w:rsidRDefault="00010C6E" w:rsidP="002A409B">
            <w:pPr>
              <w:pStyle w:val="SCVtablebody"/>
              <w:ind w:left="198"/>
              <w:rPr>
                <w:sz w:val="24"/>
                <w:szCs w:val="24"/>
              </w:rPr>
            </w:pPr>
            <w:r w:rsidRPr="00946412">
              <w:rPr>
                <w:sz w:val="24"/>
                <w:szCs w:val="24"/>
              </w:rPr>
              <w:t>Checklist</w:t>
            </w:r>
            <w:r w:rsidR="003F44A8" w:rsidRPr="00946412">
              <w:rPr>
                <w:sz w:val="24"/>
                <w:szCs w:val="24"/>
              </w:rPr>
              <w:t xml:space="preserve"> or </w:t>
            </w:r>
            <w:r w:rsidRPr="00946412">
              <w:rPr>
                <w:sz w:val="24"/>
                <w:szCs w:val="24"/>
              </w:rPr>
              <w:t>cognitive aids</w:t>
            </w:r>
          </w:p>
        </w:tc>
        <w:tc>
          <w:tcPr>
            <w:tcW w:w="4875" w:type="dxa"/>
            <w:tcBorders>
              <w:top w:val="single" w:sz="6" w:space="0" w:color="80808B"/>
              <w:left w:val="nil"/>
              <w:bottom w:val="single" w:sz="6" w:space="0" w:color="80808B"/>
              <w:right w:val="nil"/>
            </w:tcBorders>
            <w:hideMark/>
          </w:tcPr>
          <w:p w14:paraId="0C453A68" w14:textId="5BD00CB7" w:rsidR="00010C6E" w:rsidRPr="00946412" w:rsidRDefault="00010C6E" w:rsidP="00010C6E">
            <w:pPr>
              <w:pStyle w:val="SCVtablebody"/>
              <w:rPr>
                <w:sz w:val="24"/>
                <w:szCs w:val="24"/>
              </w:rPr>
            </w:pPr>
            <w:r w:rsidRPr="00946412">
              <w:rPr>
                <w:sz w:val="24"/>
                <w:szCs w:val="24"/>
              </w:rPr>
              <w:t>Use pre-induction and pre-incision checklists in operating rooms; use a checklist when</w:t>
            </w:r>
            <w:r w:rsidR="00CA1D25" w:rsidRPr="00946412">
              <w:rPr>
                <w:sz w:val="24"/>
                <w:szCs w:val="24"/>
              </w:rPr>
              <w:t xml:space="preserve"> </w:t>
            </w:r>
            <w:r w:rsidRPr="00946412">
              <w:rPr>
                <w:sz w:val="24"/>
                <w:szCs w:val="24"/>
              </w:rPr>
              <w:t>reprocessing flexible fibre optic endoscopes</w:t>
            </w:r>
          </w:p>
        </w:tc>
      </w:tr>
      <w:tr w:rsidR="00010C6E" w:rsidRPr="00946412" w14:paraId="17BE8DF2" w14:textId="77777777" w:rsidTr="69193B64">
        <w:trPr>
          <w:trHeight w:val="300"/>
        </w:trPr>
        <w:tc>
          <w:tcPr>
            <w:tcW w:w="2070" w:type="dxa"/>
            <w:tcBorders>
              <w:top w:val="single" w:sz="6" w:space="0" w:color="80808B"/>
              <w:left w:val="nil"/>
              <w:bottom w:val="single" w:sz="6" w:space="0" w:color="80808B"/>
              <w:right w:val="nil"/>
            </w:tcBorders>
            <w:hideMark/>
          </w:tcPr>
          <w:p w14:paraId="2A3A91D7" w14:textId="253BF38D"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23F9BCD9" w14:textId="77777777" w:rsidR="00010C6E" w:rsidRPr="00946412" w:rsidRDefault="00010C6E" w:rsidP="002A409B">
            <w:pPr>
              <w:pStyle w:val="SCVtablebody"/>
              <w:ind w:left="198"/>
              <w:rPr>
                <w:sz w:val="24"/>
                <w:szCs w:val="24"/>
              </w:rPr>
            </w:pPr>
            <w:r w:rsidRPr="00946412">
              <w:rPr>
                <w:sz w:val="24"/>
                <w:szCs w:val="24"/>
              </w:rPr>
              <w:t>Eliminate look- and sound-alikes </w:t>
            </w:r>
          </w:p>
        </w:tc>
        <w:tc>
          <w:tcPr>
            <w:tcW w:w="4875" w:type="dxa"/>
            <w:tcBorders>
              <w:top w:val="single" w:sz="6" w:space="0" w:color="80808B"/>
              <w:left w:val="nil"/>
              <w:bottom w:val="single" w:sz="6" w:space="0" w:color="80808B"/>
              <w:right w:val="nil"/>
            </w:tcBorders>
            <w:hideMark/>
          </w:tcPr>
          <w:p w14:paraId="3ECE9F35" w14:textId="64CF55D0" w:rsidR="00010C6E" w:rsidRPr="00946412" w:rsidRDefault="00010C6E" w:rsidP="00010C6E">
            <w:pPr>
              <w:pStyle w:val="SCVtablebody"/>
              <w:rPr>
                <w:sz w:val="24"/>
                <w:szCs w:val="24"/>
              </w:rPr>
            </w:pPr>
            <w:r w:rsidRPr="00946412">
              <w:rPr>
                <w:sz w:val="24"/>
                <w:szCs w:val="24"/>
              </w:rPr>
              <w:t>Do not store lookalikes next to one another in the medication room</w:t>
            </w:r>
          </w:p>
        </w:tc>
      </w:tr>
      <w:tr w:rsidR="00010C6E" w:rsidRPr="00946412" w14:paraId="2FD0498E" w14:textId="77777777" w:rsidTr="69193B64">
        <w:trPr>
          <w:trHeight w:val="300"/>
        </w:trPr>
        <w:tc>
          <w:tcPr>
            <w:tcW w:w="2070" w:type="dxa"/>
            <w:tcBorders>
              <w:top w:val="single" w:sz="6" w:space="0" w:color="80808B"/>
              <w:left w:val="nil"/>
              <w:bottom w:val="single" w:sz="6" w:space="0" w:color="80808B"/>
              <w:right w:val="nil"/>
            </w:tcBorders>
            <w:hideMark/>
          </w:tcPr>
          <w:p w14:paraId="045840A7" w14:textId="07FB21EC"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Moderate </w:t>
            </w:r>
          </w:p>
        </w:tc>
        <w:tc>
          <w:tcPr>
            <w:tcW w:w="3240" w:type="dxa"/>
            <w:tcBorders>
              <w:top w:val="single" w:sz="6" w:space="0" w:color="80808B"/>
              <w:left w:val="nil"/>
              <w:bottom w:val="single" w:sz="6" w:space="0" w:color="80808B"/>
              <w:right w:val="nil"/>
            </w:tcBorders>
            <w:hideMark/>
          </w:tcPr>
          <w:p w14:paraId="48B501F0" w14:textId="77777777" w:rsidR="00010C6E" w:rsidRPr="00946412" w:rsidRDefault="00010C6E" w:rsidP="002A409B">
            <w:pPr>
              <w:pStyle w:val="SCVtablebody"/>
              <w:ind w:left="198"/>
              <w:rPr>
                <w:sz w:val="24"/>
                <w:szCs w:val="24"/>
              </w:rPr>
            </w:pPr>
            <w:r w:rsidRPr="00946412">
              <w:rPr>
                <w:sz w:val="24"/>
                <w:szCs w:val="24"/>
              </w:rPr>
              <w:t>Standardised communication tools </w:t>
            </w:r>
          </w:p>
        </w:tc>
        <w:tc>
          <w:tcPr>
            <w:tcW w:w="4875" w:type="dxa"/>
            <w:tcBorders>
              <w:top w:val="single" w:sz="6" w:space="0" w:color="80808B"/>
              <w:left w:val="nil"/>
              <w:bottom w:val="single" w:sz="6" w:space="0" w:color="80808B"/>
              <w:right w:val="nil"/>
            </w:tcBorders>
            <w:hideMark/>
          </w:tcPr>
          <w:p w14:paraId="631821A9" w14:textId="699E03FF" w:rsidR="00010C6E" w:rsidRPr="00946412" w:rsidRDefault="00010C6E" w:rsidP="00010C6E">
            <w:pPr>
              <w:pStyle w:val="SCVtablebody"/>
              <w:rPr>
                <w:sz w:val="24"/>
                <w:szCs w:val="24"/>
              </w:rPr>
            </w:pPr>
            <w:r w:rsidRPr="00946412">
              <w:rPr>
                <w:sz w:val="24"/>
                <w:szCs w:val="24"/>
              </w:rPr>
              <w:t>Use read-back for all critical lab values; use read-back or repeat-back for all verbal medication orders</w:t>
            </w:r>
            <w:r w:rsidR="003F44A8" w:rsidRPr="00946412">
              <w:rPr>
                <w:sz w:val="24"/>
                <w:szCs w:val="24"/>
              </w:rPr>
              <w:t>;</w:t>
            </w:r>
            <w:r w:rsidRPr="00946412">
              <w:rPr>
                <w:sz w:val="24"/>
                <w:szCs w:val="24"/>
              </w:rPr>
              <w:t xml:space="preserve"> use a standardised patient handover format</w:t>
            </w:r>
          </w:p>
        </w:tc>
      </w:tr>
      <w:tr w:rsidR="00010C6E" w:rsidRPr="00946412" w14:paraId="426495EC" w14:textId="77777777" w:rsidTr="69193B64">
        <w:trPr>
          <w:trHeight w:val="300"/>
        </w:trPr>
        <w:tc>
          <w:tcPr>
            <w:tcW w:w="2070" w:type="dxa"/>
            <w:tcBorders>
              <w:top w:val="single" w:sz="6" w:space="0" w:color="80808B"/>
              <w:left w:val="nil"/>
              <w:bottom w:val="single" w:sz="6" w:space="0" w:color="80808B"/>
              <w:right w:val="nil"/>
            </w:tcBorders>
            <w:hideMark/>
          </w:tcPr>
          <w:p w14:paraId="64A29B69" w14:textId="485108F7"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Weak </w:t>
            </w:r>
          </w:p>
        </w:tc>
        <w:tc>
          <w:tcPr>
            <w:tcW w:w="3240" w:type="dxa"/>
            <w:tcBorders>
              <w:top w:val="single" w:sz="6" w:space="0" w:color="80808B"/>
              <w:left w:val="nil"/>
              <w:bottom w:val="single" w:sz="6" w:space="0" w:color="80808B"/>
              <w:right w:val="nil"/>
            </w:tcBorders>
            <w:hideMark/>
          </w:tcPr>
          <w:p w14:paraId="4D30E848" w14:textId="6E0C4BBD" w:rsidR="00010C6E" w:rsidRPr="00946412" w:rsidRDefault="00010C6E" w:rsidP="002A409B">
            <w:pPr>
              <w:pStyle w:val="SCVtablebody"/>
              <w:ind w:left="198"/>
              <w:rPr>
                <w:sz w:val="24"/>
                <w:szCs w:val="24"/>
              </w:rPr>
            </w:pPr>
            <w:r w:rsidRPr="00946412">
              <w:rPr>
                <w:sz w:val="24"/>
                <w:szCs w:val="24"/>
              </w:rPr>
              <w:t>Double</w:t>
            </w:r>
            <w:r w:rsidR="003F44A8" w:rsidRPr="00946412">
              <w:rPr>
                <w:sz w:val="24"/>
                <w:szCs w:val="24"/>
              </w:rPr>
              <w:t>-</w:t>
            </w:r>
            <w:r w:rsidRPr="00946412">
              <w:rPr>
                <w:sz w:val="24"/>
                <w:szCs w:val="24"/>
              </w:rPr>
              <w:t>checks </w:t>
            </w:r>
          </w:p>
        </w:tc>
        <w:tc>
          <w:tcPr>
            <w:tcW w:w="4875" w:type="dxa"/>
            <w:tcBorders>
              <w:top w:val="single" w:sz="6" w:space="0" w:color="80808B"/>
              <w:left w:val="nil"/>
              <w:bottom w:val="single" w:sz="6" w:space="0" w:color="80808B"/>
              <w:right w:val="nil"/>
            </w:tcBorders>
            <w:hideMark/>
          </w:tcPr>
          <w:p w14:paraId="684BE387" w14:textId="68C28665" w:rsidR="00010C6E" w:rsidRPr="00946412" w:rsidRDefault="00010C6E" w:rsidP="00010C6E">
            <w:pPr>
              <w:pStyle w:val="SCVtablebody"/>
              <w:rPr>
                <w:sz w:val="24"/>
                <w:szCs w:val="24"/>
              </w:rPr>
            </w:pPr>
            <w:r w:rsidRPr="00946412">
              <w:rPr>
                <w:sz w:val="24"/>
                <w:szCs w:val="24"/>
              </w:rPr>
              <w:t>One person calculates dosage, another reviews their calculation </w:t>
            </w:r>
          </w:p>
        </w:tc>
      </w:tr>
      <w:tr w:rsidR="00010C6E" w:rsidRPr="00946412" w14:paraId="5E232BA6" w14:textId="77777777" w:rsidTr="69193B64">
        <w:trPr>
          <w:trHeight w:val="300"/>
        </w:trPr>
        <w:tc>
          <w:tcPr>
            <w:tcW w:w="2070" w:type="dxa"/>
            <w:tcBorders>
              <w:top w:val="single" w:sz="6" w:space="0" w:color="80808B"/>
              <w:left w:val="nil"/>
              <w:bottom w:val="single" w:sz="6" w:space="0" w:color="80808B"/>
              <w:right w:val="nil"/>
            </w:tcBorders>
            <w:hideMark/>
          </w:tcPr>
          <w:p w14:paraId="27D85D72" w14:textId="67D1C857"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Weak </w:t>
            </w:r>
          </w:p>
        </w:tc>
        <w:tc>
          <w:tcPr>
            <w:tcW w:w="3240" w:type="dxa"/>
            <w:tcBorders>
              <w:top w:val="single" w:sz="6" w:space="0" w:color="80808B"/>
              <w:left w:val="nil"/>
              <w:bottom w:val="single" w:sz="6" w:space="0" w:color="80808B"/>
              <w:right w:val="nil"/>
            </w:tcBorders>
            <w:hideMark/>
          </w:tcPr>
          <w:p w14:paraId="3285A8AB" w14:textId="77777777" w:rsidR="00010C6E" w:rsidRPr="00946412" w:rsidRDefault="00010C6E" w:rsidP="002A409B">
            <w:pPr>
              <w:pStyle w:val="SCVtablebody"/>
              <w:ind w:left="198"/>
              <w:rPr>
                <w:sz w:val="24"/>
                <w:szCs w:val="24"/>
              </w:rPr>
            </w:pPr>
            <w:r w:rsidRPr="00946412">
              <w:rPr>
                <w:sz w:val="24"/>
                <w:szCs w:val="24"/>
              </w:rPr>
              <w:t>Warnings </w:t>
            </w:r>
          </w:p>
        </w:tc>
        <w:tc>
          <w:tcPr>
            <w:tcW w:w="4875" w:type="dxa"/>
            <w:tcBorders>
              <w:top w:val="single" w:sz="6" w:space="0" w:color="80808B"/>
              <w:left w:val="nil"/>
              <w:bottom w:val="single" w:sz="6" w:space="0" w:color="80808B"/>
              <w:right w:val="nil"/>
            </w:tcBorders>
            <w:hideMark/>
          </w:tcPr>
          <w:p w14:paraId="4CA4822F" w14:textId="77777777" w:rsidR="00010C6E" w:rsidRPr="00946412" w:rsidRDefault="00010C6E" w:rsidP="00010C6E">
            <w:pPr>
              <w:pStyle w:val="SCVtablebody"/>
              <w:rPr>
                <w:sz w:val="24"/>
                <w:szCs w:val="24"/>
              </w:rPr>
            </w:pPr>
            <w:r w:rsidRPr="00946412">
              <w:rPr>
                <w:sz w:val="24"/>
                <w:szCs w:val="24"/>
              </w:rPr>
              <w:t>Add audible alarms or caution labels </w:t>
            </w:r>
          </w:p>
        </w:tc>
      </w:tr>
      <w:tr w:rsidR="00010C6E" w:rsidRPr="00946412" w14:paraId="457FB677" w14:textId="77777777" w:rsidTr="69193B64">
        <w:trPr>
          <w:trHeight w:val="300"/>
        </w:trPr>
        <w:tc>
          <w:tcPr>
            <w:tcW w:w="2070" w:type="dxa"/>
            <w:tcBorders>
              <w:top w:val="single" w:sz="6" w:space="0" w:color="80808B"/>
              <w:left w:val="nil"/>
              <w:bottom w:val="single" w:sz="6" w:space="0" w:color="80808B"/>
              <w:right w:val="nil"/>
            </w:tcBorders>
            <w:hideMark/>
          </w:tcPr>
          <w:p w14:paraId="064E72B3" w14:textId="75FF9EEC" w:rsidR="00010C6E" w:rsidRPr="00CB4C72" w:rsidRDefault="00010C6E" w:rsidP="00010C6E">
            <w:pPr>
              <w:pStyle w:val="SCVtablebody"/>
              <w:rPr>
                <w:b/>
                <w:color w:val="007586" w:themeColor="text2"/>
                <w:sz w:val="24"/>
                <w:szCs w:val="24"/>
              </w:rPr>
            </w:pPr>
            <w:r w:rsidRPr="00CB4C72">
              <w:rPr>
                <w:b/>
                <w:color w:val="007586" w:themeColor="text2"/>
                <w:sz w:val="24"/>
                <w:szCs w:val="24"/>
              </w:rPr>
              <w:t xml:space="preserve">Weak </w:t>
            </w:r>
          </w:p>
        </w:tc>
        <w:tc>
          <w:tcPr>
            <w:tcW w:w="3240" w:type="dxa"/>
            <w:tcBorders>
              <w:top w:val="single" w:sz="6" w:space="0" w:color="80808B"/>
              <w:left w:val="nil"/>
              <w:bottom w:val="single" w:sz="6" w:space="0" w:color="80808B"/>
              <w:right w:val="nil"/>
            </w:tcBorders>
            <w:hideMark/>
          </w:tcPr>
          <w:p w14:paraId="0A92E604" w14:textId="791CB2DC" w:rsidR="00010C6E" w:rsidRPr="00946412" w:rsidRDefault="00010C6E" w:rsidP="002A409B">
            <w:pPr>
              <w:pStyle w:val="SCVtablebody"/>
              <w:ind w:left="198"/>
              <w:rPr>
                <w:sz w:val="24"/>
                <w:szCs w:val="24"/>
              </w:rPr>
            </w:pPr>
            <w:r w:rsidRPr="00946412">
              <w:rPr>
                <w:sz w:val="24"/>
                <w:szCs w:val="24"/>
              </w:rPr>
              <w:t>New procedure</w:t>
            </w:r>
            <w:r w:rsidR="003F44A8" w:rsidRPr="00946412">
              <w:rPr>
                <w:sz w:val="24"/>
                <w:szCs w:val="24"/>
              </w:rPr>
              <w:t xml:space="preserve"> or </w:t>
            </w:r>
            <w:r w:rsidRPr="00946412">
              <w:rPr>
                <w:sz w:val="24"/>
                <w:szCs w:val="24"/>
              </w:rPr>
              <w:t>memorandum</w:t>
            </w:r>
            <w:r w:rsidR="003F44A8" w:rsidRPr="00946412">
              <w:rPr>
                <w:sz w:val="24"/>
                <w:szCs w:val="24"/>
              </w:rPr>
              <w:t xml:space="preserve"> or </w:t>
            </w:r>
            <w:r w:rsidRPr="00946412">
              <w:rPr>
                <w:sz w:val="24"/>
                <w:szCs w:val="24"/>
              </w:rPr>
              <w:t>policy </w:t>
            </w:r>
          </w:p>
        </w:tc>
        <w:tc>
          <w:tcPr>
            <w:tcW w:w="4875" w:type="dxa"/>
            <w:tcBorders>
              <w:top w:val="single" w:sz="6" w:space="0" w:color="80808B"/>
              <w:left w:val="nil"/>
              <w:bottom w:val="single" w:sz="6" w:space="0" w:color="80808B"/>
              <w:right w:val="nil"/>
            </w:tcBorders>
            <w:hideMark/>
          </w:tcPr>
          <w:p w14:paraId="408EE8A4" w14:textId="3A969581" w:rsidR="00010C6E" w:rsidRPr="00946412" w:rsidRDefault="00010C6E" w:rsidP="00010C6E">
            <w:pPr>
              <w:pStyle w:val="SCVtablebody"/>
              <w:rPr>
                <w:sz w:val="24"/>
                <w:szCs w:val="24"/>
              </w:rPr>
            </w:pPr>
            <w:r w:rsidRPr="00946412">
              <w:rPr>
                <w:sz w:val="24"/>
                <w:szCs w:val="24"/>
              </w:rPr>
              <w:t xml:space="preserve">Remember to check intravenous sites every </w:t>
            </w:r>
            <w:r w:rsidR="00F409DA" w:rsidRPr="00946412">
              <w:rPr>
                <w:sz w:val="24"/>
                <w:szCs w:val="24"/>
              </w:rPr>
              <w:t>2</w:t>
            </w:r>
            <w:r w:rsidRPr="00946412">
              <w:rPr>
                <w:sz w:val="24"/>
                <w:szCs w:val="24"/>
              </w:rPr>
              <w:t> hours </w:t>
            </w:r>
          </w:p>
        </w:tc>
      </w:tr>
      <w:tr w:rsidR="00010C6E" w:rsidRPr="00946412" w14:paraId="07413F39" w14:textId="77777777" w:rsidTr="69193B64">
        <w:trPr>
          <w:trHeight w:val="300"/>
        </w:trPr>
        <w:tc>
          <w:tcPr>
            <w:tcW w:w="2070" w:type="dxa"/>
            <w:tcBorders>
              <w:top w:val="single" w:sz="6" w:space="0" w:color="80808B"/>
              <w:left w:val="nil"/>
              <w:bottom w:val="single" w:sz="6" w:space="0" w:color="80808B"/>
              <w:right w:val="nil"/>
            </w:tcBorders>
            <w:hideMark/>
          </w:tcPr>
          <w:p w14:paraId="4F87D9BB" w14:textId="68FDBF1A" w:rsidR="00010C6E" w:rsidRPr="00CB4C72" w:rsidRDefault="00010C6E" w:rsidP="00010C6E">
            <w:pPr>
              <w:pStyle w:val="SCVtablebody"/>
              <w:rPr>
                <w:b/>
                <w:color w:val="007586" w:themeColor="text2"/>
                <w:sz w:val="24"/>
                <w:szCs w:val="24"/>
              </w:rPr>
            </w:pPr>
            <w:r w:rsidRPr="00CB4C72">
              <w:rPr>
                <w:b/>
                <w:color w:val="007586" w:themeColor="text2"/>
                <w:sz w:val="24"/>
                <w:szCs w:val="24"/>
              </w:rPr>
              <w:t>Weak</w:t>
            </w:r>
            <w:r w:rsidRPr="00CB4C72">
              <w:rPr>
                <w:b/>
                <w:color w:val="007586" w:themeColor="text2"/>
                <w:sz w:val="24"/>
                <w:szCs w:val="24"/>
              </w:rPr>
              <w:tab/>
              <w:t> </w:t>
            </w:r>
          </w:p>
        </w:tc>
        <w:tc>
          <w:tcPr>
            <w:tcW w:w="3240" w:type="dxa"/>
            <w:tcBorders>
              <w:top w:val="single" w:sz="6" w:space="0" w:color="80808B"/>
              <w:left w:val="nil"/>
              <w:bottom w:val="single" w:sz="6" w:space="0" w:color="80808B"/>
              <w:right w:val="nil"/>
            </w:tcBorders>
            <w:hideMark/>
          </w:tcPr>
          <w:p w14:paraId="29B8C75B" w14:textId="77777777" w:rsidR="00010C6E" w:rsidRPr="00946412" w:rsidRDefault="00010C6E" w:rsidP="002A409B">
            <w:pPr>
              <w:pStyle w:val="SCVtablebody"/>
              <w:ind w:left="198"/>
              <w:rPr>
                <w:sz w:val="24"/>
                <w:szCs w:val="24"/>
              </w:rPr>
            </w:pPr>
            <w:r w:rsidRPr="00946412">
              <w:rPr>
                <w:sz w:val="24"/>
                <w:szCs w:val="24"/>
              </w:rPr>
              <w:t>Training </w:t>
            </w:r>
          </w:p>
        </w:tc>
        <w:tc>
          <w:tcPr>
            <w:tcW w:w="4875" w:type="dxa"/>
            <w:tcBorders>
              <w:top w:val="single" w:sz="6" w:space="0" w:color="80808B"/>
              <w:left w:val="nil"/>
              <w:bottom w:val="single" w:sz="6" w:space="0" w:color="80808B"/>
              <w:right w:val="nil"/>
            </w:tcBorders>
            <w:hideMark/>
          </w:tcPr>
          <w:p w14:paraId="30C4C188" w14:textId="62753825" w:rsidR="00010C6E" w:rsidRPr="00946412" w:rsidRDefault="00010C6E" w:rsidP="00010C6E">
            <w:pPr>
              <w:pStyle w:val="SCVtablebody"/>
              <w:rPr>
                <w:sz w:val="24"/>
                <w:szCs w:val="24"/>
              </w:rPr>
            </w:pPr>
            <w:r w:rsidRPr="00946412">
              <w:rPr>
                <w:sz w:val="24"/>
                <w:szCs w:val="24"/>
              </w:rPr>
              <w:t xml:space="preserve">Demonstrate the defibrillator during </w:t>
            </w:r>
            <w:r w:rsidR="1CA8CE63" w:rsidRPr="00946412">
              <w:rPr>
                <w:sz w:val="24"/>
                <w:szCs w:val="24"/>
              </w:rPr>
              <w:t>in</w:t>
            </w:r>
            <w:r w:rsidR="003F44A8" w:rsidRPr="00946412">
              <w:rPr>
                <w:sz w:val="24"/>
                <w:szCs w:val="24"/>
              </w:rPr>
              <w:t>-</w:t>
            </w:r>
            <w:r w:rsidR="1CA8CE63" w:rsidRPr="00946412">
              <w:rPr>
                <w:sz w:val="24"/>
                <w:szCs w:val="24"/>
              </w:rPr>
              <w:t>service</w:t>
            </w:r>
            <w:r w:rsidRPr="00946412">
              <w:rPr>
                <w:sz w:val="24"/>
                <w:szCs w:val="24"/>
              </w:rPr>
              <w:t xml:space="preserve"> training </w:t>
            </w:r>
          </w:p>
        </w:tc>
      </w:tr>
      <w:bookmarkEnd w:id="3"/>
      <w:bookmarkEnd w:id="2"/>
    </w:tbl>
    <w:p w14:paraId="2332AD65" w14:textId="30FF1906" w:rsidR="00BA24F0" w:rsidRDefault="00BA24F0" w:rsidP="00834EF2">
      <w:pPr>
        <w:pStyle w:val="SCVbody"/>
      </w:pPr>
      <w:r>
        <w:br w:type="page"/>
      </w:r>
    </w:p>
    <w:p w14:paraId="7321C7B4" w14:textId="06F3EC28" w:rsidR="00BA24F0" w:rsidRPr="000C2D1E" w:rsidRDefault="03C68CB7" w:rsidP="57EA0190">
      <w:pPr>
        <w:pStyle w:val="Heading1"/>
        <w:rPr>
          <w:rStyle w:val="normaltextrun"/>
        </w:rPr>
      </w:pPr>
      <w:bookmarkStart w:id="65" w:name="_Toc185595263"/>
      <w:bookmarkStart w:id="66" w:name="_Toc238026667"/>
      <w:r w:rsidRPr="57EA0190">
        <w:rPr>
          <w:rStyle w:val="normaltextrun"/>
        </w:rPr>
        <w:lastRenderedPageBreak/>
        <w:t>Glossary</w:t>
      </w:r>
      <w:bookmarkEnd w:id="65"/>
      <w:bookmarkEnd w:id="66"/>
    </w:p>
    <w:tbl>
      <w:tblPr>
        <w:tblW w:w="102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860"/>
      </w:tblGrid>
      <w:tr w:rsidR="00BA24F0" w:rsidRPr="0002145B" w14:paraId="0BC60D66" w14:textId="77777777" w:rsidTr="57EA0190">
        <w:trPr>
          <w:trHeight w:val="300"/>
          <w:tblHeader/>
        </w:trPr>
        <w:tc>
          <w:tcPr>
            <w:tcW w:w="2340" w:type="dxa"/>
            <w:tcBorders>
              <w:top w:val="nil"/>
              <w:left w:val="nil"/>
              <w:bottom w:val="single" w:sz="24" w:space="0" w:color="CCCCD0"/>
              <w:right w:val="nil"/>
            </w:tcBorders>
            <w:shd w:val="clear" w:color="auto" w:fill="EDF5F7" w:themeFill="background2"/>
            <w:hideMark/>
          </w:tcPr>
          <w:p w14:paraId="71F74A82" w14:textId="77777777" w:rsidR="00BA24F0" w:rsidRPr="00CB4C72" w:rsidRDefault="00BA24F0">
            <w:pPr>
              <w:pStyle w:val="SCVtablecolhead"/>
              <w:rPr>
                <w:sz w:val="24"/>
                <w:szCs w:val="24"/>
              </w:rPr>
            </w:pPr>
            <w:r w:rsidRPr="00CB4C72">
              <w:rPr>
                <w:sz w:val="24"/>
                <w:szCs w:val="24"/>
              </w:rPr>
              <w:t>Term</w:t>
            </w:r>
          </w:p>
        </w:tc>
        <w:tc>
          <w:tcPr>
            <w:tcW w:w="7860" w:type="dxa"/>
            <w:tcBorders>
              <w:top w:val="nil"/>
              <w:left w:val="nil"/>
              <w:bottom w:val="single" w:sz="24" w:space="0" w:color="CCCCD0"/>
              <w:right w:val="nil"/>
            </w:tcBorders>
            <w:shd w:val="clear" w:color="auto" w:fill="EDF5F7" w:themeFill="background2"/>
            <w:hideMark/>
          </w:tcPr>
          <w:p w14:paraId="36F262D3" w14:textId="77777777" w:rsidR="00BA24F0" w:rsidRPr="00BF6B8E" w:rsidRDefault="00BA24F0">
            <w:pPr>
              <w:pStyle w:val="SCVtablecolhead"/>
              <w:rPr>
                <w:sz w:val="24"/>
                <w:szCs w:val="24"/>
              </w:rPr>
            </w:pPr>
            <w:r w:rsidRPr="00BF6B8E">
              <w:rPr>
                <w:sz w:val="24"/>
                <w:szCs w:val="24"/>
              </w:rPr>
              <w:t xml:space="preserve">Definition </w:t>
            </w:r>
          </w:p>
        </w:tc>
      </w:tr>
      <w:tr w:rsidR="00BA24F0" w:rsidRPr="0002145B" w14:paraId="1512BA47" w14:textId="77777777" w:rsidTr="57EA0190">
        <w:trPr>
          <w:trHeight w:val="300"/>
        </w:trPr>
        <w:tc>
          <w:tcPr>
            <w:tcW w:w="2340" w:type="dxa"/>
            <w:tcBorders>
              <w:top w:val="single" w:sz="6" w:space="0" w:color="80808B"/>
              <w:left w:val="nil"/>
              <w:bottom w:val="single" w:sz="6" w:space="0" w:color="80808B"/>
              <w:right w:val="nil"/>
            </w:tcBorders>
            <w:hideMark/>
          </w:tcPr>
          <w:p w14:paraId="47FCC63D"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Adverse patient safety event or ‘adverse event’ </w:t>
            </w:r>
          </w:p>
        </w:tc>
        <w:tc>
          <w:tcPr>
            <w:tcW w:w="7860" w:type="dxa"/>
            <w:tcBorders>
              <w:top w:val="single" w:sz="6" w:space="0" w:color="80808B"/>
              <w:left w:val="nil"/>
              <w:bottom w:val="single" w:sz="6" w:space="0" w:color="80808B"/>
              <w:right w:val="nil"/>
            </w:tcBorders>
            <w:hideMark/>
          </w:tcPr>
          <w:p w14:paraId="474DF73D" w14:textId="15D02B8F" w:rsidR="00BA24F0" w:rsidRPr="00BF6B8E" w:rsidRDefault="00BA24F0">
            <w:pPr>
              <w:pStyle w:val="SCVtablebody"/>
              <w:rPr>
                <w:sz w:val="24"/>
                <w:szCs w:val="24"/>
              </w:rPr>
            </w:pPr>
            <w:r w:rsidRPr="00BF6B8E">
              <w:rPr>
                <w:sz w:val="24"/>
                <w:szCs w:val="24"/>
              </w:rPr>
              <w:t xml:space="preserve">An incident in which a person receiving health care is harmed. For more information on responding to an adverse event, visit the </w:t>
            </w:r>
            <w:hyperlink r:id="rId106" w:tgtFrame="_blank" w:history="1">
              <w:r w:rsidRPr="00BF6B8E">
                <w:rPr>
                  <w:rStyle w:val="Hyperlink"/>
                  <w:sz w:val="24"/>
                  <w:szCs w:val="24"/>
                </w:rPr>
                <w:t>Managing adverse events webpage</w:t>
              </w:r>
            </w:hyperlink>
            <w:r>
              <w:rPr>
                <w:sz w:val="24"/>
                <w:szCs w:val="24"/>
              </w:rPr>
              <w:t xml:space="preserve"> </w:t>
            </w:r>
            <w:r w:rsidR="00652F06">
              <w:rPr>
                <w:sz w:val="24"/>
                <w:szCs w:val="24"/>
              </w:rPr>
              <w:t>&lt;</w:t>
            </w:r>
            <w:r w:rsidR="00652F06" w:rsidRPr="00652F06">
              <w:rPr>
                <w:sz w:val="24"/>
                <w:szCs w:val="24"/>
              </w:rPr>
              <w:t>https://www.safercare.vic.gov.au/report-manage-issues/managing-adverse-events</w:t>
            </w:r>
            <w:r w:rsidR="00652F06">
              <w:rPr>
                <w:sz w:val="24"/>
                <w:szCs w:val="24"/>
              </w:rPr>
              <w:t>&gt;.</w:t>
            </w:r>
          </w:p>
        </w:tc>
      </w:tr>
      <w:tr w:rsidR="00BA24F0" w:rsidRPr="0002145B" w14:paraId="13242C0D" w14:textId="77777777" w:rsidTr="57EA0190">
        <w:trPr>
          <w:trHeight w:val="300"/>
        </w:trPr>
        <w:tc>
          <w:tcPr>
            <w:tcW w:w="2340" w:type="dxa"/>
            <w:tcBorders>
              <w:top w:val="single" w:sz="6" w:space="0" w:color="80808B"/>
              <w:left w:val="nil"/>
              <w:bottom w:val="single" w:sz="6" w:space="0" w:color="80808B"/>
              <w:right w:val="nil"/>
            </w:tcBorders>
          </w:tcPr>
          <w:p w14:paraId="0A80E47A" w14:textId="6FC61F37" w:rsidR="00BA24F0" w:rsidRPr="00CB4C72" w:rsidRDefault="00BA24F0">
            <w:pPr>
              <w:pStyle w:val="SCVtablebody"/>
              <w:rPr>
                <w:b/>
                <w:color w:val="007586" w:themeColor="text2"/>
                <w:sz w:val="24"/>
                <w:szCs w:val="24"/>
              </w:rPr>
            </w:pPr>
            <w:r w:rsidRPr="00CB4C72">
              <w:rPr>
                <w:b/>
                <w:color w:val="007586" w:themeColor="text2"/>
                <w:sz w:val="24"/>
                <w:szCs w:val="24"/>
              </w:rPr>
              <w:t>Australian Commission on Safety and Quality in Health Care</w:t>
            </w:r>
            <w:r w:rsidR="00755E56" w:rsidRPr="00CB4C72">
              <w:rPr>
                <w:b/>
                <w:color w:val="007586" w:themeColor="text2"/>
                <w:sz w:val="24"/>
                <w:szCs w:val="24"/>
              </w:rPr>
              <w:t xml:space="preserve"> (ACSQHC)</w:t>
            </w:r>
          </w:p>
        </w:tc>
        <w:tc>
          <w:tcPr>
            <w:tcW w:w="7860" w:type="dxa"/>
            <w:tcBorders>
              <w:top w:val="single" w:sz="6" w:space="0" w:color="80808B"/>
              <w:left w:val="nil"/>
              <w:bottom w:val="single" w:sz="6" w:space="0" w:color="80808B"/>
              <w:right w:val="nil"/>
            </w:tcBorders>
          </w:tcPr>
          <w:p w14:paraId="0DC9D605" w14:textId="45EE00A4" w:rsidR="00BA24F0" w:rsidRPr="00BF6B8E" w:rsidRDefault="00BA24F0">
            <w:pPr>
              <w:pStyle w:val="SCVtablebody"/>
              <w:rPr>
                <w:sz w:val="24"/>
                <w:szCs w:val="24"/>
              </w:rPr>
            </w:pPr>
            <w:r w:rsidRPr="00BF6B8E">
              <w:rPr>
                <w:sz w:val="24"/>
                <w:szCs w:val="24"/>
              </w:rPr>
              <w:t xml:space="preserve">A Commonwealth Government entity for quality and safety in health care that sets the national sentinel event notification list. For more information, visit the </w:t>
            </w:r>
            <w:hyperlink r:id="rId107" w:tgtFrame="_blank" w:history="1">
              <w:r w:rsidR="0014223C">
                <w:rPr>
                  <w:rStyle w:val="Hyperlink"/>
                  <w:sz w:val="24"/>
                  <w:szCs w:val="24"/>
                </w:rPr>
                <w:t>ACSQHC’s website</w:t>
              </w:r>
            </w:hyperlink>
            <w:r w:rsidRPr="00BF6B8E">
              <w:rPr>
                <w:sz w:val="24"/>
                <w:szCs w:val="24"/>
              </w:rPr>
              <w:t xml:space="preserve"> &lt;https://www.safetyandquality.gov.au&gt;.</w:t>
            </w:r>
          </w:p>
        </w:tc>
      </w:tr>
      <w:tr w:rsidR="00BA24F0" w:rsidRPr="0002145B" w14:paraId="3A57DBF2" w14:textId="77777777" w:rsidTr="57EA0190">
        <w:trPr>
          <w:trHeight w:val="300"/>
        </w:trPr>
        <w:tc>
          <w:tcPr>
            <w:tcW w:w="2340" w:type="dxa"/>
            <w:tcBorders>
              <w:top w:val="single" w:sz="6" w:space="0" w:color="80808B"/>
              <w:left w:val="nil"/>
              <w:bottom w:val="single" w:sz="6" w:space="0" w:color="80808B"/>
              <w:right w:val="nil"/>
            </w:tcBorders>
            <w:hideMark/>
          </w:tcPr>
          <w:p w14:paraId="6DBAA4F8" w14:textId="77777777" w:rsidR="00BA24F0" w:rsidRPr="00CB4C72" w:rsidRDefault="00BA24F0">
            <w:pPr>
              <w:pStyle w:val="SCVtablebody"/>
              <w:rPr>
                <w:b/>
                <w:color w:val="007586" w:themeColor="text2"/>
                <w:sz w:val="24"/>
                <w:szCs w:val="24"/>
              </w:rPr>
            </w:pPr>
            <w:r w:rsidRPr="00CB4C72">
              <w:rPr>
                <w:b/>
                <w:color w:val="007586" w:themeColor="text2"/>
                <w:sz w:val="24"/>
                <w:szCs w:val="24"/>
              </w:rPr>
              <w:t>Carer</w:t>
            </w:r>
          </w:p>
        </w:tc>
        <w:tc>
          <w:tcPr>
            <w:tcW w:w="7860" w:type="dxa"/>
            <w:tcBorders>
              <w:top w:val="single" w:sz="6" w:space="0" w:color="80808B"/>
              <w:left w:val="nil"/>
              <w:bottom w:val="single" w:sz="6" w:space="0" w:color="80808B"/>
              <w:right w:val="nil"/>
            </w:tcBorders>
            <w:hideMark/>
          </w:tcPr>
          <w:p w14:paraId="2C57AB6A" w14:textId="77777777" w:rsidR="00BA24F0" w:rsidRPr="00BF6B8E" w:rsidRDefault="00BA24F0">
            <w:pPr>
              <w:pStyle w:val="SCVtablebody"/>
              <w:rPr>
                <w:sz w:val="24"/>
                <w:szCs w:val="24"/>
              </w:rPr>
            </w:pPr>
            <w:r w:rsidRPr="00BF6B8E">
              <w:rPr>
                <w:sz w:val="24"/>
                <w:szCs w:val="24"/>
              </w:rPr>
              <w:t>A person who provides unpaid care and support to either a family member or friend who has a disability, mental illness, chronic condition, terminal illness or general frailty.</w:t>
            </w:r>
          </w:p>
        </w:tc>
      </w:tr>
      <w:tr w:rsidR="00BA24F0" w:rsidRPr="0002145B" w14:paraId="7A82C52B" w14:textId="77777777" w:rsidTr="57EA0190">
        <w:trPr>
          <w:trHeight w:val="300"/>
        </w:trPr>
        <w:tc>
          <w:tcPr>
            <w:tcW w:w="2340" w:type="dxa"/>
            <w:tcBorders>
              <w:top w:val="single" w:sz="6" w:space="0" w:color="80808B"/>
              <w:left w:val="nil"/>
              <w:bottom w:val="single" w:sz="6" w:space="0" w:color="80808B"/>
              <w:right w:val="nil"/>
            </w:tcBorders>
            <w:hideMark/>
          </w:tcPr>
          <w:p w14:paraId="3FF5EC4F" w14:textId="77777777" w:rsidR="00BA24F0" w:rsidRPr="00CB4C72" w:rsidRDefault="00BA24F0">
            <w:pPr>
              <w:pStyle w:val="SCVtablebody"/>
              <w:rPr>
                <w:b/>
                <w:color w:val="007586" w:themeColor="text2"/>
                <w:sz w:val="24"/>
                <w:szCs w:val="24"/>
              </w:rPr>
            </w:pPr>
            <w:r w:rsidRPr="00CB4C72">
              <w:rPr>
                <w:b/>
                <w:color w:val="007586" w:themeColor="text2"/>
                <w:sz w:val="24"/>
                <w:szCs w:val="24"/>
              </w:rPr>
              <w:t>Critical event</w:t>
            </w:r>
          </w:p>
        </w:tc>
        <w:tc>
          <w:tcPr>
            <w:tcW w:w="7860" w:type="dxa"/>
            <w:tcBorders>
              <w:top w:val="single" w:sz="6" w:space="0" w:color="80808B"/>
              <w:left w:val="nil"/>
              <w:bottom w:val="single" w:sz="6" w:space="0" w:color="80808B"/>
              <w:right w:val="nil"/>
            </w:tcBorders>
            <w:hideMark/>
          </w:tcPr>
          <w:p w14:paraId="587779A6" w14:textId="77777777" w:rsidR="00BA24F0" w:rsidRPr="00BF6B8E" w:rsidRDefault="00BA24F0">
            <w:pPr>
              <w:pStyle w:val="SCVtablebody"/>
              <w:rPr>
                <w:sz w:val="24"/>
                <w:szCs w:val="24"/>
              </w:rPr>
            </w:pPr>
            <w:r w:rsidRPr="00BF6B8E">
              <w:rPr>
                <w:sz w:val="24"/>
                <w:szCs w:val="24"/>
              </w:rPr>
              <w:t>Identified when reviewing an adverse event, it is the point at which a different action would have altered the subsequent sequence of events and the outcome of patient harm.</w:t>
            </w:r>
          </w:p>
        </w:tc>
      </w:tr>
      <w:tr w:rsidR="00BA24F0" w:rsidRPr="0002145B" w14:paraId="34B2AAF0" w14:textId="77777777" w:rsidTr="57EA0190">
        <w:trPr>
          <w:trHeight w:val="300"/>
        </w:trPr>
        <w:tc>
          <w:tcPr>
            <w:tcW w:w="2340" w:type="dxa"/>
            <w:tcBorders>
              <w:top w:val="single" w:sz="6" w:space="0" w:color="80808B"/>
              <w:left w:val="nil"/>
              <w:bottom w:val="single" w:sz="6" w:space="0" w:color="80808B"/>
              <w:right w:val="nil"/>
            </w:tcBorders>
            <w:hideMark/>
          </w:tcPr>
          <w:p w14:paraId="05D30A18"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Harm </w:t>
            </w:r>
          </w:p>
        </w:tc>
        <w:tc>
          <w:tcPr>
            <w:tcW w:w="7860" w:type="dxa"/>
            <w:tcBorders>
              <w:top w:val="single" w:sz="6" w:space="0" w:color="80808B"/>
              <w:left w:val="nil"/>
              <w:bottom w:val="single" w:sz="6" w:space="0" w:color="80808B"/>
              <w:right w:val="nil"/>
            </w:tcBorders>
            <w:hideMark/>
          </w:tcPr>
          <w:p w14:paraId="0C36FDC8" w14:textId="77777777" w:rsidR="00BA24F0" w:rsidRPr="00636959" w:rsidRDefault="00BA24F0">
            <w:pPr>
              <w:pStyle w:val="SCVtablebody"/>
              <w:rPr>
                <w:sz w:val="24"/>
                <w:szCs w:val="24"/>
              </w:rPr>
            </w:pPr>
            <w:r w:rsidRPr="00636959">
              <w:rPr>
                <w:sz w:val="24"/>
                <w:szCs w:val="24"/>
              </w:rPr>
              <w:t>Physical or psychological damage or injury to a person. Examples of harm are disease, suffering, impairment (disability) and death.</w:t>
            </w:r>
          </w:p>
        </w:tc>
      </w:tr>
      <w:tr w:rsidR="00BA24F0" w:rsidRPr="0002145B" w14:paraId="24F1E045" w14:textId="77777777" w:rsidTr="57EA0190">
        <w:trPr>
          <w:trHeight w:val="300"/>
        </w:trPr>
        <w:tc>
          <w:tcPr>
            <w:tcW w:w="2340" w:type="dxa"/>
            <w:tcBorders>
              <w:top w:val="single" w:sz="6" w:space="0" w:color="80808B"/>
              <w:left w:val="nil"/>
              <w:bottom w:val="single" w:sz="6" w:space="0" w:color="80808B"/>
              <w:right w:val="nil"/>
            </w:tcBorders>
            <w:hideMark/>
          </w:tcPr>
          <w:p w14:paraId="45548564" w14:textId="77777777" w:rsidR="00BA24F0" w:rsidRPr="00CB4C72" w:rsidRDefault="00BA24F0" w:rsidP="002A409B">
            <w:pPr>
              <w:pStyle w:val="SCVtablebody"/>
              <w:ind w:right="78"/>
              <w:rPr>
                <w:b/>
                <w:color w:val="007586" w:themeColor="text2"/>
                <w:sz w:val="24"/>
                <w:szCs w:val="24"/>
              </w:rPr>
            </w:pPr>
            <w:r w:rsidRPr="00CB4C72">
              <w:rPr>
                <w:b/>
                <w:color w:val="007586" w:themeColor="text2"/>
                <w:sz w:val="24"/>
                <w:szCs w:val="24"/>
              </w:rPr>
              <w:t>Healthcare Complaints Analysis Tool</w:t>
            </w:r>
          </w:p>
        </w:tc>
        <w:tc>
          <w:tcPr>
            <w:tcW w:w="7860" w:type="dxa"/>
            <w:tcBorders>
              <w:top w:val="single" w:sz="6" w:space="0" w:color="80808B"/>
              <w:left w:val="nil"/>
              <w:bottom w:val="single" w:sz="6" w:space="0" w:color="80808B"/>
              <w:right w:val="nil"/>
            </w:tcBorders>
            <w:hideMark/>
          </w:tcPr>
          <w:p w14:paraId="568E1CC0" w14:textId="77777777" w:rsidR="00BA24F0" w:rsidRPr="00636959" w:rsidRDefault="00BA24F0">
            <w:pPr>
              <w:pStyle w:val="SCVtablebody"/>
              <w:rPr>
                <w:sz w:val="24"/>
                <w:szCs w:val="24"/>
              </w:rPr>
            </w:pPr>
            <w:r w:rsidRPr="00636959">
              <w:rPr>
                <w:sz w:val="24"/>
                <w:szCs w:val="24"/>
              </w:rPr>
              <w:t>An evidence-based, standardised tool for systematically coding consumer voice and organising and analysing complaints information to reliably assess healthcare problems, their severity and the level of patient-reported harm. The HCAT can be used for service monitoring, organisational learning and research into complaints and is an early indicator for patient safety risks.</w:t>
            </w:r>
          </w:p>
        </w:tc>
      </w:tr>
      <w:tr w:rsidR="00BA24F0" w:rsidRPr="0002145B" w14:paraId="65AFA596" w14:textId="7DBC617F" w:rsidTr="57EA0190">
        <w:trPr>
          <w:trHeight w:val="300"/>
        </w:trPr>
        <w:tc>
          <w:tcPr>
            <w:tcW w:w="2340" w:type="dxa"/>
            <w:tcBorders>
              <w:top w:val="single" w:sz="6" w:space="0" w:color="80808B"/>
              <w:left w:val="nil"/>
              <w:bottom w:val="single" w:sz="6" w:space="0" w:color="80808B"/>
              <w:right w:val="nil"/>
            </w:tcBorders>
            <w:hideMark/>
          </w:tcPr>
          <w:p w14:paraId="6E358DD5" w14:textId="7F810756" w:rsidR="00BA24F0" w:rsidRPr="00CB4C72" w:rsidRDefault="00F91236">
            <w:pPr>
              <w:pStyle w:val="SCVtablebody"/>
              <w:rPr>
                <w:b/>
                <w:color w:val="007586" w:themeColor="text2"/>
                <w:sz w:val="24"/>
                <w:szCs w:val="24"/>
              </w:rPr>
            </w:pPr>
            <w:r w:rsidRPr="00CB4C72">
              <w:rPr>
                <w:b/>
                <w:color w:val="007586" w:themeColor="text2"/>
                <w:sz w:val="24"/>
                <w:szCs w:val="24"/>
              </w:rPr>
              <w:t>C</w:t>
            </w:r>
            <w:r w:rsidR="00BA24F0" w:rsidRPr="00CB4C72">
              <w:rPr>
                <w:b/>
                <w:color w:val="007586" w:themeColor="text2"/>
                <w:sz w:val="24"/>
                <w:szCs w:val="24"/>
              </w:rPr>
              <w:t xml:space="preserve">onsumer </w:t>
            </w:r>
          </w:p>
        </w:tc>
        <w:tc>
          <w:tcPr>
            <w:tcW w:w="7860" w:type="dxa"/>
            <w:tcBorders>
              <w:top w:val="single" w:sz="6" w:space="0" w:color="80808B"/>
              <w:left w:val="nil"/>
              <w:bottom w:val="single" w:sz="6" w:space="0" w:color="80808B"/>
              <w:right w:val="nil"/>
            </w:tcBorders>
            <w:hideMark/>
          </w:tcPr>
          <w:p w14:paraId="178F0B42" w14:textId="0D4A7D7A" w:rsidR="00BA24F0" w:rsidRPr="00636959" w:rsidRDefault="00BA24F0">
            <w:pPr>
              <w:pStyle w:val="SCVtablebody"/>
              <w:rPr>
                <w:sz w:val="24"/>
                <w:szCs w:val="24"/>
              </w:rPr>
            </w:pPr>
            <w:r w:rsidRPr="00636959">
              <w:rPr>
                <w:sz w:val="24"/>
                <w:szCs w:val="24"/>
              </w:rPr>
              <w:t>A patient, their family or carer(s).</w:t>
            </w:r>
          </w:p>
        </w:tc>
      </w:tr>
      <w:tr w:rsidR="00BA24F0" w:rsidRPr="0002145B" w14:paraId="0BF914D4" w14:textId="77777777" w:rsidTr="57EA0190">
        <w:trPr>
          <w:trHeight w:val="300"/>
        </w:trPr>
        <w:tc>
          <w:tcPr>
            <w:tcW w:w="2340" w:type="dxa"/>
            <w:tcBorders>
              <w:top w:val="single" w:sz="6" w:space="0" w:color="80808B"/>
              <w:left w:val="nil"/>
              <w:bottom w:val="single" w:sz="6" w:space="0" w:color="80808B"/>
              <w:right w:val="nil"/>
            </w:tcBorders>
            <w:hideMark/>
          </w:tcPr>
          <w:p w14:paraId="1E7057B1" w14:textId="012B6ED7" w:rsidR="00BA24F0" w:rsidRPr="00CB4C72" w:rsidRDefault="00BA24F0">
            <w:pPr>
              <w:pStyle w:val="SCVtablebody"/>
              <w:rPr>
                <w:b/>
                <w:color w:val="007586" w:themeColor="text2"/>
                <w:sz w:val="24"/>
                <w:szCs w:val="24"/>
              </w:rPr>
            </w:pPr>
            <w:r w:rsidRPr="00CB4C72">
              <w:rPr>
                <w:b/>
                <w:color w:val="007586" w:themeColor="text2"/>
                <w:sz w:val="24"/>
                <w:szCs w:val="24"/>
              </w:rPr>
              <w:t xml:space="preserve">Human factors </w:t>
            </w:r>
          </w:p>
        </w:tc>
        <w:tc>
          <w:tcPr>
            <w:tcW w:w="7860" w:type="dxa"/>
            <w:tcBorders>
              <w:top w:val="single" w:sz="6" w:space="0" w:color="80808B"/>
              <w:left w:val="nil"/>
              <w:bottom w:val="single" w:sz="6" w:space="0" w:color="80808B"/>
              <w:right w:val="nil"/>
            </w:tcBorders>
            <w:hideMark/>
          </w:tcPr>
          <w:p w14:paraId="56E0DFDD" w14:textId="6E23CDFC" w:rsidR="00BA24F0" w:rsidRPr="00636959" w:rsidRDefault="00511605">
            <w:pPr>
              <w:pStyle w:val="SCVtablebody"/>
              <w:rPr>
                <w:sz w:val="24"/>
                <w:szCs w:val="24"/>
              </w:rPr>
            </w:pPr>
            <w:r>
              <w:rPr>
                <w:sz w:val="24"/>
                <w:szCs w:val="24"/>
              </w:rPr>
              <w:t>The</w:t>
            </w:r>
            <w:r w:rsidR="00BA24F0" w:rsidRPr="00636959">
              <w:rPr>
                <w:sz w:val="24"/>
                <w:szCs w:val="24"/>
              </w:rPr>
              <w:t xml:space="preserve"> environmental, organisational, human and job factors that influence human performance. The science of human factors applies theory, data and methodologies to understand interactions among humans and the systems in which they work.</w:t>
            </w:r>
          </w:p>
        </w:tc>
      </w:tr>
      <w:tr w:rsidR="00BA24F0" w:rsidRPr="0002145B" w14:paraId="7CDA98C5" w14:textId="77777777" w:rsidTr="57EA0190">
        <w:trPr>
          <w:trHeight w:val="300"/>
        </w:trPr>
        <w:tc>
          <w:tcPr>
            <w:tcW w:w="2340" w:type="dxa"/>
            <w:tcBorders>
              <w:top w:val="single" w:sz="6" w:space="0" w:color="80808B"/>
              <w:left w:val="nil"/>
              <w:bottom w:val="single" w:sz="6" w:space="0" w:color="80808B"/>
              <w:right w:val="nil"/>
            </w:tcBorders>
            <w:hideMark/>
          </w:tcPr>
          <w:p w14:paraId="6DA0BFF0" w14:textId="77777777" w:rsidR="00BA24F0" w:rsidRPr="00CB4C72" w:rsidRDefault="00BA24F0">
            <w:pPr>
              <w:pStyle w:val="SCVtablebody"/>
              <w:rPr>
                <w:b/>
                <w:color w:val="007586" w:themeColor="text2"/>
                <w:sz w:val="24"/>
                <w:szCs w:val="24"/>
              </w:rPr>
            </w:pPr>
            <w:r w:rsidRPr="00CB4C72">
              <w:rPr>
                <w:b/>
                <w:color w:val="007586" w:themeColor="text2"/>
                <w:sz w:val="24"/>
                <w:szCs w:val="24"/>
              </w:rPr>
              <w:t>International Classification for Patient Safety</w:t>
            </w:r>
          </w:p>
        </w:tc>
        <w:tc>
          <w:tcPr>
            <w:tcW w:w="7860" w:type="dxa"/>
            <w:tcBorders>
              <w:top w:val="single" w:sz="6" w:space="0" w:color="80808B"/>
              <w:left w:val="nil"/>
              <w:bottom w:val="single" w:sz="6" w:space="0" w:color="80808B"/>
              <w:right w:val="nil"/>
            </w:tcBorders>
            <w:hideMark/>
          </w:tcPr>
          <w:p w14:paraId="4AF0397F" w14:textId="7989DDD8" w:rsidR="00BA24F0" w:rsidRPr="00B5432B" w:rsidRDefault="00511605">
            <w:pPr>
              <w:pStyle w:val="SCVtablebody"/>
              <w:rPr>
                <w:sz w:val="24"/>
                <w:szCs w:val="24"/>
              </w:rPr>
            </w:pPr>
            <w:r>
              <w:t>A</w:t>
            </w:r>
            <w:r w:rsidR="00BA24F0" w:rsidRPr="00B5432B">
              <w:rPr>
                <w:sz w:val="24"/>
                <w:szCs w:val="24"/>
              </w:rPr>
              <w:t xml:space="preserve"> framework developed by the World Health Organization to categorise patient safety information using standardised sets of concepts with agreed definitions, preferred terms and the relationships between them. The Victorian category 11 sentinel event subcategories are based on the ICPS classification for incident type.</w:t>
            </w:r>
            <w:r>
              <w:rPr>
                <w:sz w:val="24"/>
                <w:szCs w:val="24"/>
              </w:rPr>
              <w:t xml:space="preserve"> For more information, visit the </w:t>
            </w:r>
            <w:hyperlink r:id="rId108" w:history="1">
              <w:r w:rsidRPr="00511605">
                <w:rPr>
                  <w:rStyle w:val="Hyperlink"/>
                  <w:sz w:val="24"/>
                  <w:szCs w:val="24"/>
                </w:rPr>
                <w:t xml:space="preserve">World </w:t>
              </w:r>
              <w:r w:rsidRPr="00511605">
                <w:rPr>
                  <w:rStyle w:val="Hyperlink"/>
                  <w:sz w:val="24"/>
                  <w:szCs w:val="24"/>
                </w:rPr>
                <w:lastRenderedPageBreak/>
                <w:t>Health Organization website</w:t>
              </w:r>
            </w:hyperlink>
            <w:r>
              <w:rPr>
                <w:sz w:val="24"/>
                <w:szCs w:val="24"/>
              </w:rPr>
              <w:t xml:space="preserve"> &lt;</w:t>
            </w:r>
            <w:r w:rsidRPr="001A504F">
              <w:rPr>
                <w:sz w:val="24"/>
                <w:szCs w:val="24"/>
              </w:rPr>
              <w:t>https://www.who.int/publications/i/item/WHO-IER-PSP-2010.2</w:t>
            </w:r>
            <w:r>
              <w:rPr>
                <w:sz w:val="24"/>
                <w:szCs w:val="24"/>
              </w:rPr>
              <w:t>&gt;.</w:t>
            </w:r>
          </w:p>
        </w:tc>
      </w:tr>
      <w:tr w:rsidR="00BA24F0" w:rsidRPr="0002145B" w14:paraId="03A0C318" w14:textId="77777777" w:rsidTr="57EA0190">
        <w:trPr>
          <w:trHeight w:val="300"/>
        </w:trPr>
        <w:tc>
          <w:tcPr>
            <w:tcW w:w="2340" w:type="dxa"/>
            <w:tcBorders>
              <w:top w:val="single" w:sz="6" w:space="0" w:color="80808B"/>
              <w:left w:val="nil"/>
              <w:bottom w:val="single" w:sz="6" w:space="0" w:color="80808B"/>
              <w:right w:val="nil"/>
            </w:tcBorders>
            <w:hideMark/>
          </w:tcPr>
          <w:p w14:paraId="6923C363" w14:textId="77777777" w:rsidR="00BA24F0" w:rsidRPr="00CB4C72" w:rsidRDefault="00BA24F0">
            <w:pPr>
              <w:pStyle w:val="SCVtablebody"/>
              <w:rPr>
                <w:b/>
                <w:color w:val="007586" w:themeColor="text2"/>
                <w:sz w:val="24"/>
                <w:szCs w:val="24"/>
              </w:rPr>
            </w:pPr>
            <w:r w:rsidRPr="00CB4C72">
              <w:rPr>
                <w:b/>
                <w:color w:val="007586" w:themeColor="text2"/>
                <w:sz w:val="24"/>
                <w:szCs w:val="24"/>
              </w:rPr>
              <w:lastRenderedPageBreak/>
              <w:t xml:space="preserve">Just culture </w:t>
            </w:r>
          </w:p>
        </w:tc>
        <w:tc>
          <w:tcPr>
            <w:tcW w:w="7860" w:type="dxa"/>
            <w:tcBorders>
              <w:top w:val="single" w:sz="6" w:space="0" w:color="80808B"/>
              <w:left w:val="nil"/>
              <w:bottom w:val="single" w:sz="6" w:space="0" w:color="80808B"/>
              <w:right w:val="nil"/>
            </w:tcBorders>
            <w:hideMark/>
          </w:tcPr>
          <w:p w14:paraId="1C0B96B1" w14:textId="3910AFC4" w:rsidR="00BA24F0" w:rsidRPr="00636959" w:rsidRDefault="00511605">
            <w:pPr>
              <w:pStyle w:val="SCVtablebody"/>
              <w:rPr>
                <w:sz w:val="24"/>
                <w:szCs w:val="24"/>
              </w:rPr>
            </w:pPr>
            <w:r>
              <w:rPr>
                <w:sz w:val="24"/>
                <w:szCs w:val="24"/>
              </w:rPr>
              <w:t>A</w:t>
            </w:r>
            <w:r w:rsidRPr="00636959">
              <w:rPr>
                <w:sz w:val="24"/>
                <w:szCs w:val="24"/>
              </w:rPr>
              <w:t xml:space="preserve"> </w:t>
            </w:r>
            <w:r w:rsidR="00BA24F0" w:rsidRPr="00636959">
              <w:rPr>
                <w:sz w:val="24"/>
                <w:szCs w:val="24"/>
              </w:rPr>
              <w:t xml:space="preserve">culture </w:t>
            </w:r>
            <w:r>
              <w:rPr>
                <w:sz w:val="24"/>
                <w:szCs w:val="24"/>
              </w:rPr>
              <w:t xml:space="preserve">that </w:t>
            </w:r>
            <w:r w:rsidR="00BA24F0" w:rsidRPr="00636959">
              <w:rPr>
                <w:sz w:val="24"/>
                <w:szCs w:val="24"/>
              </w:rPr>
              <w:t>encourages balanced accountability between organisations and individuals and the application of systems-thinking principles to allow fair and just responses to adverse events.</w:t>
            </w:r>
          </w:p>
        </w:tc>
      </w:tr>
      <w:tr w:rsidR="00BA24F0" w:rsidRPr="0002145B" w14:paraId="36EC991B" w14:textId="77777777" w:rsidTr="57EA0190">
        <w:trPr>
          <w:trHeight w:val="300"/>
        </w:trPr>
        <w:tc>
          <w:tcPr>
            <w:tcW w:w="2340" w:type="dxa"/>
            <w:tcBorders>
              <w:top w:val="single" w:sz="6" w:space="0" w:color="80808B"/>
              <w:left w:val="nil"/>
              <w:bottom w:val="single" w:sz="6" w:space="0" w:color="80808B"/>
              <w:right w:val="nil"/>
            </w:tcBorders>
            <w:hideMark/>
          </w:tcPr>
          <w:p w14:paraId="49692B70"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Lessons learnt </w:t>
            </w:r>
          </w:p>
        </w:tc>
        <w:tc>
          <w:tcPr>
            <w:tcW w:w="7860" w:type="dxa"/>
            <w:tcBorders>
              <w:top w:val="single" w:sz="6" w:space="0" w:color="80808B"/>
              <w:left w:val="nil"/>
              <w:bottom w:val="single" w:sz="6" w:space="0" w:color="80808B"/>
              <w:right w:val="nil"/>
            </w:tcBorders>
            <w:hideMark/>
          </w:tcPr>
          <w:p w14:paraId="62B4389C" w14:textId="77777777" w:rsidR="00BA24F0" w:rsidRPr="00636959" w:rsidRDefault="00BA24F0">
            <w:pPr>
              <w:pStyle w:val="SCVtablebody"/>
              <w:rPr>
                <w:sz w:val="24"/>
                <w:szCs w:val="24"/>
              </w:rPr>
            </w:pPr>
            <w:r w:rsidRPr="00636959">
              <w:rPr>
                <w:sz w:val="24"/>
                <w:szCs w:val="24"/>
              </w:rPr>
              <w:t>The opportunities for improvement identified through the review process but that did not contribute to the adverse event.</w:t>
            </w:r>
          </w:p>
        </w:tc>
      </w:tr>
      <w:tr w:rsidR="00BA24F0" w:rsidRPr="0002145B" w14:paraId="1128D4A2" w14:textId="77777777" w:rsidTr="57EA0190">
        <w:trPr>
          <w:trHeight w:val="300"/>
        </w:trPr>
        <w:tc>
          <w:tcPr>
            <w:tcW w:w="2340" w:type="dxa"/>
            <w:tcBorders>
              <w:top w:val="single" w:sz="6" w:space="0" w:color="80808B"/>
              <w:left w:val="nil"/>
              <w:bottom w:val="single" w:sz="6" w:space="0" w:color="80808B"/>
              <w:right w:val="nil"/>
            </w:tcBorders>
            <w:hideMark/>
          </w:tcPr>
          <w:p w14:paraId="4794A91E"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Multiagency review </w:t>
            </w:r>
          </w:p>
        </w:tc>
        <w:tc>
          <w:tcPr>
            <w:tcW w:w="7860" w:type="dxa"/>
            <w:tcBorders>
              <w:top w:val="single" w:sz="6" w:space="0" w:color="80808B"/>
              <w:left w:val="nil"/>
              <w:bottom w:val="single" w:sz="6" w:space="0" w:color="80808B"/>
              <w:right w:val="nil"/>
            </w:tcBorders>
            <w:hideMark/>
          </w:tcPr>
          <w:p w14:paraId="2D28CC0D" w14:textId="77777777" w:rsidR="00BA24F0" w:rsidRPr="00636959" w:rsidRDefault="00BA24F0">
            <w:pPr>
              <w:pStyle w:val="SCVtablebody"/>
              <w:rPr>
                <w:sz w:val="24"/>
                <w:szCs w:val="24"/>
              </w:rPr>
            </w:pPr>
            <w:r w:rsidRPr="00636959">
              <w:rPr>
                <w:sz w:val="24"/>
                <w:szCs w:val="24"/>
              </w:rPr>
              <w:t>A panel review of an adverse event that involves 2 or more health services. All services involved in the harm of the patient are expected to take part in the review panel.</w:t>
            </w:r>
          </w:p>
        </w:tc>
      </w:tr>
      <w:tr w:rsidR="00BA24F0" w:rsidRPr="0002145B" w14:paraId="230EF07B" w14:textId="77777777" w:rsidTr="57EA0190">
        <w:trPr>
          <w:trHeight w:val="300"/>
        </w:trPr>
        <w:tc>
          <w:tcPr>
            <w:tcW w:w="2340" w:type="dxa"/>
            <w:tcBorders>
              <w:top w:val="single" w:sz="6" w:space="0" w:color="80808B"/>
              <w:left w:val="nil"/>
              <w:bottom w:val="single" w:sz="6" w:space="0" w:color="80808B"/>
              <w:right w:val="nil"/>
            </w:tcBorders>
          </w:tcPr>
          <w:p w14:paraId="66721062"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Open disclosure </w:t>
            </w:r>
          </w:p>
        </w:tc>
        <w:tc>
          <w:tcPr>
            <w:tcW w:w="7860" w:type="dxa"/>
            <w:tcBorders>
              <w:top w:val="single" w:sz="6" w:space="0" w:color="80808B"/>
              <w:left w:val="nil"/>
              <w:bottom w:val="single" w:sz="6" w:space="0" w:color="80808B"/>
              <w:right w:val="nil"/>
            </w:tcBorders>
          </w:tcPr>
          <w:p w14:paraId="40EB6F05" w14:textId="77777777" w:rsidR="00BA24F0" w:rsidRPr="00636959" w:rsidRDefault="00BA24F0">
            <w:pPr>
              <w:pStyle w:val="SCVtablebody"/>
              <w:rPr>
                <w:sz w:val="24"/>
                <w:szCs w:val="24"/>
              </w:rPr>
            </w:pPr>
            <w:r w:rsidRPr="00636959">
              <w:rPr>
                <w:sz w:val="24"/>
                <w:szCs w:val="24"/>
              </w:rPr>
              <w:t>The open and transparent discussion of adverse events that result in harm to a patient while receiving health care. This takes place with the patient, their family and carers.</w:t>
            </w:r>
          </w:p>
        </w:tc>
      </w:tr>
      <w:tr w:rsidR="00BA24F0" w:rsidRPr="0002145B" w14:paraId="45071539" w14:textId="77777777" w:rsidTr="57EA0190">
        <w:trPr>
          <w:trHeight w:val="300"/>
        </w:trPr>
        <w:tc>
          <w:tcPr>
            <w:tcW w:w="2340" w:type="dxa"/>
            <w:tcBorders>
              <w:top w:val="single" w:sz="6" w:space="0" w:color="80808B"/>
              <w:left w:val="nil"/>
              <w:bottom w:val="single" w:sz="6" w:space="0" w:color="80808B"/>
              <w:right w:val="nil"/>
            </w:tcBorders>
            <w:hideMark/>
          </w:tcPr>
          <w:p w14:paraId="0F2C541C"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Peer group </w:t>
            </w:r>
          </w:p>
        </w:tc>
        <w:tc>
          <w:tcPr>
            <w:tcW w:w="7860" w:type="dxa"/>
            <w:tcBorders>
              <w:top w:val="single" w:sz="6" w:space="0" w:color="80808B"/>
              <w:left w:val="nil"/>
              <w:bottom w:val="single" w:sz="6" w:space="0" w:color="80808B"/>
              <w:right w:val="nil"/>
            </w:tcBorders>
            <w:hideMark/>
          </w:tcPr>
          <w:p w14:paraId="32A37D34" w14:textId="77777777" w:rsidR="00BA24F0" w:rsidRPr="00636959" w:rsidRDefault="00BA24F0">
            <w:pPr>
              <w:pStyle w:val="SCVtablebody"/>
              <w:rPr>
                <w:sz w:val="24"/>
                <w:szCs w:val="24"/>
              </w:rPr>
            </w:pPr>
            <w:r w:rsidRPr="00636959">
              <w:rPr>
                <w:sz w:val="24"/>
                <w:szCs w:val="24"/>
              </w:rPr>
              <w:t>Grouping of health services of comparable size or clinical capability to allow for accurate comparison for the purpose of data reporting.</w:t>
            </w:r>
          </w:p>
        </w:tc>
      </w:tr>
      <w:tr w:rsidR="00BA24F0" w:rsidRPr="0002145B" w14:paraId="10FAEC88" w14:textId="77777777" w:rsidTr="57EA0190">
        <w:trPr>
          <w:trHeight w:val="300"/>
        </w:trPr>
        <w:tc>
          <w:tcPr>
            <w:tcW w:w="2340" w:type="dxa"/>
            <w:tcBorders>
              <w:top w:val="single" w:sz="6" w:space="0" w:color="80808B"/>
              <w:left w:val="nil"/>
              <w:bottom w:val="single" w:sz="6" w:space="0" w:color="80808B"/>
              <w:right w:val="nil"/>
            </w:tcBorders>
            <w:hideMark/>
          </w:tcPr>
          <w:p w14:paraId="3BC603AC"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Reporting culture </w:t>
            </w:r>
          </w:p>
        </w:tc>
        <w:tc>
          <w:tcPr>
            <w:tcW w:w="7860" w:type="dxa"/>
            <w:tcBorders>
              <w:top w:val="single" w:sz="6" w:space="0" w:color="80808B"/>
              <w:left w:val="nil"/>
              <w:bottom w:val="single" w:sz="6" w:space="0" w:color="80808B"/>
              <w:right w:val="nil"/>
            </w:tcBorders>
            <w:hideMark/>
          </w:tcPr>
          <w:p w14:paraId="3687C0C4" w14:textId="77777777" w:rsidR="00BA24F0" w:rsidRPr="00636959" w:rsidRDefault="00BA24F0">
            <w:pPr>
              <w:pStyle w:val="SCVtablebody"/>
              <w:rPr>
                <w:sz w:val="24"/>
                <w:szCs w:val="24"/>
              </w:rPr>
            </w:pPr>
            <w:r w:rsidRPr="00636959">
              <w:rPr>
                <w:sz w:val="24"/>
                <w:szCs w:val="24"/>
              </w:rPr>
              <w:t>An environment where individuals have the confidence and feel safe to report safety issues without fear of blame, and where they can trust their concerns will be acted on.</w:t>
            </w:r>
          </w:p>
        </w:tc>
      </w:tr>
      <w:tr w:rsidR="00BA24F0" w:rsidRPr="0002145B" w14:paraId="5EED5EF4" w14:textId="77777777" w:rsidTr="57EA0190">
        <w:trPr>
          <w:trHeight w:val="300"/>
        </w:trPr>
        <w:tc>
          <w:tcPr>
            <w:tcW w:w="2340" w:type="dxa"/>
            <w:tcBorders>
              <w:top w:val="single" w:sz="6" w:space="0" w:color="80808B"/>
              <w:left w:val="nil"/>
              <w:bottom w:val="single" w:sz="6" w:space="0" w:color="80808B"/>
              <w:right w:val="nil"/>
            </w:tcBorders>
            <w:hideMark/>
          </w:tcPr>
          <w:p w14:paraId="0550E245"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Review finding </w:t>
            </w:r>
          </w:p>
        </w:tc>
        <w:tc>
          <w:tcPr>
            <w:tcW w:w="7860" w:type="dxa"/>
            <w:tcBorders>
              <w:top w:val="single" w:sz="6" w:space="0" w:color="80808B"/>
              <w:left w:val="nil"/>
              <w:bottom w:val="single" w:sz="6" w:space="0" w:color="80808B"/>
              <w:right w:val="nil"/>
            </w:tcBorders>
            <w:hideMark/>
          </w:tcPr>
          <w:p w14:paraId="0B0521C6" w14:textId="77777777" w:rsidR="00BA24F0" w:rsidRPr="00514703" w:rsidRDefault="00BA24F0">
            <w:pPr>
              <w:pStyle w:val="SCVtablebody"/>
              <w:rPr>
                <w:sz w:val="24"/>
                <w:szCs w:val="24"/>
              </w:rPr>
            </w:pPr>
            <w:r w:rsidRPr="00514703">
              <w:rPr>
                <w:sz w:val="24"/>
                <w:szCs w:val="24"/>
              </w:rPr>
              <w:t>A summary statement that describes how a system issue or factor contributed to an adverse patient safety event.</w:t>
            </w:r>
          </w:p>
        </w:tc>
      </w:tr>
      <w:tr w:rsidR="00BA24F0" w:rsidRPr="0002145B" w14:paraId="1ADBF087" w14:textId="77777777" w:rsidTr="57EA0190">
        <w:trPr>
          <w:trHeight w:val="300"/>
        </w:trPr>
        <w:tc>
          <w:tcPr>
            <w:tcW w:w="2340" w:type="dxa"/>
            <w:tcBorders>
              <w:top w:val="single" w:sz="6" w:space="0" w:color="80808B"/>
              <w:left w:val="nil"/>
              <w:bottom w:val="single" w:sz="6" w:space="0" w:color="80808B"/>
              <w:right w:val="nil"/>
            </w:tcBorders>
            <w:hideMark/>
          </w:tcPr>
          <w:p w14:paraId="53608F0E"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Safety culture </w:t>
            </w:r>
          </w:p>
        </w:tc>
        <w:tc>
          <w:tcPr>
            <w:tcW w:w="7860" w:type="dxa"/>
            <w:tcBorders>
              <w:top w:val="single" w:sz="6" w:space="0" w:color="80808B"/>
              <w:left w:val="nil"/>
              <w:bottom w:val="single" w:sz="6" w:space="0" w:color="80808B"/>
              <w:right w:val="nil"/>
            </w:tcBorders>
            <w:hideMark/>
          </w:tcPr>
          <w:p w14:paraId="3A5CF2D0" w14:textId="298AE944" w:rsidR="00BA24F0" w:rsidRPr="00514703" w:rsidRDefault="00BA24F0">
            <w:pPr>
              <w:pStyle w:val="SCVtablebody"/>
              <w:rPr>
                <w:sz w:val="24"/>
                <w:szCs w:val="24"/>
              </w:rPr>
            </w:pPr>
            <w:r w:rsidRPr="00514703">
              <w:rPr>
                <w:sz w:val="24"/>
                <w:szCs w:val="24"/>
              </w:rPr>
              <w:t xml:space="preserve">The </w:t>
            </w:r>
            <w:r w:rsidR="00793F8D">
              <w:rPr>
                <w:sz w:val="24"/>
                <w:szCs w:val="24"/>
              </w:rPr>
              <w:t xml:space="preserve">product of </w:t>
            </w:r>
            <w:r w:rsidRPr="00514703">
              <w:rPr>
                <w:sz w:val="24"/>
                <w:szCs w:val="24"/>
              </w:rPr>
              <w:t>individual and group values, attitudes and behaviours that determine the commitment to and practice of organisational safety.</w:t>
            </w:r>
          </w:p>
        </w:tc>
      </w:tr>
      <w:tr w:rsidR="00BA24F0" w:rsidRPr="0002145B" w14:paraId="06DF13A9" w14:textId="77777777" w:rsidTr="57EA0190">
        <w:trPr>
          <w:trHeight w:val="300"/>
        </w:trPr>
        <w:tc>
          <w:tcPr>
            <w:tcW w:w="2340" w:type="dxa"/>
            <w:tcBorders>
              <w:top w:val="single" w:sz="6" w:space="0" w:color="80808B"/>
              <w:left w:val="nil"/>
              <w:bottom w:val="single" w:sz="6" w:space="0" w:color="80808B"/>
              <w:right w:val="nil"/>
            </w:tcBorders>
            <w:hideMark/>
          </w:tcPr>
          <w:p w14:paraId="02A73227"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SAPSE </w:t>
            </w:r>
          </w:p>
        </w:tc>
        <w:tc>
          <w:tcPr>
            <w:tcW w:w="7860" w:type="dxa"/>
            <w:tcBorders>
              <w:top w:val="single" w:sz="6" w:space="0" w:color="80808B"/>
              <w:left w:val="nil"/>
              <w:bottom w:val="single" w:sz="6" w:space="0" w:color="80808B"/>
              <w:right w:val="nil"/>
            </w:tcBorders>
            <w:hideMark/>
          </w:tcPr>
          <w:p w14:paraId="633BC41A" w14:textId="7894602D" w:rsidR="00BA24F0" w:rsidRPr="00514703" w:rsidRDefault="03C68CB7">
            <w:pPr>
              <w:pStyle w:val="SCVtablebody"/>
              <w:rPr>
                <w:sz w:val="24"/>
                <w:szCs w:val="24"/>
              </w:rPr>
            </w:pPr>
            <w:r w:rsidRPr="57EA0190">
              <w:rPr>
                <w:sz w:val="24"/>
                <w:szCs w:val="24"/>
              </w:rPr>
              <w:t xml:space="preserve">Serious adverse patient safety event </w:t>
            </w:r>
            <w:r w:rsidR="589AC5BA" w:rsidRPr="57EA0190">
              <w:rPr>
                <w:sz w:val="24"/>
                <w:szCs w:val="24"/>
              </w:rPr>
              <w:t xml:space="preserve">that results in harm as defined in section 3 (1) of the </w:t>
            </w:r>
            <w:r w:rsidR="589AC5BA" w:rsidRPr="57EA0190">
              <w:rPr>
                <w:i/>
                <w:iCs/>
                <w:sz w:val="24"/>
                <w:szCs w:val="24"/>
              </w:rPr>
              <w:t>Health Services Act 1988</w:t>
            </w:r>
          </w:p>
        </w:tc>
      </w:tr>
      <w:tr w:rsidR="00BA24F0" w:rsidRPr="0002145B" w14:paraId="66FC580D" w14:textId="77777777" w:rsidTr="57EA0190">
        <w:trPr>
          <w:trHeight w:val="300"/>
        </w:trPr>
        <w:tc>
          <w:tcPr>
            <w:tcW w:w="2340" w:type="dxa"/>
            <w:tcBorders>
              <w:top w:val="single" w:sz="6" w:space="0" w:color="80808B"/>
              <w:left w:val="nil"/>
              <w:bottom w:val="single" w:sz="6" w:space="0" w:color="80808B"/>
              <w:right w:val="nil"/>
            </w:tcBorders>
            <w:hideMark/>
          </w:tcPr>
          <w:p w14:paraId="3701E854"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SCV </w:t>
            </w:r>
          </w:p>
        </w:tc>
        <w:tc>
          <w:tcPr>
            <w:tcW w:w="7860" w:type="dxa"/>
            <w:tcBorders>
              <w:top w:val="single" w:sz="6" w:space="0" w:color="80808B"/>
              <w:left w:val="nil"/>
              <w:bottom w:val="single" w:sz="6" w:space="0" w:color="80808B"/>
              <w:right w:val="nil"/>
            </w:tcBorders>
            <w:hideMark/>
          </w:tcPr>
          <w:p w14:paraId="5F3A9F41" w14:textId="77777777" w:rsidR="00BA24F0" w:rsidRPr="00514703" w:rsidRDefault="00BA24F0">
            <w:pPr>
              <w:pStyle w:val="SCVtablebody"/>
              <w:rPr>
                <w:sz w:val="24"/>
                <w:szCs w:val="24"/>
              </w:rPr>
            </w:pPr>
            <w:r w:rsidRPr="00514703">
              <w:rPr>
                <w:sz w:val="24"/>
                <w:szCs w:val="24"/>
              </w:rPr>
              <w:t xml:space="preserve">Safer Care Victoria </w:t>
            </w:r>
          </w:p>
        </w:tc>
      </w:tr>
      <w:tr w:rsidR="00BA24F0" w:rsidRPr="0002145B" w14:paraId="13D79975" w14:textId="77777777" w:rsidTr="57EA0190">
        <w:trPr>
          <w:trHeight w:val="300"/>
        </w:trPr>
        <w:tc>
          <w:tcPr>
            <w:tcW w:w="2340" w:type="dxa"/>
            <w:tcBorders>
              <w:top w:val="single" w:sz="6" w:space="0" w:color="80808B"/>
              <w:left w:val="nil"/>
              <w:bottom w:val="single" w:sz="6" w:space="0" w:color="80808B"/>
              <w:right w:val="nil"/>
            </w:tcBorders>
            <w:hideMark/>
          </w:tcPr>
          <w:p w14:paraId="79CAE9F3"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SDC </w:t>
            </w:r>
          </w:p>
        </w:tc>
        <w:tc>
          <w:tcPr>
            <w:tcW w:w="7860" w:type="dxa"/>
            <w:tcBorders>
              <w:top w:val="single" w:sz="6" w:space="0" w:color="80808B"/>
              <w:left w:val="nil"/>
              <w:bottom w:val="single" w:sz="6" w:space="0" w:color="80808B"/>
              <w:right w:val="nil"/>
            </w:tcBorders>
            <w:hideMark/>
          </w:tcPr>
          <w:p w14:paraId="787DF973" w14:textId="33BDB65E" w:rsidR="00BA24F0" w:rsidRPr="00514703" w:rsidRDefault="00BA24F0">
            <w:pPr>
              <w:pStyle w:val="SCVtablebody"/>
              <w:rPr>
                <w:rFonts w:ascii="Arial" w:hAnsi="Arial" w:cs="Arial"/>
                <w:sz w:val="24"/>
                <w:szCs w:val="24"/>
              </w:rPr>
            </w:pPr>
            <w:r w:rsidRPr="00514703">
              <w:rPr>
                <w:sz w:val="24"/>
                <w:szCs w:val="24"/>
              </w:rPr>
              <w:t>Statutory duty of candour</w:t>
            </w:r>
            <w:r w:rsidR="00511605">
              <w:rPr>
                <w:sz w:val="24"/>
                <w:szCs w:val="24"/>
              </w:rPr>
              <w:t>.</w:t>
            </w:r>
            <w:r w:rsidRPr="00514703">
              <w:rPr>
                <w:sz w:val="24"/>
                <w:szCs w:val="24"/>
              </w:rPr>
              <w:t xml:space="preserve"> </w:t>
            </w:r>
            <w:r w:rsidRPr="00514703">
              <w:rPr>
                <w:rFonts w:ascii="Arial" w:hAnsi="Arial" w:cs="Arial"/>
                <w:sz w:val="24"/>
                <w:szCs w:val="24"/>
              </w:rPr>
              <w:t>In Victoria, SDC is a legal obligation that requires healthcare providers to openly and honestly inform patients and their families when a serious adverse patient safety event occurs, including providing an apology and explaining the details of what happened, as well as steps to prevent similar incidents from happening again</w:t>
            </w:r>
            <w:r>
              <w:rPr>
                <w:rFonts w:ascii="Arial" w:hAnsi="Arial" w:cs="Arial"/>
                <w:sz w:val="24"/>
                <w:szCs w:val="24"/>
              </w:rPr>
              <w:t>.</w:t>
            </w:r>
          </w:p>
        </w:tc>
      </w:tr>
      <w:tr w:rsidR="00BA24F0" w:rsidRPr="0002145B" w14:paraId="4134D2BA" w14:textId="77777777" w:rsidTr="57EA0190">
        <w:trPr>
          <w:trHeight w:val="300"/>
        </w:trPr>
        <w:tc>
          <w:tcPr>
            <w:tcW w:w="2340" w:type="dxa"/>
            <w:tcBorders>
              <w:top w:val="single" w:sz="6" w:space="0" w:color="80808B"/>
              <w:left w:val="nil"/>
              <w:bottom w:val="single" w:sz="6" w:space="0" w:color="80808B"/>
              <w:right w:val="nil"/>
            </w:tcBorders>
            <w:hideMark/>
          </w:tcPr>
          <w:p w14:paraId="5126C78A" w14:textId="77777777" w:rsidR="00BA24F0" w:rsidRPr="00CB4C72" w:rsidRDefault="00BA24F0">
            <w:pPr>
              <w:pStyle w:val="SCVtablebody"/>
              <w:rPr>
                <w:b/>
                <w:color w:val="007586" w:themeColor="text2"/>
                <w:sz w:val="24"/>
                <w:szCs w:val="24"/>
              </w:rPr>
            </w:pPr>
            <w:r w:rsidRPr="00CB4C72">
              <w:rPr>
                <w:b/>
                <w:color w:val="007586" w:themeColor="text2"/>
                <w:sz w:val="24"/>
                <w:szCs w:val="24"/>
              </w:rPr>
              <w:t xml:space="preserve">Sentinel event </w:t>
            </w:r>
          </w:p>
        </w:tc>
        <w:tc>
          <w:tcPr>
            <w:tcW w:w="7860" w:type="dxa"/>
            <w:tcBorders>
              <w:top w:val="single" w:sz="6" w:space="0" w:color="80808B"/>
              <w:left w:val="nil"/>
              <w:bottom w:val="single" w:sz="6" w:space="0" w:color="80808B"/>
              <w:right w:val="nil"/>
            </w:tcBorders>
            <w:hideMark/>
          </w:tcPr>
          <w:p w14:paraId="57C1CF26" w14:textId="77777777" w:rsidR="00BA24F0" w:rsidRPr="00514703" w:rsidRDefault="00BA24F0">
            <w:pPr>
              <w:pStyle w:val="SCVtablebody"/>
              <w:rPr>
                <w:sz w:val="24"/>
                <w:szCs w:val="24"/>
              </w:rPr>
            </w:pPr>
            <w:r w:rsidRPr="00514703">
              <w:rPr>
                <w:sz w:val="24"/>
                <w:szCs w:val="24"/>
              </w:rPr>
              <w:t>The most serious adverse event in which a patient dies or is seriously harmed.</w:t>
            </w:r>
          </w:p>
        </w:tc>
      </w:tr>
      <w:tr w:rsidR="00BA24F0" w:rsidRPr="0002145B" w14:paraId="2308D32B" w14:textId="77777777" w:rsidTr="57EA0190">
        <w:trPr>
          <w:trHeight w:val="300"/>
        </w:trPr>
        <w:tc>
          <w:tcPr>
            <w:tcW w:w="2340" w:type="dxa"/>
            <w:tcBorders>
              <w:top w:val="single" w:sz="6" w:space="0" w:color="80808B"/>
              <w:left w:val="nil"/>
              <w:bottom w:val="single" w:sz="6" w:space="0" w:color="80808B"/>
              <w:right w:val="nil"/>
            </w:tcBorders>
            <w:hideMark/>
          </w:tcPr>
          <w:p w14:paraId="2284EEF5" w14:textId="77777777" w:rsidR="00BA24F0" w:rsidRPr="00CB4C72" w:rsidRDefault="00BA24F0">
            <w:pPr>
              <w:pStyle w:val="SCVtablebody"/>
              <w:rPr>
                <w:b/>
                <w:color w:val="007586" w:themeColor="text2"/>
                <w:sz w:val="24"/>
                <w:szCs w:val="24"/>
              </w:rPr>
            </w:pPr>
            <w:r w:rsidRPr="00CB4C72">
              <w:rPr>
                <w:b/>
                <w:color w:val="007586" w:themeColor="text2"/>
                <w:sz w:val="24"/>
                <w:szCs w:val="24"/>
              </w:rPr>
              <w:lastRenderedPageBreak/>
              <w:t xml:space="preserve">SMART </w:t>
            </w:r>
          </w:p>
        </w:tc>
        <w:tc>
          <w:tcPr>
            <w:tcW w:w="7860" w:type="dxa"/>
            <w:tcBorders>
              <w:top w:val="single" w:sz="6" w:space="0" w:color="80808B"/>
              <w:left w:val="nil"/>
              <w:bottom w:val="single" w:sz="6" w:space="0" w:color="80808B"/>
              <w:right w:val="nil"/>
            </w:tcBorders>
            <w:hideMark/>
          </w:tcPr>
          <w:p w14:paraId="60CFE81F" w14:textId="25EB1519" w:rsidR="00BA24F0" w:rsidRPr="00636959" w:rsidRDefault="12E01EC8">
            <w:pPr>
              <w:pStyle w:val="SCVtablebody"/>
              <w:rPr>
                <w:sz w:val="24"/>
                <w:szCs w:val="24"/>
              </w:rPr>
            </w:pPr>
            <w:r w:rsidRPr="57EA0190">
              <w:rPr>
                <w:sz w:val="24"/>
                <w:szCs w:val="24"/>
              </w:rPr>
              <w:t>A</w:t>
            </w:r>
            <w:r w:rsidR="03C68CB7" w:rsidRPr="57EA0190">
              <w:rPr>
                <w:sz w:val="24"/>
                <w:szCs w:val="24"/>
              </w:rPr>
              <w:t xml:space="preserve">cronym </w:t>
            </w:r>
            <w:r w:rsidR="5E45151D" w:rsidRPr="57EA0190">
              <w:rPr>
                <w:sz w:val="24"/>
                <w:szCs w:val="24"/>
              </w:rPr>
              <w:t xml:space="preserve">used to define effective goals as; </w:t>
            </w:r>
            <w:r w:rsidR="03C68CB7" w:rsidRPr="57EA0190">
              <w:rPr>
                <w:sz w:val="24"/>
                <w:szCs w:val="24"/>
              </w:rPr>
              <w:t>specific, measurable, achievable</w:t>
            </w:r>
            <w:r w:rsidRPr="57EA0190">
              <w:rPr>
                <w:sz w:val="24"/>
                <w:szCs w:val="24"/>
              </w:rPr>
              <w:t>,</w:t>
            </w:r>
            <w:r w:rsidR="42288574" w:rsidRPr="57EA0190">
              <w:rPr>
                <w:sz w:val="24"/>
                <w:szCs w:val="24"/>
              </w:rPr>
              <w:t xml:space="preserve"> re</w:t>
            </w:r>
            <w:r w:rsidR="5C7B884A" w:rsidRPr="57EA0190">
              <w:rPr>
                <w:sz w:val="24"/>
                <w:szCs w:val="24"/>
              </w:rPr>
              <w:t>levant</w:t>
            </w:r>
            <w:r w:rsidR="42288574" w:rsidRPr="57EA0190">
              <w:rPr>
                <w:sz w:val="24"/>
                <w:szCs w:val="24"/>
              </w:rPr>
              <w:t xml:space="preserve"> and </w:t>
            </w:r>
            <w:proofErr w:type="gramStart"/>
            <w:r w:rsidR="03C68CB7" w:rsidRPr="57EA0190">
              <w:rPr>
                <w:sz w:val="24"/>
                <w:szCs w:val="24"/>
              </w:rPr>
              <w:t>time-bound</w:t>
            </w:r>
            <w:proofErr w:type="gramEnd"/>
            <w:r w:rsidR="03C68CB7" w:rsidRPr="57EA0190">
              <w:rPr>
                <w:sz w:val="24"/>
                <w:szCs w:val="24"/>
              </w:rPr>
              <w:t>.</w:t>
            </w:r>
          </w:p>
        </w:tc>
      </w:tr>
    </w:tbl>
    <w:p w14:paraId="22E88E81" w14:textId="53495A3F" w:rsidR="00E22A20" w:rsidRPr="0059267A" w:rsidRDefault="00E22A20" w:rsidP="0057201C">
      <w:pPr>
        <w:pStyle w:val="SCVbody"/>
      </w:pPr>
    </w:p>
    <w:sectPr w:rsidR="00E22A20" w:rsidRPr="0059267A" w:rsidSect="001A305B">
      <w:type w:val="continuous"/>
      <w:pgSz w:w="11906" w:h="16838" w:code="9"/>
      <w:pgMar w:top="3402" w:right="851" w:bottom="1361" w:left="851" w:header="851" w:footer="851" w:gutter="0"/>
      <w:pgBorders w:offsetFrom="page">
        <w:bottom w:val="single" w:sz="8" w:space="24" w:color="FFFFF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23BA" w14:textId="77777777" w:rsidR="007374D4" w:rsidRDefault="007374D4" w:rsidP="002D711A">
      <w:pPr>
        <w:spacing w:after="0" w:line="240" w:lineRule="auto"/>
      </w:pPr>
      <w:r>
        <w:separator/>
      </w:r>
    </w:p>
  </w:endnote>
  <w:endnote w:type="continuationSeparator" w:id="0">
    <w:p w14:paraId="77851EA9" w14:textId="77777777" w:rsidR="007374D4" w:rsidRDefault="007374D4" w:rsidP="002D711A">
      <w:pPr>
        <w:spacing w:after="0" w:line="240" w:lineRule="auto"/>
      </w:pPr>
      <w:r>
        <w:continuationSeparator/>
      </w:r>
    </w:p>
  </w:endnote>
  <w:endnote w:type="continuationNotice" w:id="1">
    <w:p w14:paraId="2A9EE23A" w14:textId="77777777" w:rsidR="007374D4" w:rsidRDefault="007374D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9594" w14:textId="5A0453B5" w:rsidR="00C50A2B" w:rsidRDefault="00FA6E93">
    <w:pPr>
      <w:pStyle w:val="Footer"/>
    </w:pPr>
    <w:r>
      <mc:AlternateContent>
        <mc:Choice Requires="wps">
          <w:drawing>
            <wp:anchor distT="0" distB="0" distL="0" distR="0" simplePos="0" relativeHeight="251660290" behindDoc="0" locked="0" layoutInCell="1" allowOverlap="1" wp14:anchorId="730C3831" wp14:editId="2970C593">
              <wp:simplePos x="635" y="635"/>
              <wp:positionH relativeFrom="page">
                <wp:align>center</wp:align>
              </wp:positionH>
              <wp:positionV relativeFrom="page">
                <wp:align>bottom</wp:align>
              </wp:positionV>
              <wp:extent cx="656590" cy="471170"/>
              <wp:effectExtent l="0" t="0" r="3810" b="0"/>
              <wp:wrapNone/>
              <wp:docPr id="30651328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1876A7DB" w14:textId="1B122E50"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0C3831" id="_x0000_t202" coordsize="21600,21600" o:spt="202" path="m,l,21600r21600,l21600,xe">
              <v:stroke joinstyle="miter"/>
              <v:path gradientshapeok="t" o:connecttype="rect"/>
            </v:shapetype>
            <v:shape id="Text Box 11" o:spid="_x0000_s1026" type="#_x0000_t202" alt="OFFICIAL" style="position:absolute;margin-left:0;margin-top:0;width:51.7pt;height:37.1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" filled="f" stroked="f">
              <v:fill o:detectmouseclick="t"/>
              <v:textbox style="mso-fit-shape-to-text:t" inset="0,0,0,15pt">
                <w:txbxContent>
                  <w:p w14:paraId="1876A7DB" w14:textId="1B122E50"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7670" w14:textId="66CAECBB" w:rsidR="003C66CC" w:rsidRDefault="00FA6E93">
    <w:pPr>
      <w:pStyle w:val="Footer"/>
      <w:jc w:val="right"/>
    </w:pPr>
    <w:r>
      <mc:AlternateContent>
        <mc:Choice Requires="wps">
          <w:drawing>
            <wp:anchor distT="0" distB="0" distL="0" distR="0" simplePos="0" relativeHeight="251661314" behindDoc="0" locked="0" layoutInCell="1" allowOverlap="1" wp14:anchorId="11E8C224" wp14:editId="5CCAE7C4">
              <wp:simplePos x="635" y="635"/>
              <wp:positionH relativeFrom="page">
                <wp:align>center</wp:align>
              </wp:positionH>
              <wp:positionV relativeFrom="page">
                <wp:align>bottom</wp:align>
              </wp:positionV>
              <wp:extent cx="656590" cy="471170"/>
              <wp:effectExtent l="0" t="0" r="3810" b="0"/>
              <wp:wrapNone/>
              <wp:docPr id="120964781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4405D15B" w14:textId="2E3D5E49"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E8C224" id="_x0000_t202" coordsize="21600,21600" o:spt="202" path="m,l,21600r21600,l21600,xe">
              <v:stroke joinstyle="miter"/>
              <v:path gradientshapeok="t" o:connecttype="rect"/>
            </v:shapetype>
            <v:shape id="Text Box 12" o:spid="_x0000_s1027" type="#_x0000_t202" alt="OFFICIAL" style="position:absolute;left:0;text-align:left;margin-left:0;margin-top:0;width:51.7pt;height:37.1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" filled="f" stroked="f">
              <v:fill o:detectmouseclick="t"/>
              <v:textbox style="mso-fit-shape-to-text:t" inset="0,0,0,15pt">
                <w:txbxContent>
                  <w:p w14:paraId="4405D15B" w14:textId="2E3D5E49"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sdt>
      <w:sdtPr>
        <w:rPr>
          <w:noProof w:val="0"/>
        </w:rPr>
        <w:id w:val="-1596315413"/>
        <w:docPartObj>
          <w:docPartGallery w:val="Page Numbers (Bottom of Page)"/>
          <w:docPartUnique/>
        </w:docPartObj>
      </w:sdtPr>
      <w:sdtEndPr>
        <w:rPr>
          <w:noProof/>
        </w:rPr>
      </w:sdtEndPr>
      <w:sdtContent>
        <w:r w:rsidR="003C66CC">
          <w:rPr>
            <w:noProof w:val="0"/>
          </w:rPr>
          <w:fldChar w:fldCharType="begin"/>
        </w:r>
        <w:r w:rsidR="003C66CC">
          <w:instrText xml:space="preserve"> PAGE   \* MERGEFORMAT </w:instrText>
        </w:r>
        <w:r w:rsidR="003C66CC">
          <w:rPr>
            <w:noProof w:val="0"/>
          </w:rPr>
          <w:fldChar w:fldCharType="separate"/>
        </w:r>
        <w:r w:rsidR="003C66CC">
          <w:t>2</w:t>
        </w:r>
        <w:r w:rsidR="003C66CC">
          <w:fldChar w:fldCharType="end"/>
        </w:r>
      </w:sdtContent>
    </w:sdt>
  </w:p>
  <w:p w14:paraId="7AC639E9" w14:textId="0F6D7635" w:rsidR="00C50A2B" w:rsidRPr="006B337A" w:rsidRDefault="00C50A2B" w:rsidP="006B337A">
    <w:pPr>
      <w:pStyle w:val="SCVheaderempt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50"/>
      <w:gridCol w:w="2550"/>
      <w:gridCol w:w="2550"/>
    </w:tblGrid>
    <w:tr w:rsidR="3E45D29F" w14:paraId="1C36DA8B" w14:textId="77777777" w:rsidTr="3E45D29F">
      <w:trPr>
        <w:trHeight w:val="300"/>
      </w:trPr>
      <w:tc>
        <w:tcPr>
          <w:tcW w:w="2550" w:type="dxa"/>
        </w:tcPr>
        <w:p w14:paraId="1212EBB4" w14:textId="67B9F9F2" w:rsidR="3E45D29F" w:rsidRDefault="00FA6E93" w:rsidP="3E45D29F">
          <w:pPr>
            <w:pStyle w:val="Header"/>
            <w:ind w:left="-115"/>
          </w:pPr>
          <w:r>
            <w:rPr>
              <w:noProof/>
            </w:rPr>
            <mc:AlternateContent>
              <mc:Choice Requires="wps">
                <w:drawing>
                  <wp:anchor distT="0" distB="0" distL="0" distR="0" simplePos="0" relativeHeight="251659266" behindDoc="0" locked="0" layoutInCell="1" allowOverlap="1" wp14:anchorId="64B6AE7A" wp14:editId="6E1F1CD0">
                    <wp:simplePos x="635" y="635"/>
                    <wp:positionH relativeFrom="page">
                      <wp:align>center</wp:align>
                    </wp:positionH>
                    <wp:positionV relativeFrom="page">
                      <wp:align>bottom</wp:align>
                    </wp:positionV>
                    <wp:extent cx="656590" cy="471170"/>
                    <wp:effectExtent l="0" t="0" r="3810" b="0"/>
                    <wp:wrapNone/>
                    <wp:docPr id="168967046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584A4EF4" w14:textId="35C3CC65"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B6AE7A" id="_x0000_t202" coordsize="21600,21600" o:spt="202" path="m,l,21600r21600,l21600,xe">
                    <v:stroke joinstyle="miter"/>
                    <v:path gradientshapeok="t" o:connecttype="rect"/>
                  </v:shapetype>
                  <v:shape id="Text Box 10" o:spid="_x0000_s1028" type="#_x0000_t202" alt="OFFICIAL" style="position:absolute;left:0;text-align:left;margin-left:0;margin-top:0;width:51.7pt;height:37.1pt;z-index:251659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" filled="f" stroked="f">
                    <v:fill o:detectmouseclick="t"/>
                    <v:textbox style="mso-fit-shape-to-text:t" inset="0,0,0,15pt">
                      <w:txbxContent>
                        <w:p w14:paraId="584A4EF4" w14:textId="35C3CC65"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tc>
      <w:tc>
        <w:tcPr>
          <w:tcW w:w="2550" w:type="dxa"/>
        </w:tcPr>
        <w:p w14:paraId="02AC579D" w14:textId="5ADCABBB" w:rsidR="3E45D29F" w:rsidRDefault="3E45D29F" w:rsidP="3E45D29F">
          <w:pPr>
            <w:pStyle w:val="Header"/>
            <w:jc w:val="center"/>
          </w:pPr>
        </w:p>
      </w:tc>
      <w:tc>
        <w:tcPr>
          <w:tcW w:w="2550" w:type="dxa"/>
        </w:tcPr>
        <w:p w14:paraId="013D6E52" w14:textId="116634F1" w:rsidR="3E45D29F" w:rsidRDefault="3E45D29F" w:rsidP="3E45D29F">
          <w:pPr>
            <w:pStyle w:val="Header"/>
            <w:ind w:right="-115"/>
            <w:jc w:val="right"/>
          </w:pPr>
        </w:p>
      </w:tc>
    </w:tr>
  </w:tbl>
  <w:p w14:paraId="4ABFD36D" w14:textId="2EF34120" w:rsidR="00F35DF8" w:rsidRDefault="00F35D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7E02" w14:textId="0952B6F9" w:rsidR="00C50A2B" w:rsidRPr="002A5891" w:rsidRDefault="00FA6E93" w:rsidP="006B337A">
    <w:pPr>
      <w:pStyle w:val="SCVfooterempty"/>
    </w:pPr>
    <w:r>
      <w:rPr>
        <w:noProof/>
      </w:rPr>
      <mc:AlternateContent>
        <mc:Choice Requires="wps">
          <w:drawing>
            <wp:anchor distT="0" distB="0" distL="0" distR="0" simplePos="0" relativeHeight="251663362" behindDoc="0" locked="0" layoutInCell="1" allowOverlap="1" wp14:anchorId="45422887" wp14:editId="36A21849">
              <wp:simplePos x="635" y="635"/>
              <wp:positionH relativeFrom="page">
                <wp:align>center</wp:align>
              </wp:positionH>
              <wp:positionV relativeFrom="page">
                <wp:align>bottom</wp:align>
              </wp:positionV>
              <wp:extent cx="656590" cy="471170"/>
              <wp:effectExtent l="0" t="0" r="3810" b="0"/>
              <wp:wrapNone/>
              <wp:docPr id="154447455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6E540AE7" w14:textId="29332F1D"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422887" id="_x0000_t202" coordsize="21600,21600" o:spt="202" path="m,l,21600r21600,l21600,xe">
              <v:stroke joinstyle="miter"/>
              <v:path gradientshapeok="t" o:connecttype="rect"/>
            </v:shapetype>
            <v:shape id="Text Box 14" o:spid="_x0000_s1029" type="#_x0000_t202" alt="OFFICIAL" style="position:absolute;margin-left:0;margin-top:0;width:51.7pt;height:37.1pt;z-index:2516633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" filled="f" stroked="f">
              <v:fill o:detectmouseclick="t"/>
              <v:textbox style="mso-fit-shape-to-text:t" inset="0,0,0,15pt">
                <w:txbxContent>
                  <w:p w14:paraId="6E540AE7" w14:textId="29332F1D"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78FA" w14:textId="750DE5B3" w:rsidR="00C50A2B" w:rsidRPr="006B337A" w:rsidRDefault="00FA6E93" w:rsidP="006B337A">
    <w:pPr>
      <w:pStyle w:val="SCVheaderempty"/>
    </w:pPr>
    <w:r>
      <w:rPr>
        <w:noProof/>
      </w:rPr>
      <mc:AlternateContent>
        <mc:Choice Requires="wps">
          <w:drawing>
            <wp:anchor distT="0" distB="0" distL="0" distR="0" simplePos="0" relativeHeight="251664386" behindDoc="0" locked="0" layoutInCell="1" allowOverlap="1" wp14:anchorId="31320C19" wp14:editId="680465AD">
              <wp:simplePos x="635" y="635"/>
              <wp:positionH relativeFrom="page">
                <wp:align>center</wp:align>
              </wp:positionH>
              <wp:positionV relativeFrom="page">
                <wp:align>bottom</wp:align>
              </wp:positionV>
              <wp:extent cx="656590" cy="471170"/>
              <wp:effectExtent l="0" t="0" r="3810" b="0"/>
              <wp:wrapNone/>
              <wp:docPr id="1249425000"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6D1FDCB7" w14:textId="7A634E0A"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20C19" id="_x0000_t202" coordsize="21600,21600" o:spt="202" path="m,l,21600r21600,l21600,xe">
              <v:stroke joinstyle="miter"/>
              <v:path gradientshapeok="t" o:connecttype="rect"/>
            </v:shapetype>
            <v:shape id="Text Box 15" o:spid="_x0000_s1030" type="#_x0000_t202" alt="OFFICIAL" style="position:absolute;margin-left:0;margin-top:0;width:51.7pt;height:37.1pt;z-index:2516643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" filled="f" stroked="f">
              <v:fill o:detectmouseclick="t"/>
              <v:textbox style="mso-fit-shape-to-text:t" inset="0,0,0,15pt">
                <w:txbxContent>
                  <w:p w14:paraId="6D1FDCB7" w14:textId="7A634E0A"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60DB" w14:textId="3EBB4B69" w:rsidR="00C50A2B" w:rsidRDefault="00FA6E93">
    <w:pPr>
      <w:pStyle w:val="Footer"/>
    </w:pPr>
    <w:r>
      <mc:AlternateContent>
        <mc:Choice Requires="wps">
          <w:drawing>
            <wp:anchor distT="0" distB="0" distL="0" distR="0" simplePos="0" relativeHeight="251662338" behindDoc="0" locked="0" layoutInCell="1" allowOverlap="1" wp14:anchorId="3248CC4B" wp14:editId="3A5F4C93">
              <wp:simplePos x="635" y="635"/>
              <wp:positionH relativeFrom="page">
                <wp:align>center</wp:align>
              </wp:positionH>
              <wp:positionV relativeFrom="page">
                <wp:align>bottom</wp:align>
              </wp:positionV>
              <wp:extent cx="656590" cy="471170"/>
              <wp:effectExtent l="0" t="0" r="3810" b="0"/>
              <wp:wrapNone/>
              <wp:docPr id="368284870"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725DD76A" w14:textId="151DED01"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8CC4B" id="_x0000_t202" coordsize="21600,21600" o:spt="202" path="m,l,21600r21600,l21600,xe">
              <v:stroke joinstyle="miter"/>
              <v:path gradientshapeok="t" o:connecttype="rect"/>
            </v:shapetype>
            <v:shape id="Text Box 13" o:spid="_x0000_s1031" type="#_x0000_t202" alt="OFFICIAL" style="position:absolute;margin-left:0;margin-top:0;width:51.7pt;height:37.1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" filled="f" stroked="f">
              <v:fill o:detectmouseclick="t"/>
              <v:textbox style="mso-fit-shape-to-text:t" inset="0,0,0,15pt">
                <w:txbxContent>
                  <w:p w14:paraId="725DD76A" w14:textId="151DED01"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F3E3" w14:textId="6CC225C9" w:rsidR="00C50A2B" w:rsidRPr="002A5891" w:rsidRDefault="00FA6E93" w:rsidP="00BC437C">
    <w:pPr>
      <w:pStyle w:val="SCVfooterempty"/>
    </w:pPr>
    <w:r>
      <w:rPr>
        <w:noProof/>
      </w:rPr>
      <mc:AlternateContent>
        <mc:Choice Requires="wps">
          <w:drawing>
            <wp:anchor distT="0" distB="0" distL="0" distR="0" simplePos="0" relativeHeight="251666434" behindDoc="0" locked="0" layoutInCell="1" allowOverlap="1" wp14:anchorId="6F308DF9" wp14:editId="0C5434F8">
              <wp:simplePos x="635" y="635"/>
              <wp:positionH relativeFrom="page">
                <wp:align>center</wp:align>
              </wp:positionH>
              <wp:positionV relativeFrom="page">
                <wp:align>bottom</wp:align>
              </wp:positionV>
              <wp:extent cx="656590" cy="471170"/>
              <wp:effectExtent l="0" t="0" r="3810" b="0"/>
              <wp:wrapNone/>
              <wp:docPr id="93671310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48B955DA" w14:textId="091F7865"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308DF9" id="_x0000_t202" coordsize="21600,21600" o:spt="202" path="m,l,21600r21600,l21600,xe">
              <v:stroke joinstyle="miter"/>
              <v:path gradientshapeok="t" o:connecttype="rect"/>
            </v:shapetype>
            <v:shape id="Text Box 17" o:spid="_x0000_s1032" type="#_x0000_t202" alt="OFFICIAL" style="position:absolute;margin-left:0;margin-top:0;width:51.7pt;height:37.1pt;z-index:2516664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" filled="f" stroked="f">
              <v:fill o:detectmouseclick="t"/>
              <v:textbox style="mso-fit-shape-to-text:t" inset="0,0,0,15pt">
                <w:txbxContent>
                  <w:p w14:paraId="48B955DA" w14:textId="091F7865"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CB85" w14:textId="09EA748E" w:rsidR="00C50A2B" w:rsidRPr="002A5891" w:rsidRDefault="00FA6E93" w:rsidP="00BC437C">
    <w:pPr>
      <w:pStyle w:val="SCVfooterempty"/>
    </w:pPr>
    <w:r>
      <w:rPr>
        <w:noProof/>
      </w:rPr>
      <mc:AlternateContent>
        <mc:Choice Requires="wps">
          <w:drawing>
            <wp:anchor distT="0" distB="0" distL="0" distR="0" simplePos="0" relativeHeight="251667458" behindDoc="0" locked="0" layoutInCell="1" allowOverlap="1" wp14:anchorId="02862F8D" wp14:editId="28833E6D">
              <wp:simplePos x="0" y="0"/>
              <wp:positionH relativeFrom="page">
                <wp:align>center</wp:align>
              </wp:positionH>
              <wp:positionV relativeFrom="page">
                <wp:align>bottom</wp:align>
              </wp:positionV>
              <wp:extent cx="656590" cy="471170"/>
              <wp:effectExtent l="0" t="0" r="3810" b="0"/>
              <wp:wrapNone/>
              <wp:docPr id="1922650634"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1784C063" w14:textId="5AD55A86"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862F8D" id="_x0000_t202" coordsize="21600,21600" o:spt="202" path="m,l,21600r21600,l21600,xe">
              <v:stroke joinstyle="miter"/>
              <v:path gradientshapeok="t" o:connecttype="rect"/>
            </v:shapetype>
            <v:shape id="Text Box 18" o:spid="_x0000_s1033" type="#_x0000_t202" alt="OFFICIAL" style="position:absolute;margin-left:0;margin-top:0;width:51.7pt;height:37.1pt;z-index:2516674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" filled="f" stroked="f">
              <v:fill o:detectmouseclick="t"/>
              <v:textbox style="mso-fit-shape-to-text:t" inset="0,0,0,15pt">
                <w:txbxContent>
                  <w:p w14:paraId="1784C063" w14:textId="5AD55A86"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2DA6" w14:textId="01CD2846" w:rsidR="00CB6584" w:rsidRDefault="00FA6E93">
    <w:pPr>
      <w:pStyle w:val="Footer"/>
    </w:pPr>
    <w:r>
      <mc:AlternateContent>
        <mc:Choice Requires="wps">
          <w:drawing>
            <wp:anchor distT="0" distB="0" distL="0" distR="0" simplePos="0" relativeHeight="251665410" behindDoc="0" locked="0" layoutInCell="1" allowOverlap="1" wp14:anchorId="368EB157" wp14:editId="35A51156">
              <wp:simplePos x="635" y="635"/>
              <wp:positionH relativeFrom="page">
                <wp:align>center</wp:align>
              </wp:positionH>
              <wp:positionV relativeFrom="page">
                <wp:align>bottom</wp:align>
              </wp:positionV>
              <wp:extent cx="656590" cy="471170"/>
              <wp:effectExtent l="0" t="0" r="3810" b="0"/>
              <wp:wrapNone/>
              <wp:docPr id="1587907532"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71170"/>
                      </a:xfrm>
                      <a:prstGeom prst="rect">
                        <a:avLst/>
                      </a:prstGeom>
                      <a:noFill/>
                      <a:ln>
                        <a:noFill/>
                      </a:ln>
                    </wps:spPr>
                    <wps:txbx>
                      <w:txbxContent>
                        <w:p w14:paraId="05B75314" w14:textId="64FAEBF2"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8EB157" id="_x0000_t202" coordsize="21600,21600" o:spt="202" path="m,l,21600r21600,l21600,xe">
              <v:stroke joinstyle="miter"/>
              <v:path gradientshapeok="t" o:connecttype="rect"/>
            </v:shapetype>
            <v:shape id="Text Box 16" o:spid="_x0000_s1034" type="#_x0000_t202" alt="OFFICIAL" style="position:absolute;margin-left:0;margin-top:0;width:51.7pt;height:37.1pt;z-index:2516654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" filled="f" stroked="f">
              <v:fill o:detectmouseclick="t"/>
              <v:textbox style="mso-fit-shape-to-text:t" inset="0,0,0,15pt">
                <w:txbxContent>
                  <w:p w14:paraId="05B75314" w14:textId="64FAEBF2" w:rsidR="00FA6E93" w:rsidRPr="00FA6E93" w:rsidRDefault="00FA6E93" w:rsidP="00FA6E93">
                    <w:pPr>
                      <w:spacing w:after="0"/>
                      <w:rPr>
                        <w:rFonts w:ascii="Arial Black" w:eastAsia="Arial Black" w:hAnsi="Arial Black" w:cs="Arial Black"/>
                        <w:noProof/>
                        <w:color w:val="000000"/>
                      </w:rPr>
                    </w:pPr>
                    <w:r w:rsidRPr="00FA6E93">
                      <w:rPr>
                        <w:rFonts w:ascii="Arial Black" w:eastAsia="Arial Black" w:hAnsi="Arial Black" w:cs="Arial Black"/>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33A9A" w14:textId="77777777" w:rsidR="007374D4" w:rsidRDefault="007374D4" w:rsidP="00E33E08">
      <w:pPr>
        <w:spacing w:before="0" w:after="0" w:line="240" w:lineRule="auto"/>
      </w:pPr>
    </w:p>
  </w:footnote>
  <w:footnote w:type="continuationSeparator" w:id="0">
    <w:p w14:paraId="43240AE6" w14:textId="77777777" w:rsidR="007374D4" w:rsidRDefault="007374D4" w:rsidP="00E33E08">
      <w:pPr>
        <w:spacing w:before="0" w:after="0" w:line="240" w:lineRule="auto"/>
      </w:pPr>
    </w:p>
  </w:footnote>
  <w:footnote w:type="continuationNotice" w:id="1">
    <w:p w14:paraId="482E9050" w14:textId="77777777" w:rsidR="007374D4" w:rsidRDefault="007374D4">
      <w:pPr>
        <w:spacing w:before="0" w:after="0" w:line="240" w:lineRule="auto"/>
      </w:pPr>
    </w:p>
  </w:footnote>
  <w:footnote w:id="2">
    <w:p w14:paraId="3DA82966" w14:textId="77777777" w:rsidR="00293F69" w:rsidRPr="00A41659" w:rsidRDefault="00293F69" w:rsidP="00293F69">
      <w:pPr>
        <w:pStyle w:val="FootnoteText"/>
        <w:rPr>
          <w:lang w:val="en-US"/>
        </w:rPr>
      </w:pPr>
      <w:r>
        <w:rPr>
          <w:rStyle w:val="FootnoteReference"/>
        </w:rPr>
        <w:footnoteRef/>
      </w:r>
      <w:r>
        <w:t xml:space="preserve"> </w:t>
      </w:r>
      <w:r>
        <w:rPr>
          <w:lang w:val="en-US"/>
        </w:rPr>
        <w:t xml:space="preserve">Safer Care Victoria (2024) </w:t>
      </w:r>
      <w:r w:rsidRPr="00834EF2">
        <w:rPr>
          <w:i/>
          <w:iCs/>
          <w:lang w:val="en-US"/>
        </w:rPr>
        <w:t xml:space="preserve">Victorian </w:t>
      </w:r>
      <w:r w:rsidRPr="001826EC">
        <w:rPr>
          <w:i/>
          <w:iCs/>
          <w:lang w:val="en-US"/>
        </w:rPr>
        <w:t xml:space="preserve">sentinel event guide: essential information for health services about managing sentinel events </w:t>
      </w:r>
      <w:r w:rsidRPr="00834EF2">
        <w:rPr>
          <w:i/>
          <w:iCs/>
          <w:lang w:val="en-US"/>
        </w:rPr>
        <w:t>in Victoria</w:t>
      </w:r>
      <w:r>
        <w:rPr>
          <w:lang w:val="en-US"/>
        </w:rPr>
        <w:t xml:space="preserve"> (Version 2), State Government of Victoria, Melbourne.</w:t>
      </w:r>
    </w:p>
  </w:footnote>
  <w:footnote w:id="3">
    <w:p w14:paraId="56801E26" w14:textId="1535FF4B" w:rsidR="002C7992" w:rsidRDefault="002C7992" w:rsidP="002C7992">
      <w:pPr>
        <w:pStyle w:val="FootnoteText"/>
      </w:pPr>
      <w:r w:rsidRPr="38AAB143">
        <w:rPr>
          <w:rStyle w:val="FootnoteReference"/>
        </w:rPr>
        <w:footnoteRef/>
      </w:r>
      <w:r>
        <w:t xml:space="preserve"> Royal Commission into Victoria’s Mental Health System, Final report: </w:t>
      </w:r>
      <w:r w:rsidR="006D014B">
        <w:t>s</w:t>
      </w:r>
      <w:r>
        <w:t xml:space="preserve">ummary and </w:t>
      </w:r>
      <w:r w:rsidR="006D014B">
        <w:t>r</w:t>
      </w:r>
      <w:r>
        <w:t>ecommendations (2021).</w:t>
      </w:r>
    </w:p>
  </w:footnote>
  <w:footnote w:id="4">
    <w:p w14:paraId="67A9D751" w14:textId="4399B8F4" w:rsidR="008254F8" w:rsidRDefault="008254F8" w:rsidP="008254F8">
      <w:pPr>
        <w:pStyle w:val="FootnoteText"/>
      </w:pPr>
      <w:r w:rsidRPr="2C7737C2">
        <w:rPr>
          <w:rStyle w:val="FootnoteReference"/>
        </w:rPr>
        <w:footnoteRef/>
      </w:r>
      <w:r>
        <w:t xml:space="preserve"> Safer Care Victoria</w:t>
      </w:r>
      <w:r w:rsidR="006D014B">
        <w:t xml:space="preserve"> (2024)</w:t>
      </w:r>
      <w:r>
        <w:t xml:space="preserve"> </w:t>
      </w:r>
      <w:r w:rsidRPr="00834EF2">
        <w:rPr>
          <w:i/>
          <w:iCs/>
        </w:rPr>
        <w:t>Victorian sentinel event guide</w:t>
      </w:r>
      <w:r w:rsidR="001826EC">
        <w:rPr>
          <w:i/>
          <w:iCs/>
        </w:rPr>
        <w:t>:</w:t>
      </w:r>
      <w:r w:rsidRPr="00834EF2">
        <w:rPr>
          <w:i/>
          <w:iCs/>
        </w:rPr>
        <w:t xml:space="preserve"> </w:t>
      </w:r>
      <w:r w:rsidR="001826EC">
        <w:rPr>
          <w:i/>
          <w:iCs/>
        </w:rPr>
        <w:t>e</w:t>
      </w:r>
      <w:r w:rsidRPr="00834EF2">
        <w:rPr>
          <w:i/>
          <w:iCs/>
        </w:rPr>
        <w:t>ssential information for health services about managing sentinel events in Victoria</w:t>
      </w:r>
      <w:r w:rsidR="001826EC">
        <w:rPr>
          <w:i/>
          <w:iCs/>
        </w:rPr>
        <w:t xml:space="preserve"> </w:t>
      </w:r>
      <w:r w:rsidR="001826EC" w:rsidRPr="00834EF2">
        <w:t>(</w:t>
      </w:r>
      <w:r w:rsidR="001826EC">
        <w:t>V</w:t>
      </w:r>
      <w:r w:rsidR="001826EC" w:rsidRPr="00834EF2">
        <w:t>ersion 2),</w:t>
      </w:r>
      <w:r w:rsidR="001826EC">
        <w:t xml:space="preserve"> State Government of Victoria, Melbourne,</w:t>
      </w:r>
      <w:r>
        <w:t xml:space="preserve"> </w:t>
      </w:r>
      <w:r w:rsidR="006D014B">
        <w:t>p</w:t>
      </w:r>
      <w:r>
        <w:t xml:space="preserve"> 6.</w:t>
      </w:r>
    </w:p>
  </w:footnote>
  <w:footnote w:id="5">
    <w:p w14:paraId="554A0CA4" w14:textId="37770B30" w:rsidR="00E217D6" w:rsidRPr="00E217D6" w:rsidRDefault="00E217D6">
      <w:pPr>
        <w:pStyle w:val="FootnoteText"/>
        <w:rPr>
          <w:lang w:val="en-US"/>
        </w:rPr>
      </w:pPr>
      <w:r>
        <w:rPr>
          <w:rStyle w:val="FootnoteReference"/>
        </w:rPr>
        <w:footnoteRef/>
      </w:r>
      <w:r>
        <w:t xml:space="preserve"> </w:t>
      </w:r>
      <w:r w:rsidR="00EF4B72" w:rsidRPr="00EF4B72">
        <w:t xml:space="preserve">APINCH stands for antimicrobials, potassium and other electrolytes, insulin, narcotics and other sedatives, chemotherapeutic agents, and heparin and other anticoagulants. These are the group of medicines known to be associated with high potential for medication-related harm. For more information, </w:t>
      </w:r>
      <w:hyperlink r:id="rId1" w:history="1">
        <w:r w:rsidR="00EF4B72" w:rsidRPr="00EF4B72">
          <w:rPr>
            <w:rStyle w:val="Hyperlink"/>
          </w:rPr>
          <w:t>visit APINCHS classification of high risk medicines</w:t>
        </w:r>
      </w:hyperlink>
      <w:r w:rsidR="00EF4B72" w:rsidRPr="00EF4B72">
        <w:t xml:space="preserve"> &lt;https://www.safetyandquality.gov.au/our-work/medicines-safety-and-quality/high-risk-medicines/apinchs-classification-high-risk-medicines&gt;.</w:t>
      </w:r>
    </w:p>
  </w:footnote>
  <w:footnote w:id="6">
    <w:p w14:paraId="2495755C" w14:textId="220C8734" w:rsidR="00DA6EF2" w:rsidRPr="00DA6EF2" w:rsidRDefault="00DA6EF2">
      <w:pPr>
        <w:pStyle w:val="FootnoteText"/>
        <w:rPr>
          <w:lang w:val="en-US"/>
        </w:rPr>
      </w:pPr>
      <w:r>
        <w:rPr>
          <w:rStyle w:val="FootnoteReference"/>
        </w:rPr>
        <w:footnoteRef/>
      </w:r>
      <w:r w:rsidR="6920BDC5">
        <w:t xml:space="preserve"> </w:t>
      </w:r>
      <w:r w:rsidR="6920BDC5" w:rsidRPr="6920BDC5">
        <w:rPr>
          <w:lang w:val="en-US"/>
        </w:rPr>
        <w:t>More accurate data is collected at the full 12-month data collection point.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D00B" w14:textId="16C69CC4" w:rsidR="00AA4288" w:rsidRDefault="005619BB" w:rsidP="00AA4288">
    <w:pPr>
      <w:pStyle w:val="SCVheaderempty"/>
    </w:pPr>
    <w:r>
      <w:rPr>
        <w:noProof/>
      </w:rPr>
      <w:drawing>
        <wp:anchor distT="0" distB="0" distL="114300" distR="114300" simplePos="0" relativeHeight="251658241" behindDoc="1" locked="1" layoutInCell="1" allowOverlap="1" wp14:anchorId="08D1CAE4" wp14:editId="73614A31">
          <wp:simplePos x="0" y="0"/>
          <wp:positionH relativeFrom="page">
            <wp:align>left</wp:align>
          </wp:positionH>
          <wp:positionV relativeFrom="page">
            <wp:align>top</wp:align>
          </wp:positionV>
          <wp:extent cx="7563600" cy="10697040"/>
          <wp:effectExtent l="0" t="0" r="0" b="9525"/>
          <wp:wrapNone/>
          <wp:docPr id="1018630799" name="Picture 1018630799"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0697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5055" w14:textId="5C78C1C0" w:rsidR="00C50A2B" w:rsidRDefault="00C50A2B" w:rsidP="00947A0F">
    <w:pPr>
      <w:pStyle w:val="SCVheaderempty"/>
    </w:pPr>
    <w:r>
      <w:rPr>
        <w:noProof/>
      </w:rPr>
      <w:drawing>
        <wp:anchor distT="0" distB="0" distL="114300" distR="114300" simplePos="0" relativeHeight="251658240" behindDoc="1" locked="1" layoutInCell="1" allowOverlap="1" wp14:anchorId="663B4F4F" wp14:editId="0C5E82F0">
          <wp:simplePos x="0" y="0"/>
          <wp:positionH relativeFrom="page">
            <wp:posOffset>540385</wp:posOffset>
          </wp:positionH>
          <wp:positionV relativeFrom="page">
            <wp:posOffset>540385</wp:posOffset>
          </wp:positionV>
          <wp:extent cx="6505200" cy="5670000"/>
          <wp:effectExtent l="0" t="0" r="0" b="6985"/>
          <wp:wrapNone/>
          <wp:docPr id="1991728741" name="Picture 199172874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corative"/>
                  <pic:cNvPicPr/>
                </pic:nvPicPr>
                <pic:blipFill>
                  <a:blip r:embed="rId1">
                    <a:extLst>
                      <a:ext uri="{28A0092B-C50C-407E-A947-70E740481C1C}">
                        <a14:useLocalDpi xmlns:a14="http://schemas.microsoft.com/office/drawing/2010/main" val="0"/>
                      </a:ext>
                    </a:extLst>
                  </a:blip>
                  <a:stretch>
                    <a:fillRect/>
                  </a:stretch>
                </pic:blipFill>
                <pic:spPr>
                  <a:xfrm>
                    <a:off x="0" y="0"/>
                    <a:ext cx="6505200" cy="567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E3200" w14:textId="1FADC595" w:rsidR="000C0AE9" w:rsidRDefault="000C0AE9" w:rsidP="00AA4288">
    <w:pPr>
      <w:pStyle w:val="SCVheaderempty"/>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F985" w14:textId="5223BD50" w:rsidR="00C50A2B" w:rsidRDefault="000C0AE9" w:rsidP="006B337A">
    <w:pPr>
      <w:pStyle w:val="SCVheaderempty"/>
    </w:pPr>
    <w:r>
      <w:rPr>
        <w:noProof/>
      </w:rPr>
      <w:drawing>
        <wp:anchor distT="0" distB="0" distL="114300" distR="114300" simplePos="0" relativeHeight="251658242" behindDoc="1" locked="1" layoutInCell="1" allowOverlap="1" wp14:anchorId="1C7C8A42" wp14:editId="70D0CA02">
          <wp:simplePos x="0" y="0"/>
          <wp:positionH relativeFrom="page">
            <wp:align>left</wp:align>
          </wp:positionH>
          <wp:positionV relativeFrom="page">
            <wp:align>top</wp:align>
          </wp:positionV>
          <wp:extent cx="7559640" cy="10691640"/>
          <wp:effectExtent l="0" t="0" r="3810" b="0"/>
          <wp:wrapNone/>
          <wp:docPr id="182579502"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4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BE4D" w14:textId="40227AE2" w:rsidR="00C50A2B" w:rsidRDefault="00C50A2B" w:rsidP="00BC437C">
    <w:pPr>
      <w:pStyle w:val="SCVheaderempty"/>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760F" w14:textId="6881AF02" w:rsidR="00492DF4" w:rsidRDefault="00492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34D"/>
    <w:multiLevelType w:val="multilevel"/>
    <w:tmpl w:val="177E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219DC"/>
    <w:multiLevelType w:val="hybridMultilevel"/>
    <w:tmpl w:val="6C36C1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3A03FF"/>
    <w:multiLevelType w:val="multilevel"/>
    <w:tmpl w:val="029A19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F4B94"/>
    <w:multiLevelType w:val="multilevel"/>
    <w:tmpl w:val="40AA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726D45"/>
    <w:multiLevelType w:val="hybridMultilevel"/>
    <w:tmpl w:val="7FCE8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A3593B"/>
    <w:multiLevelType w:val="multilevel"/>
    <w:tmpl w:val="7BD4F4C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06F05856"/>
    <w:multiLevelType w:val="multilevel"/>
    <w:tmpl w:val="CACC7448"/>
    <w:lvl w:ilvl="0">
      <w:start w:val="1"/>
      <w:numFmt w:val="bullet"/>
      <w:lvlText w:val=""/>
      <w:lvlJc w:val="left"/>
      <w:pPr>
        <w:tabs>
          <w:tab w:val="num" w:pos="360"/>
        </w:tabs>
        <w:ind w:left="360" w:hanging="360"/>
      </w:pPr>
      <w:rPr>
        <w:rFonts w:ascii="Symbol" w:hAnsi="Symbol" w:hint="default"/>
        <w:sz w:val="20"/>
      </w:rPr>
    </w:lvl>
    <w:lvl w:ilvl="1">
      <w:start w:val="1"/>
      <w:numFmt w:val="bullet"/>
      <w:pStyle w:val="SCVbullet2"/>
      <w:lvlText w:val="-"/>
      <w:lvlJc w:val="left"/>
      <w:pPr>
        <w:ind w:left="1080" w:hanging="360"/>
      </w:pPr>
      <w:rPr>
        <w:rFonts w:ascii="Courier New" w:hAnsi="Courier New"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07021A55"/>
    <w:multiLevelType w:val="hybridMultilevel"/>
    <w:tmpl w:val="1630B1EA"/>
    <w:lvl w:ilvl="0" w:tplc="FFFFFFFF">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7271D2F"/>
    <w:multiLevelType w:val="multilevel"/>
    <w:tmpl w:val="A6522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5857F3"/>
    <w:multiLevelType w:val="multilevel"/>
    <w:tmpl w:val="BE28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5C72B6"/>
    <w:multiLevelType w:val="hybridMultilevel"/>
    <w:tmpl w:val="FF54F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2501A9"/>
    <w:multiLevelType w:val="hybridMultilevel"/>
    <w:tmpl w:val="E29AA808"/>
    <w:lvl w:ilvl="0" w:tplc="C4765F84">
      <w:start w:val="1"/>
      <w:numFmt w:val="decimal"/>
      <w:lvlText w:val="%1)"/>
      <w:lvlJc w:val="left"/>
      <w:pPr>
        <w:ind w:left="1020" w:hanging="360"/>
      </w:pPr>
    </w:lvl>
    <w:lvl w:ilvl="1" w:tplc="C9762CD0">
      <w:start w:val="1"/>
      <w:numFmt w:val="decimal"/>
      <w:lvlText w:val="%2)"/>
      <w:lvlJc w:val="left"/>
      <w:pPr>
        <w:ind w:left="1020" w:hanging="360"/>
      </w:pPr>
    </w:lvl>
    <w:lvl w:ilvl="2" w:tplc="77544492">
      <w:start w:val="1"/>
      <w:numFmt w:val="decimal"/>
      <w:lvlText w:val="%3)"/>
      <w:lvlJc w:val="left"/>
      <w:pPr>
        <w:ind w:left="1020" w:hanging="360"/>
      </w:pPr>
    </w:lvl>
    <w:lvl w:ilvl="3" w:tplc="0C20625E">
      <w:start w:val="1"/>
      <w:numFmt w:val="decimal"/>
      <w:lvlText w:val="%4)"/>
      <w:lvlJc w:val="left"/>
      <w:pPr>
        <w:ind w:left="1020" w:hanging="360"/>
      </w:pPr>
    </w:lvl>
    <w:lvl w:ilvl="4" w:tplc="2D8CBB44">
      <w:start w:val="1"/>
      <w:numFmt w:val="decimal"/>
      <w:lvlText w:val="%5)"/>
      <w:lvlJc w:val="left"/>
      <w:pPr>
        <w:ind w:left="1020" w:hanging="360"/>
      </w:pPr>
    </w:lvl>
    <w:lvl w:ilvl="5" w:tplc="A7EA6F7A">
      <w:start w:val="1"/>
      <w:numFmt w:val="decimal"/>
      <w:lvlText w:val="%6)"/>
      <w:lvlJc w:val="left"/>
      <w:pPr>
        <w:ind w:left="1020" w:hanging="360"/>
      </w:pPr>
    </w:lvl>
    <w:lvl w:ilvl="6" w:tplc="3798299E">
      <w:start w:val="1"/>
      <w:numFmt w:val="decimal"/>
      <w:lvlText w:val="%7)"/>
      <w:lvlJc w:val="left"/>
      <w:pPr>
        <w:ind w:left="1020" w:hanging="360"/>
      </w:pPr>
    </w:lvl>
    <w:lvl w:ilvl="7" w:tplc="EA08B41E">
      <w:start w:val="1"/>
      <w:numFmt w:val="decimal"/>
      <w:lvlText w:val="%8)"/>
      <w:lvlJc w:val="left"/>
      <w:pPr>
        <w:ind w:left="1020" w:hanging="360"/>
      </w:pPr>
    </w:lvl>
    <w:lvl w:ilvl="8" w:tplc="789C530C">
      <w:start w:val="1"/>
      <w:numFmt w:val="decimal"/>
      <w:lvlText w:val="%9)"/>
      <w:lvlJc w:val="left"/>
      <w:pPr>
        <w:ind w:left="1020" w:hanging="360"/>
      </w:pPr>
    </w:lvl>
  </w:abstractNum>
  <w:abstractNum w:abstractNumId="12" w15:restartNumberingAfterBreak="0">
    <w:nsid w:val="098262E5"/>
    <w:multiLevelType w:val="multilevel"/>
    <w:tmpl w:val="6A82931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09C91C5F"/>
    <w:multiLevelType w:val="hybridMultilevel"/>
    <w:tmpl w:val="8E46A6F8"/>
    <w:lvl w:ilvl="0" w:tplc="7E32E08A">
      <w:start w:val="1"/>
      <w:numFmt w:val="lowerLetter"/>
      <w:lvlText w:val="(%1)"/>
      <w:lvlJc w:val="left"/>
      <w:pPr>
        <w:ind w:left="360" w:hanging="360"/>
      </w:pPr>
    </w:lvl>
    <w:lvl w:ilvl="1" w:tplc="2CE23554">
      <w:start w:val="1"/>
      <w:numFmt w:val="lowerRoman"/>
      <w:lvlText w:val="(%2)"/>
      <w:lvlJc w:val="left"/>
      <w:pPr>
        <w:ind w:left="1440" w:hanging="72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4" w15:restartNumberingAfterBreak="0">
    <w:nsid w:val="0BE02FBE"/>
    <w:multiLevelType w:val="multilevel"/>
    <w:tmpl w:val="98A8DBB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5" w15:restartNumberingAfterBreak="0">
    <w:nsid w:val="0D577534"/>
    <w:multiLevelType w:val="hybridMultilevel"/>
    <w:tmpl w:val="35DE100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109C5199"/>
    <w:multiLevelType w:val="multilevel"/>
    <w:tmpl w:val="28DA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90059F"/>
    <w:multiLevelType w:val="hybridMultilevel"/>
    <w:tmpl w:val="C5CA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24C1743"/>
    <w:multiLevelType w:val="hybridMultilevel"/>
    <w:tmpl w:val="5AC0ECA2"/>
    <w:lvl w:ilvl="0" w:tplc="99E0AFA4">
      <w:start w:val="1"/>
      <w:numFmt w:val="decimal"/>
      <w:lvlText w:val="%1)"/>
      <w:lvlJc w:val="left"/>
      <w:pPr>
        <w:ind w:left="1020" w:hanging="360"/>
      </w:pPr>
    </w:lvl>
    <w:lvl w:ilvl="1" w:tplc="C98A57FE">
      <w:start w:val="1"/>
      <w:numFmt w:val="decimal"/>
      <w:lvlText w:val="%2)"/>
      <w:lvlJc w:val="left"/>
      <w:pPr>
        <w:ind w:left="1020" w:hanging="360"/>
      </w:pPr>
    </w:lvl>
    <w:lvl w:ilvl="2" w:tplc="3F8C2BA6">
      <w:start w:val="1"/>
      <w:numFmt w:val="decimal"/>
      <w:lvlText w:val="%3)"/>
      <w:lvlJc w:val="left"/>
      <w:pPr>
        <w:ind w:left="1020" w:hanging="360"/>
      </w:pPr>
    </w:lvl>
    <w:lvl w:ilvl="3" w:tplc="F358F9E8">
      <w:start w:val="1"/>
      <w:numFmt w:val="decimal"/>
      <w:lvlText w:val="%4)"/>
      <w:lvlJc w:val="left"/>
      <w:pPr>
        <w:ind w:left="1020" w:hanging="360"/>
      </w:pPr>
    </w:lvl>
    <w:lvl w:ilvl="4" w:tplc="FAE2379A">
      <w:start w:val="1"/>
      <w:numFmt w:val="decimal"/>
      <w:lvlText w:val="%5)"/>
      <w:lvlJc w:val="left"/>
      <w:pPr>
        <w:ind w:left="1020" w:hanging="360"/>
      </w:pPr>
    </w:lvl>
    <w:lvl w:ilvl="5" w:tplc="77A6A43A">
      <w:start w:val="1"/>
      <w:numFmt w:val="decimal"/>
      <w:lvlText w:val="%6)"/>
      <w:lvlJc w:val="left"/>
      <w:pPr>
        <w:ind w:left="1020" w:hanging="360"/>
      </w:pPr>
    </w:lvl>
    <w:lvl w:ilvl="6" w:tplc="B3066C8C">
      <w:start w:val="1"/>
      <w:numFmt w:val="decimal"/>
      <w:lvlText w:val="%7)"/>
      <w:lvlJc w:val="left"/>
      <w:pPr>
        <w:ind w:left="1020" w:hanging="360"/>
      </w:pPr>
    </w:lvl>
    <w:lvl w:ilvl="7" w:tplc="AC2E04A4">
      <w:start w:val="1"/>
      <w:numFmt w:val="decimal"/>
      <w:lvlText w:val="%8)"/>
      <w:lvlJc w:val="left"/>
      <w:pPr>
        <w:ind w:left="1020" w:hanging="360"/>
      </w:pPr>
    </w:lvl>
    <w:lvl w:ilvl="8" w:tplc="484611CC">
      <w:start w:val="1"/>
      <w:numFmt w:val="decimal"/>
      <w:lvlText w:val="%9)"/>
      <w:lvlJc w:val="left"/>
      <w:pPr>
        <w:ind w:left="1020" w:hanging="360"/>
      </w:pPr>
    </w:lvl>
  </w:abstractNum>
  <w:abstractNum w:abstractNumId="19" w15:restartNumberingAfterBreak="0">
    <w:nsid w:val="12C719FA"/>
    <w:multiLevelType w:val="multilevel"/>
    <w:tmpl w:val="8C8C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C519D0"/>
    <w:multiLevelType w:val="multilevel"/>
    <w:tmpl w:val="C624DC3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4EA0452"/>
    <w:multiLevelType w:val="multilevel"/>
    <w:tmpl w:val="E84C6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ED79FF"/>
    <w:multiLevelType w:val="multilevel"/>
    <w:tmpl w:val="CB143690"/>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16480EC3"/>
    <w:multiLevelType w:val="hybridMultilevel"/>
    <w:tmpl w:val="E6FC0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6514FBA"/>
    <w:multiLevelType w:val="hybridMultilevel"/>
    <w:tmpl w:val="9D3C94DC"/>
    <w:lvl w:ilvl="0" w:tplc="5CD0F166">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7623B14"/>
    <w:multiLevelType w:val="multilevel"/>
    <w:tmpl w:val="68F8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76E79EE"/>
    <w:multiLevelType w:val="multilevel"/>
    <w:tmpl w:val="C98E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A55589"/>
    <w:multiLevelType w:val="hybridMultilevel"/>
    <w:tmpl w:val="4EC665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8372C17"/>
    <w:multiLevelType w:val="multilevel"/>
    <w:tmpl w:val="45FC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8C32592"/>
    <w:multiLevelType w:val="multilevel"/>
    <w:tmpl w:val="3B9E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BE4AEF"/>
    <w:multiLevelType w:val="hybridMultilevel"/>
    <w:tmpl w:val="E8CA0C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1AB36D6A"/>
    <w:multiLevelType w:val="hybridMultilevel"/>
    <w:tmpl w:val="A62C9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AFD0F79"/>
    <w:multiLevelType w:val="hybridMultilevel"/>
    <w:tmpl w:val="6D9C5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B5E2466"/>
    <w:multiLevelType w:val="multilevel"/>
    <w:tmpl w:val="1DEA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7B64C0"/>
    <w:multiLevelType w:val="multilevel"/>
    <w:tmpl w:val="B96621C2"/>
    <w:lvl w:ilvl="0">
      <w:start w:val="1"/>
      <w:numFmt w:val="bullet"/>
      <w:pStyle w:val="SCVpulloutbullet"/>
      <w:lvlText w:val="•"/>
      <w:lvlJc w:val="left"/>
      <w:pPr>
        <w:ind w:left="284" w:hanging="284"/>
      </w:pPr>
      <w:rPr>
        <w:rFonts w:ascii="Calibri" w:hAnsi="Calibri" w:hint="default"/>
        <w:color w:val="007586" w:themeColor="text2"/>
      </w:rPr>
    </w:lvl>
    <w:lvl w:ilvl="1">
      <w:start w:val="1"/>
      <w:numFmt w:val="decimal"/>
      <w:lvlRestart w:val="0"/>
      <w:lvlText w:val=""/>
      <w:lvlJc w:val="left"/>
      <w:pPr>
        <w:ind w:left="0" w:firstLine="0"/>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35" w15:restartNumberingAfterBreak="0">
    <w:nsid w:val="1C5D423A"/>
    <w:multiLevelType w:val="multilevel"/>
    <w:tmpl w:val="41C0EAF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69" w:hanging="360"/>
      </w:pPr>
      <w:rPr>
        <w:rFonts w:ascii="Symbol" w:hAnsi="Symbol" w:hint="default"/>
        <w:sz w:val="20"/>
        <w:szCs w:val="20"/>
      </w:rPr>
    </w:lvl>
    <w:lvl w:ilvl="2">
      <w:start w:val="1"/>
      <w:numFmt w:val="bullet"/>
      <w:lvlText w:val=""/>
      <w:lvlJc w:val="left"/>
      <w:pPr>
        <w:tabs>
          <w:tab w:val="num" w:pos="1800"/>
        </w:tabs>
        <w:ind w:left="1800" w:hanging="360"/>
      </w:pPr>
      <w:rPr>
        <w:rFonts w:ascii="Symbol" w:hAnsi="Symbol" w:hint="default"/>
        <w:sz w:val="20"/>
      </w:rPr>
    </w:lvl>
    <w:lvl w:ilvl="3">
      <w:start w:val="1"/>
      <w:numFmt w:val="decimal"/>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1C8964EF"/>
    <w:multiLevelType w:val="multilevel"/>
    <w:tmpl w:val="06F09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CA056CC"/>
    <w:multiLevelType w:val="multilevel"/>
    <w:tmpl w:val="33B0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DA66CAC"/>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1DAF071C"/>
    <w:multiLevelType w:val="multilevel"/>
    <w:tmpl w:val="F52C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E0E469D"/>
    <w:multiLevelType w:val="hybridMultilevel"/>
    <w:tmpl w:val="926817E4"/>
    <w:lvl w:ilvl="0" w:tplc="CF101B7A">
      <w:start w:val="1"/>
      <w:numFmt w:val="decimal"/>
      <w:lvlText w:val="%1)"/>
      <w:lvlJc w:val="left"/>
      <w:pPr>
        <w:ind w:left="1020" w:hanging="360"/>
      </w:pPr>
    </w:lvl>
    <w:lvl w:ilvl="1" w:tplc="64AA43FC">
      <w:start w:val="1"/>
      <w:numFmt w:val="decimal"/>
      <w:lvlText w:val="%2)"/>
      <w:lvlJc w:val="left"/>
      <w:pPr>
        <w:ind w:left="1020" w:hanging="360"/>
      </w:pPr>
    </w:lvl>
    <w:lvl w:ilvl="2" w:tplc="73E0E2EC">
      <w:start w:val="1"/>
      <w:numFmt w:val="decimal"/>
      <w:lvlText w:val="%3)"/>
      <w:lvlJc w:val="left"/>
      <w:pPr>
        <w:ind w:left="1020" w:hanging="360"/>
      </w:pPr>
    </w:lvl>
    <w:lvl w:ilvl="3" w:tplc="0054F0F4">
      <w:start w:val="1"/>
      <w:numFmt w:val="decimal"/>
      <w:lvlText w:val="%4)"/>
      <w:lvlJc w:val="left"/>
      <w:pPr>
        <w:ind w:left="1020" w:hanging="360"/>
      </w:pPr>
    </w:lvl>
    <w:lvl w:ilvl="4" w:tplc="744858C6">
      <w:start w:val="1"/>
      <w:numFmt w:val="decimal"/>
      <w:lvlText w:val="%5)"/>
      <w:lvlJc w:val="left"/>
      <w:pPr>
        <w:ind w:left="1020" w:hanging="360"/>
      </w:pPr>
    </w:lvl>
    <w:lvl w:ilvl="5" w:tplc="0798BDD0">
      <w:start w:val="1"/>
      <w:numFmt w:val="decimal"/>
      <w:lvlText w:val="%6)"/>
      <w:lvlJc w:val="left"/>
      <w:pPr>
        <w:ind w:left="1020" w:hanging="360"/>
      </w:pPr>
    </w:lvl>
    <w:lvl w:ilvl="6" w:tplc="6CD8F804">
      <w:start w:val="1"/>
      <w:numFmt w:val="decimal"/>
      <w:lvlText w:val="%7)"/>
      <w:lvlJc w:val="left"/>
      <w:pPr>
        <w:ind w:left="1020" w:hanging="360"/>
      </w:pPr>
    </w:lvl>
    <w:lvl w:ilvl="7" w:tplc="6F22DBF2">
      <w:start w:val="1"/>
      <w:numFmt w:val="decimal"/>
      <w:lvlText w:val="%8)"/>
      <w:lvlJc w:val="left"/>
      <w:pPr>
        <w:ind w:left="1020" w:hanging="360"/>
      </w:pPr>
    </w:lvl>
    <w:lvl w:ilvl="8" w:tplc="8F366C38">
      <w:start w:val="1"/>
      <w:numFmt w:val="decimal"/>
      <w:lvlText w:val="%9)"/>
      <w:lvlJc w:val="left"/>
      <w:pPr>
        <w:ind w:left="1020" w:hanging="360"/>
      </w:pPr>
    </w:lvl>
  </w:abstractNum>
  <w:abstractNum w:abstractNumId="41" w15:restartNumberingAfterBreak="0">
    <w:nsid w:val="1E554D18"/>
    <w:multiLevelType w:val="multilevel"/>
    <w:tmpl w:val="8DBE5B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F54138F"/>
    <w:multiLevelType w:val="hybridMultilevel"/>
    <w:tmpl w:val="FDA43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0231B22"/>
    <w:multiLevelType w:val="hybridMultilevel"/>
    <w:tmpl w:val="3B6E6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206714B8"/>
    <w:multiLevelType w:val="hybridMultilevel"/>
    <w:tmpl w:val="1B3049C4"/>
    <w:lvl w:ilvl="0" w:tplc="71BA6D38">
      <w:start w:val="1"/>
      <w:numFmt w:val="bullet"/>
      <w:lvlText w:val=""/>
      <w:lvlJc w:val="left"/>
      <w:pPr>
        <w:ind w:left="720" w:hanging="360"/>
      </w:pPr>
      <w:rPr>
        <w:rFonts w:ascii="Symbol" w:hAnsi="Symbol" w:hint="default"/>
      </w:rPr>
    </w:lvl>
    <w:lvl w:ilvl="1" w:tplc="671873A2">
      <w:start w:val="1"/>
      <w:numFmt w:val="bullet"/>
      <w:lvlText w:val="o"/>
      <w:lvlJc w:val="left"/>
      <w:pPr>
        <w:ind w:left="1440" w:hanging="360"/>
      </w:pPr>
      <w:rPr>
        <w:rFonts w:ascii="Courier New" w:hAnsi="Courier New" w:hint="default"/>
      </w:rPr>
    </w:lvl>
    <w:lvl w:ilvl="2" w:tplc="9AD0908A">
      <w:start w:val="1"/>
      <w:numFmt w:val="bullet"/>
      <w:lvlText w:val=""/>
      <w:lvlJc w:val="left"/>
      <w:pPr>
        <w:ind w:left="2160" w:hanging="360"/>
      </w:pPr>
      <w:rPr>
        <w:rFonts w:ascii="Wingdings" w:hAnsi="Wingdings" w:hint="default"/>
      </w:rPr>
    </w:lvl>
    <w:lvl w:ilvl="3" w:tplc="6DF6DB2A">
      <w:start w:val="1"/>
      <w:numFmt w:val="bullet"/>
      <w:lvlText w:val=""/>
      <w:lvlJc w:val="left"/>
      <w:pPr>
        <w:ind w:left="2880" w:hanging="360"/>
      </w:pPr>
      <w:rPr>
        <w:rFonts w:ascii="Symbol" w:hAnsi="Symbol" w:hint="default"/>
      </w:rPr>
    </w:lvl>
    <w:lvl w:ilvl="4" w:tplc="6186AF22">
      <w:start w:val="1"/>
      <w:numFmt w:val="bullet"/>
      <w:lvlText w:val="o"/>
      <w:lvlJc w:val="left"/>
      <w:pPr>
        <w:ind w:left="3600" w:hanging="360"/>
      </w:pPr>
      <w:rPr>
        <w:rFonts w:ascii="Courier New" w:hAnsi="Courier New" w:hint="default"/>
      </w:rPr>
    </w:lvl>
    <w:lvl w:ilvl="5" w:tplc="2D3CB898">
      <w:start w:val="1"/>
      <w:numFmt w:val="bullet"/>
      <w:lvlText w:val=""/>
      <w:lvlJc w:val="left"/>
      <w:pPr>
        <w:ind w:left="4320" w:hanging="360"/>
      </w:pPr>
      <w:rPr>
        <w:rFonts w:ascii="Wingdings" w:hAnsi="Wingdings" w:hint="default"/>
      </w:rPr>
    </w:lvl>
    <w:lvl w:ilvl="6" w:tplc="5016C0D6">
      <w:start w:val="1"/>
      <w:numFmt w:val="bullet"/>
      <w:lvlText w:val=""/>
      <w:lvlJc w:val="left"/>
      <w:pPr>
        <w:ind w:left="5040" w:hanging="360"/>
      </w:pPr>
      <w:rPr>
        <w:rFonts w:ascii="Symbol" w:hAnsi="Symbol" w:hint="default"/>
      </w:rPr>
    </w:lvl>
    <w:lvl w:ilvl="7" w:tplc="5FC0CBF8">
      <w:start w:val="1"/>
      <w:numFmt w:val="bullet"/>
      <w:lvlText w:val="o"/>
      <w:lvlJc w:val="left"/>
      <w:pPr>
        <w:ind w:left="5760" w:hanging="360"/>
      </w:pPr>
      <w:rPr>
        <w:rFonts w:ascii="Courier New" w:hAnsi="Courier New" w:hint="default"/>
      </w:rPr>
    </w:lvl>
    <w:lvl w:ilvl="8" w:tplc="9A38EFD4">
      <w:start w:val="1"/>
      <w:numFmt w:val="bullet"/>
      <w:lvlText w:val=""/>
      <w:lvlJc w:val="left"/>
      <w:pPr>
        <w:ind w:left="6480" w:hanging="360"/>
      </w:pPr>
      <w:rPr>
        <w:rFonts w:ascii="Wingdings" w:hAnsi="Wingdings" w:hint="default"/>
      </w:rPr>
    </w:lvl>
  </w:abstractNum>
  <w:abstractNum w:abstractNumId="45" w15:restartNumberingAfterBreak="0">
    <w:nsid w:val="21643549"/>
    <w:multiLevelType w:val="hybridMultilevel"/>
    <w:tmpl w:val="78E45EDA"/>
    <w:lvl w:ilvl="0" w:tplc="122218DE">
      <w:start w:val="1"/>
      <w:numFmt w:val="decimal"/>
      <w:lvlText w:val="%1."/>
      <w:lvlJc w:val="left"/>
      <w:pPr>
        <w:ind w:left="760" w:hanging="400"/>
      </w:pPr>
      <w:rPr>
        <w:rFonts w:asciiTheme="majorHAnsi" w:eastAsiaTheme="majorEastAsia" w:hAnsiTheme="majorHAnsi" w:cstheme="majorBidi" w:hint="default"/>
        <w:b w:val="0"/>
        <w:color w:val="007586" w:themeColor="text2"/>
        <w:sz w:val="4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1A156E2"/>
    <w:multiLevelType w:val="multilevel"/>
    <w:tmpl w:val="D4F2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3123408"/>
    <w:multiLevelType w:val="multilevel"/>
    <w:tmpl w:val="C862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3B872DB"/>
    <w:multiLevelType w:val="hybridMultilevel"/>
    <w:tmpl w:val="1068C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3FE2343"/>
    <w:multiLevelType w:val="hybridMultilevel"/>
    <w:tmpl w:val="FFFFFFFF"/>
    <w:lvl w:ilvl="0" w:tplc="A050AE14">
      <w:start w:val="1"/>
      <w:numFmt w:val="bullet"/>
      <w:lvlText w:val="·"/>
      <w:lvlJc w:val="left"/>
      <w:pPr>
        <w:ind w:left="720" w:hanging="360"/>
      </w:pPr>
      <w:rPr>
        <w:rFonts w:ascii="Symbol" w:hAnsi="Symbol" w:hint="default"/>
      </w:rPr>
    </w:lvl>
    <w:lvl w:ilvl="1" w:tplc="B11E6C58">
      <w:start w:val="1"/>
      <w:numFmt w:val="bullet"/>
      <w:lvlText w:val="o"/>
      <w:lvlJc w:val="left"/>
      <w:pPr>
        <w:ind w:left="1440" w:hanging="360"/>
      </w:pPr>
      <w:rPr>
        <w:rFonts w:ascii="Courier New" w:hAnsi="Courier New" w:hint="default"/>
      </w:rPr>
    </w:lvl>
    <w:lvl w:ilvl="2" w:tplc="E7D4497C">
      <w:start w:val="1"/>
      <w:numFmt w:val="bullet"/>
      <w:lvlText w:val=""/>
      <w:lvlJc w:val="left"/>
      <w:pPr>
        <w:ind w:left="2160" w:hanging="360"/>
      </w:pPr>
      <w:rPr>
        <w:rFonts w:ascii="Wingdings" w:hAnsi="Wingdings" w:hint="default"/>
      </w:rPr>
    </w:lvl>
    <w:lvl w:ilvl="3" w:tplc="A3CA02D2">
      <w:start w:val="1"/>
      <w:numFmt w:val="bullet"/>
      <w:lvlText w:val=""/>
      <w:lvlJc w:val="left"/>
      <w:pPr>
        <w:ind w:left="2880" w:hanging="360"/>
      </w:pPr>
      <w:rPr>
        <w:rFonts w:ascii="Symbol" w:hAnsi="Symbol" w:hint="default"/>
      </w:rPr>
    </w:lvl>
    <w:lvl w:ilvl="4" w:tplc="6C36AF76">
      <w:start w:val="1"/>
      <w:numFmt w:val="bullet"/>
      <w:lvlText w:val="o"/>
      <w:lvlJc w:val="left"/>
      <w:pPr>
        <w:ind w:left="3600" w:hanging="360"/>
      </w:pPr>
      <w:rPr>
        <w:rFonts w:ascii="Courier New" w:hAnsi="Courier New" w:hint="default"/>
      </w:rPr>
    </w:lvl>
    <w:lvl w:ilvl="5" w:tplc="D804AE3E">
      <w:start w:val="1"/>
      <w:numFmt w:val="bullet"/>
      <w:lvlText w:val=""/>
      <w:lvlJc w:val="left"/>
      <w:pPr>
        <w:ind w:left="4320" w:hanging="360"/>
      </w:pPr>
      <w:rPr>
        <w:rFonts w:ascii="Wingdings" w:hAnsi="Wingdings" w:hint="default"/>
      </w:rPr>
    </w:lvl>
    <w:lvl w:ilvl="6" w:tplc="068458D0">
      <w:start w:val="1"/>
      <w:numFmt w:val="bullet"/>
      <w:lvlText w:val=""/>
      <w:lvlJc w:val="left"/>
      <w:pPr>
        <w:ind w:left="5040" w:hanging="360"/>
      </w:pPr>
      <w:rPr>
        <w:rFonts w:ascii="Symbol" w:hAnsi="Symbol" w:hint="default"/>
      </w:rPr>
    </w:lvl>
    <w:lvl w:ilvl="7" w:tplc="BF861E80">
      <w:start w:val="1"/>
      <w:numFmt w:val="bullet"/>
      <w:lvlText w:val="o"/>
      <w:lvlJc w:val="left"/>
      <w:pPr>
        <w:ind w:left="5760" w:hanging="360"/>
      </w:pPr>
      <w:rPr>
        <w:rFonts w:ascii="Courier New" w:hAnsi="Courier New" w:hint="default"/>
      </w:rPr>
    </w:lvl>
    <w:lvl w:ilvl="8" w:tplc="555AB720">
      <w:start w:val="1"/>
      <w:numFmt w:val="bullet"/>
      <w:lvlText w:val=""/>
      <w:lvlJc w:val="left"/>
      <w:pPr>
        <w:ind w:left="6480" w:hanging="360"/>
      </w:pPr>
      <w:rPr>
        <w:rFonts w:ascii="Wingdings" w:hAnsi="Wingdings" w:hint="default"/>
      </w:rPr>
    </w:lvl>
  </w:abstractNum>
  <w:abstractNum w:abstractNumId="50" w15:restartNumberingAfterBreak="0">
    <w:nsid w:val="24051086"/>
    <w:multiLevelType w:val="multilevel"/>
    <w:tmpl w:val="1516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40F1997"/>
    <w:multiLevelType w:val="multilevel"/>
    <w:tmpl w:val="BD18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418712E"/>
    <w:multiLevelType w:val="hybridMultilevel"/>
    <w:tmpl w:val="7DA45F80"/>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24A05592"/>
    <w:multiLevelType w:val="multilevel"/>
    <w:tmpl w:val="016C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53C17A9"/>
    <w:multiLevelType w:val="multilevel"/>
    <w:tmpl w:val="ECBA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63C7947"/>
    <w:multiLevelType w:val="hybridMultilevel"/>
    <w:tmpl w:val="CFA22ECE"/>
    <w:lvl w:ilvl="0" w:tplc="F37C6664">
      <w:start w:val="1"/>
      <w:numFmt w:val="bullet"/>
      <w:lvlText w:val=""/>
      <w:lvlJc w:val="left"/>
      <w:pPr>
        <w:ind w:left="1080" w:hanging="360"/>
      </w:pPr>
      <w:rPr>
        <w:rFonts w:ascii="Symbol" w:hAnsi="Symbol" w:hint="default"/>
      </w:rPr>
    </w:lvl>
    <w:lvl w:ilvl="1" w:tplc="A4167CC6" w:tentative="1">
      <w:start w:val="1"/>
      <w:numFmt w:val="bullet"/>
      <w:lvlText w:val="o"/>
      <w:lvlJc w:val="left"/>
      <w:pPr>
        <w:ind w:left="1800" w:hanging="360"/>
      </w:pPr>
      <w:rPr>
        <w:rFonts w:ascii="Courier New" w:hAnsi="Courier New" w:hint="default"/>
      </w:rPr>
    </w:lvl>
    <w:lvl w:ilvl="2" w:tplc="3B44E884" w:tentative="1">
      <w:start w:val="1"/>
      <w:numFmt w:val="bullet"/>
      <w:lvlText w:val=""/>
      <w:lvlJc w:val="left"/>
      <w:pPr>
        <w:ind w:left="2520" w:hanging="360"/>
      </w:pPr>
      <w:rPr>
        <w:rFonts w:ascii="Wingdings" w:hAnsi="Wingdings" w:hint="default"/>
      </w:rPr>
    </w:lvl>
    <w:lvl w:ilvl="3" w:tplc="A61C2E94" w:tentative="1">
      <w:start w:val="1"/>
      <w:numFmt w:val="bullet"/>
      <w:lvlText w:val=""/>
      <w:lvlJc w:val="left"/>
      <w:pPr>
        <w:ind w:left="3240" w:hanging="360"/>
      </w:pPr>
      <w:rPr>
        <w:rFonts w:ascii="Symbol" w:hAnsi="Symbol" w:hint="default"/>
      </w:rPr>
    </w:lvl>
    <w:lvl w:ilvl="4" w:tplc="56CEAA66" w:tentative="1">
      <w:start w:val="1"/>
      <w:numFmt w:val="bullet"/>
      <w:lvlText w:val="o"/>
      <w:lvlJc w:val="left"/>
      <w:pPr>
        <w:ind w:left="3960" w:hanging="360"/>
      </w:pPr>
      <w:rPr>
        <w:rFonts w:ascii="Courier New" w:hAnsi="Courier New" w:hint="default"/>
      </w:rPr>
    </w:lvl>
    <w:lvl w:ilvl="5" w:tplc="8E6643C6" w:tentative="1">
      <w:start w:val="1"/>
      <w:numFmt w:val="bullet"/>
      <w:lvlText w:val=""/>
      <w:lvlJc w:val="left"/>
      <w:pPr>
        <w:ind w:left="4680" w:hanging="360"/>
      </w:pPr>
      <w:rPr>
        <w:rFonts w:ascii="Wingdings" w:hAnsi="Wingdings" w:hint="default"/>
      </w:rPr>
    </w:lvl>
    <w:lvl w:ilvl="6" w:tplc="6130D9E2" w:tentative="1">
      <w:start w:val="1"/>
      <w:numFmt w:val="bullet"/>
      <w:lvlText w:val=""/>
      <w:lvlJc w:val="left"/>
      <w:pPr>
        <w:ind w:left="5400" w:hanging="360"/>
      </w:pPr>
      <w:rPr>
        <w:rFonts w:ascii="Symbol" w:hAnsi="Symbol" w:hint="default"/>
      </w:rPr>
    </w:lvl>
    <w:lvl w:ilvl="7" w:tplc="56487CA0" w:tentative="1">
      <w:start w:val="1"/>
      <w:numFmt w:val="bullet"/>
      <w:lvlText w:val="o"/>
      <w:lvlJc w:val="left"/>
      <w:pPr>
        <w:ind w:left="6120" w:hanging="360"/>
      </w:pPr>
      <w:rPr>
        <w:rFonts w:ascii="Courier New" w:hAnsi="Courier New" w:hint="default"/>
      </w:rPr>
    </w:lvl>
    <w:lvl w:ilvl="8" w:tplc="9B3604B4" w:tentative="1">
      <w:start w:val="1"/>
      <w:numFmt w:val="bullet"/>
      <w:lvlText w:val=""/>
      <w:lvlJc w:val="left"/>
      <w:pPr>
        <w:ind w:left="6840" w:hanging="360"/>
      </w:pPr>
      <w:rPr>
        <w:rFonts w:ascii="Wingdings" w:hAnsi="Wingdings" w:hint="default"/>
      </w:rPr>
    </w:lvl>
  </w:abstractNum>
  <w:abstractNum w:abstractNumId="56" w15:restartNumberingAfterBreak="0">
    <w:nsid w:val="270935A1"/>
    <w:multiLevelType w:val="multilevel"/>
    <w:tmpl w:val="3C7E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81A30A7"/>
    <w:multiLevelType w:val="hybridMultilevel"/>
    <w:tmpl w:val="49E2B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28BE4BEA"/>
    <w:multiLevelType w:val="multilevel"/>
    <w:tmpl w:val="18EEA9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93C26D2"/>
    <w:multiLevelType w:val="multilevel"/>
    <w:tmpl w:val="913C4C16"/>
    <w:lvl w:ilvl="0">
      <w:start w:val="1"/>
      <w:numFmt w:val="decimal"/>
      <w:lvlText w:val="%1."/>
      <w:lvlJc w:val="left"/>
      <w:pPr>
        <w:tabs>
          <w:tab w:val="num" w:pos="720"/>
        </w:tabs>
        <w:ind w:left="720" w:hanging="360"/>
      </w:pPr>
      <w:rPr>
        <w:rFont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B55061C"/>
    <w:multiLevelType w:val="hybridMultilevel"/>
    <w:tmpl w:val="0E44858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2B9A693B"/>
    <w:multiLevelType w:val="multilevel"/>
    <w:tmpl w:val="A194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BC2639A"/>
    <w:multiLevelType w:val="hybridMultilevel"/>
    <w:tmpl w:val="B3124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2C1C760D"/>
    <w:multiLevelType w:val="multilevel"/>
    <w:tmpl w:val="4F1A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C817E5A"/>
    <w:multiLevelType w:val="hybridMultilevel"/>
    <w:tmpl w:val="44562A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2D72283D"/>
    <w:multiLevelType w:val="multilevel"/>
    <w:tmpl w:val="F208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EA9500A"/>
    <w:multiLevelType w:val="multilevel"/>
    <w:tmpl w:val="C7CC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ED14346"/>
    <w:multiLevelType w:val="hybridMultilevel"/>
    <w:tmpl w:val="3412E330"/>
    <w:lvl w:ilvl="0" w:tplc="4712F9BE">
      <w:start w:val="1"/>
      <w:numFmt w:val="bullet"/>
      <w:lvlText w:val=""/>
      <w:lvlJc w:val="left"/>
      <w:pPr>
        <w:ind w:left="1800" w:hanging="360"/>
      </w:pPr>
      <w:rPr>
        <w:rFonts w:ascii="Symbol" w:hAnsi="Symbol"/>
      </w:rPr>
    </w:lvl>
    <w:lvl w:ilvl="1" w:tplc="81A03F5C">
      <w:start w:val="1"/>
      <w:numFmt w:val="bullet"/>
      <w:lvlText w:val=""/>
      <w:lvlJc w:val="left"/>
      <w:pPr>
        <w:ind w:left="1800" w:hanging="360"/>
      </w:pPr>
      <w:rPr>
        <w:rFonts w:ascii="Symbol" w:hAnsi="Symbol"/>
      </w:rPr>
    </w:lvl>
    <w:lvl w:ilvl="2" w:tplc="2778778A">
      <w:start w:val="1"/>
      <w:numFmt w:val="bullet"/>
      <w:lvlText w:val=""/>
      <w:lvlJc w:val="left"/>
      <w:pPr>
        <w:ind w:left="1800" w:hanging="360"/>
      </w:pPr>
      <w:rPr>
        <w:rFonts w:ascii="Symbol" w:hAnsi="Symbol"/>
      </w:rPr>
    </w:lvl>
    <w:lvl w:ilvl="3" w:tplc="56E032D6">
      <w:start w:val="1"/>
      <w:numFmt w:val="bullet"/>
      <w:lvlText w:val=""/>
      <w:lvlJc w:val="left"/>
      <w:pPr>
        <w:ind w:left="1800" w:hanging="360"/>
      </w:pPr>
      <w:rPr>
        <w:rFonts w:ascii="Symbol" w:hAnsi="Symbol"/>
      </w:rPr>
    </w:lvl>
    <w:lvl w:ilvl="4" w:tplc="92BCCBD6">
      <w:start w:val="1"/>
      <w:numFmt w:val="bullet"/>
      <w:lvlText w:val=""/>
      <w:lvlJc w:val="left"/>
      <w:pPr>
        <w:ind w:left="1800" w:hanging="360"/>
      </w:pPr>
      <w:rPr>
        <w:rFonts w:ascii="Symbol" w:hAnsi="Symbol"/>
      </w:rPr>
    </w:lvl>
    <w:lvl w:ilvl="5" w:tplc="5F1C4114">
      <w:start w:val="1"/>
      <w:numFmt w:val="bullet"/>
      <w:lvlText w:val=""/>
      <w:lvlJc w:val="left"/>
      <w:pPr>
        <w:ind w:left="1800" w:hanging="360"/>
      </w:pPr>
      <w:rPr>
        <w:rFonts w:ascii="Symbol" w:hAnsi="Symbol"/>
      </w:rPr>
    </w:lvl>
    <w:lvl w:ilvl="6" w:tplc="E68069C4">
      <w:start w:val="1"/>
      <w:numFmt w:val="bullet"/>
      <w:lvlText w:val=""/>
      <w:lvlJc w:val="left"/>
      <w:pPr>
        <w:ind w:left="1800" w:hanging="360"/>
      </w:pPr>
      <w:rPr>
        <w:rFonts w:ascii="Symbol" w:hAnsi="Symbol"/>
      </w:rPr>
    </w:lvl>
    <w:lvl w:ilvl="7" w:tplc="ED7C5F4A">
      <w:start w:val="1"/>
      <w:numFmt w:val="bullet"/>
      <w:lvlText w:val=""/>
      <w:lvlJc w:val="left"/>
      <w:pPr>
        <w:ind w:left="1800" w:hanging="360"/>
      </w:pPr>
      <w:rPr>
        <w:rFonts w:ascii="Symbol" w:hAnsi="Symbol"/>
      </w:rPr>
    </w:lvl>
    <w:lvl w:ilvl="8" w:tplc="242C050E">
      <w:start w:val="1"/>
      <w:numFmt w:val="bullet"/>
      <w:lvlText w:val=""/>
      <w:lvlJc w:val="left"/>
      <w:pPr>
        <w:ind w:left="1800" w:hanging="360"/>
      </w:pPr>
      <w:rPr>
        <w:rFonts w:ascii="Symbol" w:hAnsi="Symbol"/>
      </w:rPr>
    </w:lvl>
  </w:abstractNum>
  <w:abstractNum w:abstractNumId="68" w15:restartNumberingAfterBreak="0">
    <w:nsid w:val="2EF118AC"/>
    <w:multiLevelType w:val="hybridMultilevel"/>
    <w:tmpl w:val="6FE05F8E"/>
    <w:lvl w:ilvl="0" w:tplc="1E66B726">
      <w:start w:val="1"/>
      <w:numFmt w:val="decimal"/>
      <w:lvlText w:val="%1)"/>
      <w:lvlJc w:val="left"/>
      <w:pPr>
        <w:ind w:left="720" w:hanging="360"/>
      </w:pPr>
    </w:lvl>
    <w:lvl w:ilvl="1" w:tplc="C742BE06">
      <w:start w:val="1"/>
      <w:numFmt w:val="decimal"/>
      <w:lvlText w:val="%2)"/>
      <w:lvlJc w:val="left"/>
      <w:pPr>
        <w:ind w:left="720" w:hanging="360"/>
      </w:pPr>
    </w:lvl>
    <w:lvl w:ilvl="2" w:tplc="91AC1E9A">
      <w:start w:val="1"/>
      <w:numFmt w:val="decimal"/>
      <w:lvlText w:val="%3)"/>
      <w:lvlJc w:val="left"/>
      <w:pPr>
        <w:ind w:left="720" w:hanging="360"/>
      </w:pPr>
    </w:lvl>
    <w:lvl w:ilvl="3" w:tplc="68C25D9E">
      <w:start w:val="1"/>
      <w:numFmt w:val="decimal"/>
      <w:lvlText w:val="%4)"/>
      <w:lvlJc w:val="left"/>
      <w:pPr>
        <w:ind w:left="720" w:hanging="360"/>
      </w:pPr>
    </w:lvl>
    <w:lvl w:ilvl="4" w:tplc="DCCE8FBA">
      <w:start w:val="1"/>
      <w:numFmt w:val="decimal"/>
      <w:lvlText w:val="%5)"/>
      <w:lvlJc w:val="left"/>
      <w:pPr>
        <w:ind w:left="720" w:hanging="360"/>
      </w:pPr>
    </w:lvl>
    <w:lvl w:ilvl="5" w:tplc="5AE20926">
      <w:start w:val="1"/>
      <w:numFmt w:val="decimal"/>
      <w:lvlText w:val="%6)"/>
      <w:lvlJc w:val="left"/>
      <w:pPr>
        <w:ind w:left="720" w:hanging="360"/>
      </w:pPr>
    </w:lvl>
    <w:lvl w:ilvl="6" w:tplc="500E7D5A">
      <w:start w:val="1"/>
      <w:numFmt w:val="decimal"/>
      <w:lvlText w:val="%7)"/>
      <w:lvlJc w:val="left"/>
      <w:pPr>
        <w:ind w:left="720" w:hanging="360"/>
      </w:pPr>
    </w:lvl>
    <w:lvl w:ilvl="7" w:tplc="8998318E">
      <w:start w:val="1"/>
      <w:numFmt w:val="decimal"/>
      <w:lvlText w:val="%8)"/>
      <w:lvlJc w:val="left"/>
      <w:pPr>
        <w:ind w:left="720" w:hanging="360"/>
      </w:pPr>
    </w:lvl>
    <w:lvl w:ilvl="8" w:tplc="6EECE5FE">
      <w:start w:val="1"/>
      <w:numFmt w:val="decimal"/>
      <w:lvlText w:val="%9)"/>
      <w:lvlJc w:val="left"/>
      <w:pPr>
        <w:ind w:left="720" w:hanging="360"/>
      </w:pPr>
    </w:lvl>
  </w:abstractNum>
  <w:abstractNum w:abstractNumId="69" w15:restartNumberingAfterBreak="0">
    <w:nsid w:val="2F7258F0"/>
    <w:multiLevelType w:val="multilevel"/>
    <w:tmpl w:val="1EF4C3C8"/>
    <w:lvl w:ilvl="0">
      <w:start w:val="1"/>
      <w:numFmt w:val="decimal"/>
      <w:lvlText w:val="%1."/>
      <w:lvlJc w:val="left"/>
      <w:pPr>
        <w:ind w:left="340" w:hanging="340"/>
      </w:pPr>
    </w:lvl>
    <w:lvl w:ilvl="1">
      <w:start w:val="1"/>
      <w:numFmt w:val="lowerLetter"/>
      <w:lvlText w:val="(%2)"/>
      <w:lvlJc w:val="left"/>
      <w:pPr>
        <w:tabs>
          <w:tab w:val="num" w:pos="340"/>
        </w:tabs>
        <w:ind w:left="680" w:hanging="340"/>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70" w15:restartNumberingAfterBreak="0">
    <w:nsid w:val="303F2F51"/>
    <w:multiLevelType w:val="multilevel"/>
    <w:tmpl w:val="EDDA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11521EE"/>
    <w:multiLevelType w:val="multilevel"/>
    <w:tmpl w:val="C9123C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1862A01"/>
    <w:multiLevelType w:val="multilevel"/>
    <w:tmpl w:val="6B88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2243F21"/>
    <w:multiLevelType w:val="hybridMultilevel"/>
    <w:tmpl w:val="250A7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324005F5"/>
    <w:multiLevelType w:val="multilevel"/>
    <w:tmpl w:val="4D36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2744313"/>
    <w:multiLevelType w:val="multilevel"/>
    <w:tmpl w:val="FC94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2E66CD3"/>
    <w:multiLevelType w:val="multilevel"/>
    <w:tmpl w:val="4D34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3685314"/>
    <w:multiLevelType w:val="multilevel"/>
    <w:tmpl w:val="09E86EE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ourier New" w:hAnsi="Courier New" w:hint="default"/>
      </w:rPr>
    </w:lvl>
    <w:lvl w:ilvl="2">
      <w:start w:val="1"/>
      <w:numFmt w:val="bullet"/>
      <w:lvlText w:val="-"/>
      <w:lvlJc w:val="left"/>
      <w:pPr>
        <w:ind w:left="720" w:hanging="360"/>
      </w:pPr>
      <w:rPr>
        <w:rFonts w:ascii="Arial" w:eastAsiaTheme="minorEastAsia" w:hAnsi="Arial" w:cs="Arial" w:hint="default"/>
      </w:rPr>
    </w:lvl>
    <w:lvl w:ilvl="3">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8" w15:restartNumberingAfterBreak="0">
    <w:nsid w:val="36941212"/>
    <w:multiLevelType w:val="multilevel"/>
    <w:tmpl w:val="02F6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6F62AF6"/>
    <w:multiLevelType w:val="hybridMultilevel"/>
    <w:tmpl w:val="57F83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38240395"/>
    <w:multiLevelType w:val="multilevel"/>
    <w:tmpl w:val="171A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93615B0"/>
    <w:multiLevelType w:val="multilevel"/>
    <w:tmpl w:val="F27293EC"/>
    <w:name w:val="List num2"/>
    <w:lvl w:ilvl="0">
      <w:start w:val="1"/>
      <w:numFmt w:val="decimal"/>
      <w:suff w:val="space"/>
      <w:lvlText w:val="Section %1.0"/>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82" w15:restartNumberingAfterBreak="0">
    <w:nsid w:val="397F01AA"/>
    <w:multiLevelType w:val="multilevel"/>
    <w:tmpl w:val="1346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A2130A6"/>
    <w:multiLevelType w:val="hybridMultilevel"/>
    <w:tmpl w:val="E2D224FE"/>
    <w:lvl w:ilvl="0" w:tplc="2C843C50">
      <w:start w:val="1"/>
      <w:numFmt w:val="bullet"/>
      <w:lvlText w:val=""/>
      <w:lvlJc w:val="left"/>
      <w:pPr>
        <w:ind w:left="1080" w:hanging="360"/>
      </w:pPr>
      <w:rPr>
        <w:rFonts w:ascii="Symbol" w:hAnsi="Symbol" w:hint="default"/>
      </w:rPr>
    </w:lvl>
    <w:lvl w:ilvl="1" w:tplc="332C8712" w:tentative="1">
      <w:start w:val="1"/>
      <w:numFmt w:val="bullet"/>
      <w:lvlText w:val="o"/>
      <w:lvlJc w:val="left"/>
      <w:pPr>
        <w:ind w:left="1800" w:hanging="360"/>
      </w:pPr>
      <w:rPr>
        <w:rFonts w:ascii="Courier New" w:hAnsi="Courier New" w:hint="default"/>
      </w:rPr>
    </w:lvl>
    <w:lvl w:ilvl="2" w:tplc="433CD9DA" w:tentative="1">
      <w:start w:val="1"/>
      <w:numFmt w:val="bullet"/>
      <w:lvlText w:val=""/>
      <w:lvlJc w:val="left"/>
      <w:pPr>
        <w:ind w:left="2520" w:hanging="360"/>
      </w:pPr>
      <w:rPr>
        <w:rFonts w:ascii="Wingdings" w:hAnsi="Wingdings" w:hint="default"/>
      </w:rPr>
    </w:lvl>
    <w:lvl w:ilvl="3" w:tplc="349A66A6" w:tentative="1">
      <w:start w:val="1"/>
      <w:numFmt w:val="bullet"/>
      <w:lvlText w:val=""/>
      <w:lvlJc w:val="left"/>
      <w:pPr>
        <w:ind w:left="3240" w:hanging="360"/>
      </w:pPr>
      <w:rPr>
        <w:rFonts w:ascii="Symbol" w:hAnsi="Symbol" w:hint="default"/>
      </w:rPr>
    </w:lvl>
    <w:lvl w:ilvl="4" w:tplc="7E6ED814" w:tentative="1">
      <w:start w:val="1"/>
      <w:numFmt w:val="bullet"/>
      <w:lvlText w:val="o"/>
      <w:lvlJc w:val="left"/>
      <w:pPr>
        <w:ind w:left="3960" w:hanging="360"/>
      </w:pPr>
      <w:rPr>
        <w:rFonts w:ascii="Courier New" w:hAnsi="Courier New" w:hint="default"/>
      </w:rPr>
    </w:lvl>
    <w:lvl w:ilvl="5" w:tplc="F500BECE" w:tentative="1">
      <w:start w:val="1"/>
      <w:numFmt w:val="bullet"/>
      <w:lvlText w:val=""/>
      <w:lvlJc w:val="left"/>
      <w:pPr>
        <w:ind w:left="4680" w:hanging="360"/>
      </w:pPr>
      <w:rPr>
        <w:rFonts w:ascii="Wingdings" w:hAnsi="Wingdings" w:hint="default"/>
      </w:rPr>
    </w:lvl>
    <w:lvl w:ilvl="6" w:tplc="57165470" w:tentative="1">
      <w:start w:val="1"/>
      <w:numFmt w:val="bullet"/>
      <w:lvlText w:val=""/>
      <w:lvlJc w:val="left"/>
      <w:pPr>
        <w:ind w:left="5400" w:hanging="360"/>
      </w:pPr>
      <w:rPr>
        <w:rFonts w:ascii="Symbol" w:hAnsi="Symbol" w:hint="default"/>
      </w:rPr>
    </w:lvl>
    <w:lvl w:ilvl="7" w:tplc="A3C41C7C" w:tentative="1">
      <w:start w:val="1"/>
      <w:numFmt w:val="bullet"/>
      <w:lvlText w:val="o"/>
      <w:lvlJc w:val="left"/>
      <w:pPr>
        <w:ind w:left="6120" w:hanging="360"/>
      </w:pPr>
      <w:rPr>
        <w:rFonts w:ascii="Courier New" w:hAnsi="Courier New" w:hint="default"/>
      </w:rPr>
    </w:lvl>
    <w:lvl w:ilvl="8" w:tplc="27B48148" w:tentative="1">
      <w:start w:val="1"/>
      <w:numFmt w:val="bullet"/>
      <w:lvlText w:val=""/>
      <w:lvlJc w:val="left"/>
      <w:pPr>
        <w:ind w:left="6840" w:hanging="360"/>
      </w:pPr>
      <w:rPr>
        <w:rFonts w:ascii="Wingdings" w:hAnsi="Wingdings" w:hint="default"/>
      </w:rPr>
    </w:lvl>
  </w:abstractNum>
  <w:abstractNum w:abstractNumId="84" w15:restartNumberingAfterBreak="0">
    <w:nsid w:val="3A615E06"/>
    <w:multiLevelType w:val="multilevel"/>
    <w:tmpl w:val="C67C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C0E282E"/>
    <w:multiLevelType w:val="hybridMultilevel"/>
    <w:tmpl w:val="BF94278E"/>
    <w:lvl w:ilvl="0" w:tplc="FFFFFFFF">
      <w:start w:val="1"/>
      <w:numFmt w:val="decimal"/>
      <w:lvlText w:val="%1."/>
      <w:lvlJc w:val="left"/>
      <w:pPr>
        <w:ind w:left="720" w:hanging="360"/>
      </w:pPr>
      <w:rPr>
        <w:b/>
        <w:bCs/>
      </w:rPr>
    </w:lvl>
    <w:lvl w:ilvl="1" w:tplc="0C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3CB029EE"/>
    <w:multiLevelType w:val="multilevel"/>
    <w:tmpl w:val="56404D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3CFA78F8"/>
    <w:multiLevelType w:val="hybridMultilevel"/>
    <w:tmpl w:val="465E18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8" w15:restartNumberingAfterBreak="0">
    <w:nsid w:val="3D023BB9"/>
    <w:multiLevelType w:val="hybridMultilevel"/>
    <w:tmpl w:val="1DCEC8A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9" w15:restartNumberingAfterBreak="0">
    <w:nsid w:val="3E2EE002"/>
    <w:multiLevelType w:val="hybridMultilevel"/>
    <w:tmpl w:val="FFFFFFFF"/>
    <w:lvl w:ilvl="0" w:tplc="7010A600">
      <w:start w:val="1"/>
      <w:numFmt w:val="bullet"/>
      <w:lvlText w:val="·"/>
      <w:lvlJc w:val="left"/>
      <w:pPr>
        <w:ind w:left="720" w:hanging="360"/>
      </w:pPr>
      <w:rPr>
        <w:rFonts w:ascii="Symbol" w:hAnsi="Symbol" w:hint="default"/>
      </w:rPr>
    </w:lvl>
    <w:lvl w:ilvl="1" w:tplc="0204AC54">
      <w:start w:val="1"/>
      <w:numFmt w:val="bullet"/>
      <w:lvlText w:val="o"/>
      <w:lvlJc w:val="left"/>
      <w:pPr>
        <w:ind w:left="1440" w:hanging="360"/>
      </w:pPr>
      <w:rPr>
        <w:rFonts w:ascii="Courier New" w:hAnsi="Courier New" w:hint="default"/>
      </w:rPr>
    </w:lvl>
    <w:lvl w:ilvl="2" w:tplc="A5C0389E">
      <w:start w:val="1"/>
      <w:numFmt w:val="bullet"/>
      <w:lvlText w:val=""/>
      <w:lvlJc w:val="left"/>
      <w:pPr>
        <w:ind w:left="2160" w:hanging="360"/>
      </w:pPr>
      <w:rPr>
        <w:rFonts w:ascii="Wingdings" w:hAnsi="Wingdings" w:hint="default"/>
      </w:rPr>
    </w:lvl>
    <w:lvl w:ilvl="3" w:tplc="575A89EA">
      <w:start w:val="1"/>
      <w:numFmt w:val="bullet"/>
      <w:lvlText w:val=""/>
      <w:lvlJc w:val="left"/>
      <w:pPr>
        <w:ind w:left="2880" w:hanging="360"/>
      </w:pPr>
      <w:rPr>
        <w:rFonts w:ascii="Symbol" w:hAnsi="Symbol" w:hint="default"/>
      </w:rPr>
    </w:lvl>
    <w:lvl w:ilvl="4" w:tplc="691852BA">
      <w:start w:val="1"/>
      <w:numFmt w:val="bullet"/>
      <w:lvlText w:val="o"/>
      <w:lvlJc w:val="left"/>
      <w:pPr>
        <w:ind w:left="3600" w:hanging="360"/>
      </w:pPr>
      <w:rPr>
        <w:rFonts w:ascii="Courier New" w:hAnsi="Courier New" w:hint="default"/>
      </w:rPr>
    </w:lvl>
    <w:lvl w:ilvl="5" w:tplc="0A604F02">
      <w:start w:val="1"/>
      <w:numFmt w:val="bullet"/>
      <w:lvlText w:val=""/>
      <w:lvlJc w:val="left"/>
      <w:pPr>
        <w:ind w:left="4320" w:hanging="360"/>
      </w:pPr>
      <w:rPr>
        <w:rFonts w:ascii="Wingdings" w:hAnsi="Wingdings" w:hint="default"/>
      </w:rPr>
    </w:lvl>
    <w:lvl w:ilvl="6" w:tplc="5BF08D1C">
      <w:start w:val="1"/>
      <w:numFmt w:val="bullet"/>
      <w:lvlText w:val=""/>
      <w:lvlJc w:val="left"/>
      <w:pPr>
        <w:ind w:left="5040" w:hanging="360"/>
      </w:pPr>
      <w:rPr>
        <w:rFonts w:ascii="Symbol" w:hAnsi="Symbol" w:hint="default"/>
      </w:rPr>
    </w:lvl>
    <w:lvl w:ilvl="7" w:tplc="DBEC8C14">
      <w:start w:val="1"/>
      <w:numFmt w:val="bullet"/>
      <w:lvlText w:val="o"/>
      <w:lvlJc w:val="left"/>
      <w:pPr>
        <w:ind w:left="5760" w:hanging="360"/>
      </w:pPr>
      <w:rPr>
        <w:rFonts w:ascii="Courier New" w:hAnsi="Courier New" w:hint="default"/>
      </w:rPr>
    </w:lvl>
    <w:lvl w:ilvl="8" w:tplc="76E6C110">
      <w:start w:val="1"/>
      <w:numFmt w:val="bullet"/>
      <w:lvlText w:val=""/>
      <w:lvlJc w:val="left"/>
      <w:pPr>
        <w:ind w:left="6480" w:hanging="360"/>
      </w:pPr>
      <w:rPr>
        <w:rFonts w:ascii="Wingdings" w:hAnsi="Wingdings" w:hint="default"/>
      </w:rPr>
    </w:lvl>
  </w:abstractNum>
  <w:abstractNum w:abstractNumId="90" w15:restartNumberingAfterBreak="0">
    <w:nsid w:val="3E592226"/>
    <w:multiLevelType w:val="multilevel"/>
    <w:tmpl w:val="AA1E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E6C68D4"/>
    <w:multiLevelType w:val="multilevel"/>
    <w:tmpl w:val="103AD50E"/>
    <w:lvl w:ilvl="0">
      <w:start w:val="1"/>
      <w:numFmt w:val="bullet"/>
      <w:lvlText w:val=""/>
      <w:lvlJc w:val="left"/>
      <w:pPr>
        <w:ind w:left="680" w:hanging="283"/>
      </w:pPr>
      <w:rPr>
        <w:rFonts w:ascii="Symbol" w:hAnsi="Symbol" w:hint="default"/>
        <w:color w:val="auto"/>
      </w:rPr>
    </w:lvl>
    <w:lvl w:ilvl="1">
      <w:start w:val="1"/>
      <w:numFmt w:val="bullet"/>
      <w:lvlRestart w:val="0"/>
      <w:pStyle w:val="SCVquotebullet2"/>
      <w:lvlText w:val="–"/>
      <w:lvlJc w:val="left"/>
      <w:pPr>
        <w:ind w:left="964" w:hanging="284"/>
      </w:pPr>
      <w:rPr>
        <w:rFonts w:ascii="Calibri" w:hAnsi="Calibri" w:hint="default"/>
        <w:color w:val="007586" w:themeColor="text2"/>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92" w15:restartNumberingAfterBreak="0">
    <w:nsid w:val="3E9E000C"/>
    <w:multiLevelType w:val="multilevel"/>
    <w:tmpl w:val="E0C0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EAC1ED8"/>
    <w:multiLevelType w:val="multilevel"/>
    <w:tmpl w:val="E548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ED82812"/>
    <w:multiLevelType w:val="multilevel"/>
    <w:tmpl w:val="E8D2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95" w15:restartNumberingAfterBreak="0">
    <w:nsid w:val="3F04342D"/>
    <w:multiLevelType w:val="hybridMultilevel"/>
    <w:tmpl w:val="B322C1FE"/>
    <w:lvl w:ilvl="0" w:tplc="0C09001B">
      <w:start w:val="1"/>
      <w:numFmt w:val="lowerRoman"/>
      <w:lvlText w:val="%1."/>
      <w:lvlJc w:val="right"/>
      <w:pPr>
        <w:ind w:left="1572" w:hanging="360"/>
      </w:pPr>
    </w:lvl>
    <w:lvl w:ilvl="1" w:tplc="0C09001B">
      <w:start w:val="1"/>
      <w:numFmt w:val="lowerRoman"/>
      <w:lvlText w:val="%2."/>
      <w:lvlJc w:val="right"/>
      <w:pPr>
        <w:ind w:left="2292" w:hanging="360"/>
      </w:pPr>
    </w:lvl>
    <w:lvl w:ilvl="2" w:tplc="0C09001B">
      <w:start w:val="1"/>
      <w:numFmt w:val="lowerRoman"/>
      <w:lvlText w:val="%3."/>
      <w:lvlJc w:val="right"/>
      <w:pPr>
        <w:ind w:left="3012" w:hanging="180"/>
      </w:pPr>
    </w:lvl>
    <w:lvl w:ilvl="3" w:tplc="0C09000F">
      <w:start w:val="1"/>
      <w:numFmt w:val="decimal"/>
      <w:lvlText w:val="%4."/>
      <w:lvlJc w:val="left"/>
      <w:pPr>
        <w:ind w:left="3732" w:hanging="360"/>
      </w:pPr>
    </w:lvl>
    <w:lvl w:ilvl="4" w:tplc="0C090019">
      <w:start w:val="1"/>
      <w:numFmt w:val="lowerLetter"/>
      <w:lvlText w:val="%5."/>
      <w:lvlJc w:val="left"/>
      <w:pPr>
        <w:ind w:left="4452" w:hanging="360"/>
      </w:pPr>
    </w:lvl>
    <w:lvl w:ilvl="5" w:tplc="0C09001B">
      <w:start w:val="1"/>
      <w:numFmt w:val="lowerRoman"/>
      <w:lvlText w:val="%6."/>
      <w:lvlJc w:val="right"/>
      <w:pPr>
        <w:ind w:left="5172" w:hanging="180"/>
      </w:pPr>
    </w:lvl>
    <w:lvl w:ilvl="6" w:tplc="0C09000F">
      <w:start w:val="1"/>
      <w:numFmt w:val="decimal"/>
      <w:lvlText w:val="%7."/>
      <w:lvlJc w:val="left"/>
      <w:pPr>
        <w:ind w:left="5892" w:hanging="360"/>
      </w:pPr>
    </w:lvl>
    <w:lvl w:ilvl="7" w:tplc="0C090019">
      <w:start w:val="1"/>
      <w:numFmt w:val="lowerLetter"/>
      <w:lvlText w:val="%8."/>
      <w:lvlJc w:val="left"/>
      <w:pPr>
        <w:ind w:left="6612" w:hanging="360"/>
      </w:pPr>
    </w:lvl>
    <w:lvl w:ilvl="8" w:tplc="0C09001B">
      <w:start w:val="1"/>
      <w:numFmt w:val="lowerRoman"/>
      <w:lvlText w:val="%9."/>
      <w:lvlJc w:val="right"/>
      <w:pPr>
        <w:ind w:left="7332" w:hanging="180"/>
      </w:pPr>
    </w:lvl>
  </w:abstractNum>
  <w:abstractNum w:abstractNumId="96" w15:restartNumberingAfterBreak="0">
    <w:nsid w:val="3FD04F64"/>
    <w:multiLevelType w:val="hybridMultilevel"/>
    <w:tmpl w:val="CEC01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3FD64488"/>
    <w:multiLevelType w:val="multilevel"/>
    <w:tmpl w:val="8D10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0AB146F"/>
    <w:multiLevelType w:val="multilevel"/>
    <w:tmpl w:val="857EB430"/>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9" w15:restartNumberingAfterBreak="0">
    <w:nsid w:val="41790412"/>
    <w:multiLevelType w:val="multilevel"/>
    <w:tmpl w:val="B700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1F8055F"/>
    <w:multiLevelType w:val="hybridMultilevel"/>
    <w:tmpl w:val="8650257C"/>
    <w:lvl w:ilvl="0" w:tplc="39562682">
      <w:start w:val="1"/>
      <w:numFmt w:val="bullet"/>
      <w:lvlText w:val=""/>
      <w:lvlJc w:val="left"/>
      <w:pPr>
        <w:ind w:left="1080" w:hanging="360"/>
      </w:pPr>
      <w:rPr>
        <w:rFonts w:ascii="Symbol" w:hAnsi="Symbol" w:hint="default"/>
      </w:rPr>
    </w:lvl>
    <w:lvl w:ilvl="1" w:tplc="C150BB46" w:tentative="1">
      <w:start w:val="1"/>
      <w:numFmt w:val="bullet"/>
      <w:lvlText w:val="o"/>
      <w:lvlJc w:val="left"/>
      <w:pPr>
        <w:ind w:left="1800" w:hanging="360"/>
      </w:pPr>
      <w:rPr>
        <w:rFonts w:ascii="Courier New" w:hAnsi="Courier New" w:hint="default"/>
      </w:rPr>
    </w:lvl>
    <w:lvl w:ilvl="2" w:tplc="24B69CC4" w:tentative="1">
      <w:start w:val="1"/>
      <w:numFmt w:val="bullet"/>
      <w:lvlText w:val=""/>
      <w:lvlJc w:val="left"/>
      <w:pPr>
        <w:ind w:left="2520" w:hanging="360"/>
      </w:pPr>
      <w:rPr>
        <w:rFonts w:ascii="Wingdings" w:hAnsi="Wingdings" w:hint="default"/>
      </w:rPr>
    </w:lvl>
    <w:lvl w:ilvl="3" w:tplc="936E87AC" w:tentative="1">
      <w:start w:val="1"/>
      <w:numFmt w:val="bullet"/>
      <w:lvlText w:val=""/>
      <w:lvlJc w:val="left"/>
      <w:pPr>
        <w:ind w:left="3240" w:hanging="360"/>
      </w:pPr>
      <w:rPr>
        <w:rFonts w:ascii="Symbol" w:hAnsi="Symbol" w:hint="default"/>
      </w:rPr>
    </w:lvl>
    <w:lvl w:ilvl="4" w:tplc="648CE53A" w:tentative="1">
      <w:start w:val="1"/>
      <w:numFmt w:val="bullet"/>
      <w:lvlText w:val="o"/>
      <w:lvlJc w:val="left"/>
      <w:pPr>
        <w:ind w:left="3960" w:hanging="360"/>
      </w:pPr>
      <w:rPr>
        <w:rFonts w:ascii="Courier New" w:hAnsi="Courier New" w:hint="default"/>
      </w:rPr>
    </w:lvl>
    <w:lvl w:ilvl="5" w:tplc="7E20FFBA" w:tentative="1">
      <w:start w:val="1"/>
      <w:numFmt w:val="bullet"/>
      <w:lvlText w:val=""/>
      <w:lvlJc w:val="left"/>
      <w:pPr>
        <w:ind w:left="4680" w:hanging="360"/>
      </w:pPr>
      <w:rPr>
        <w:rFonts w:ascii="Wingdings" w:hAnsi="Wingdings" w:hint="default"/>
      </w:rPr>
    </w:lvl>
    <w:lvl w:ilvl="6" w:tplc="2158B570" w:tentative="1">
      <w:start w:val="1"/>
      <w:numFmt w:val="bullet"/>
      <w:lvlText w:val=""/>
      <w:lvlJc w:val="left"/>
      <w:pPr>
        <w:ind w:left="5400" w:hanging="360"/>
      </w:pPr>
      <w:rPr>
        <w:rFonts w:ascii="Symbol" w:hAnsi="Symbol" w:hint="default"/>
      </w:rPr>
    </w:lvl>
    <w:lvl w:ilvl="7" w:tplc="1FA8E28C" w:tentative="1">
      <w:start w:val="1"/>
      <w:numFmt w:val="bullet"/>
      <w:lvlText w:val="o"/>
      <w:lvlJc w:val="left"/>
      <w:pPr>
        <w:ind w:left="6120" w:hanging="360"/>
      </w:pPr>
      <w:rPr>
        <w:rFonts w:ascii="Courier New" w:hAnsi="Courier New" w:hint="default"/>
      </w:rPr>
    </w:lvl>
    <w:lvl w:ilvl="8" w:tplc="CCA08B74" w:tentative="1">
      <w:start w:val="1"/>
      <w:numFmt w:val="bullet"/>
      <w:lvlText w:val=""/>
      <w:lvlJc w:val="left"/>
      <w:pPr>
        <w:ind w:left="6840" w:hanging="360"/>
      </w:pPr>
      <w:rPr>
        <w:rFonts w:ascii="Wingdings" w:hAnsi="Wingdings" w:hint="default"/>
      </w:rPr>
    </w:lvl>
  </w:abstractNum>
  <w:abstractNum w:abstractNumId="101" w15:restartNumberingAfterBreak="0">
    <w:nsid w:val="42E04CE1"/>
    <w:multiLevelType w:val="multilevel"/>
    <w:tmpl w:val="1D9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4262A36"/>
    <w:multiLevelType w:val="multilevel"/>
    <w:tmpl w:val="47D2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4900AA8"/>
    <w:multiLevelType w:val="hybridMultilevel"/>
    <w:tmpl w:val="07EC2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44BB0CDB"/>
    <w:multiLevelType w:val="hybridMultilevel"/>
    <w:tmpl w:val="AC7EF0F2"/>
    <w:lvl w:ilvl="0" w:tplc="38AEDDDA">
      <w:start w:val="1"/>
      <w:numFmt w:val="bullet"/>
      <w:lvlText w:val=""/>
      <w:lvlJc w:val="left"/>
      <w:pPr>
        <w:ind w:left="1080" w:hanging="360"/>
      </w:pPr>
      <w:rPr>
        <w:rFonts w:ascii="Symbol" w:hAnsi="Symbol" w:hint="default"/>
      </w:rPr>
    </w:lvl>
    <w:lvl w:ilvl="1" w:tplc="ABF8C8B0" w:tentative="1">
      <w:start w:val="1"/>
      <w:numFmt w:val="bullet"/>
      <w:lvlText w:val="o"/>
      <w:lvlJc w:val="left"/>
      <w:pPr>
        <w:ind w:left="1800" w:hanging="360"/>
      </w:pPr>
      <w:rPr>
        <w:rFonts w:ascii="Courier New" w:hAnsi="Courier New" w:hint="default"/>
      </w:rPr>
    </w:lvl>
    <w:lvl w:ilvl="2" w:tplc="B240C8B6" w:tentative="1">
      <w:start w:val="1"/>
      <w:numFmt w:val="bullet"/>
      <w:lvlText w:val=""/>
      <w:lvlJc w:val="left"/>
      <w:pPr>
        <w:ind w:left="2520" w:hanging="360"/>
      </w:pPr>
      <w:rPr>
        <w:rFonts w:ascii="Wingdings" w:hAnsi="Wingdings" w:hint="default"/>
      </w:rPr>
    </w:lvl>
    <w:lvl w:ilvl="3" w:tplc="A8B839D0" w:tentative="1">
      <w:start w:val="1"/>
      <w:numFmt w:val="bullet"/>
      <w:lvlText w:val=""/>
      <w:lvlJc w:val="left"/>
      <w:pPr>
        <w:ind w:left="3240" w:hanging="360"/>
      </w:pPr>
      <w:rPr>
        <w:rFonts w:ascii="Symbol" w:hAnsi="Symbol" w:hint="default"/>
      </w:rPr>
    </w:lvl>
    <w:lvl w:ilvl="4" w:tplc="29B46CAA" w:tentative="1">
      <w:start w:val="1"/>
      <w:numFmt w:val="bullet"/>
      <w:lvlText w:val="o"/>
      <w:lvlJc w:val="left"/>
      <w:pPr>
        <w:ind w:left="3960" w:hanging="360"/>
      </w:pPr>
      <w:rPr>
        <w:rFonts w:ascii="Courier New" w:hAnsi="Courier New" w:hint="default"/>
      </w:rPr>
    </w:lvl>
    <w:lvl w:ilvl="5" w:tplc="38DCD660" w:tentative="1">
      <w:start w:val="1"/>
      <w:numFmt w:val="bullet"/>
      <w:lvlText w:val=""/>
      <w:lvlJc w:val="left"/>
      <w:pPr>
        <w:ind w:left="4680" w:hanging="360"/>
      </w:pPr>
      <w:rPr>
        <w:rFonts w:ascii="Wingdings" w:hAnsi="Wingdings" w:hint="default"/>
      </w:rPr>
    </w:lvl>
    <w:lvl w:ilvl="6" w:tplc="DECA7D38" w:tentative="1">
      <w:start w:val="1"/>
      <w:numFmt w:val="bullet"/>
      <w:lvlText w:val=""/>
      <w:lvlJc w:val="left"/>
      <w:pPr>
        <w:ind w:left="5400" w:hanging="360"/>
      </w:pPr>
      <w:rPr>
        <w:rFonts w:ascii="Symbol" w:hAnsi="Symbol" w:hint="default"/>
      </w:rPr>
    </w:lvl>
    <w:lvl w:ilvl="7" w:tplc="4E06D5E2" w:tentative="1">
      <w:start w:val="1"/>
      <w:numFmt w:val="bullet"/>
      <w:lvlText w:val="o"/>
      <w:lvlJc w:val="left"/>
      <w:pPr>
        <w:ind w:left="6120" w:hanging="360"/>
      </w:pPr>
      <w:rPr>
        <w:rFonts w:ascii="Courier New" w:hAnsi="Courier New" w:hint="default"/>
      </w:rPr>
    </w:lvl>
    <w:lvl w:ilvl="8" w:tplc="E9E0D7CA" w:tentative="1">
      <w:start w:val="1"/>
      <w:numFmt w:val="bullet"/>
      <w:lvlText w:val=""/>
      <w:lvlJc w:val="left"/>
      <w:pPr>
        <w:ind w:left="6840" w:hanging="360"/>
      </w:pPr>
      <w:rPr>
        <w:rFonts w:ascii="Wingdings" w:hAnsi="Wingdings" w:hint="default"/>
      </w:rPr>
    </w:lvl>
  </w:abstractNum>
  <w:abstractNum w:abstractNumId="105" w15:restartNumberingAfterBreak="0">
    <w:nsid w:val="45731B8A"/>
    <w:multiLevelType w:val="multilevel"/>
    <w:tmpl w:val="A556449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6" w15:restartNumberingAfterBreak="0">
    <w:nsid w:val="4585302A"/>
    <w:multiLevelType w:val="hybridMultilevel"/>
    <w:tmpl w:val="E3049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45E47AB0"/>
    <w:multiLevelType w:val="multilevel"/>
    <w:tmpl w:val="1EE6D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5F35141"/>
    <w:multiLevelType w:val="multilevel"/>
    <w:tmpl w:val="DF1242F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69" w:hanging="360"/>
      </w:pPr>
      <w:rPr>
        <w:rFonts w:ascii="Symbol" w:hAnsi="Symbol" w:hint="default"/>
        <w:sz w:val="20"/>
        <w:szCs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9" w15:restartNumberingAfterBreak="0">
    <w:nsid w:val="47240196"/>
    <w:multiLevelType w:val="hybridMultilevel"/>
    <w:tmpl w:val="F044EDF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0" w15:restartNumberingAfterBreak="0">
    <w:nsid w:val="47FC4B9F"/>
    <w:multiLevelType w:val="hybridMultilevel"/>
    <w:tmpl w:val="2B24627C"/>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1" w15:restartNumberingAfterBreak="0">
    <w:nsid w:val="48645988"/>
    <w:multiLevelType w:val="hybridMultilevel"/>
    <w:tmpl w:val="99B2C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49283A65"/>
    <w:multiLevelType w:val="multilevel"/>
    <w:tmpl w:val="FE5C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959EDF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499B0578"/>
    <w:multiLevelType w:val="multilevel"/>
    <w:tmpl w:val="DFA8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9CA05DE"/>
    <w:multiLevelType w:val="multilevel"/>
    <w:tmpl w:val="AEF46A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4A1F50B6"/>
    <w:multiLevelType w:val="multilevel"/>
    <w:tmpl w:val="290AE95C"/>
    <w:styleLink w:val="ZZTablenumbers"/>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A8513C4"/>
    <w:multiLevelType w:val="multilevel"/>
    <w:tmpl w:val="875A28AA"/>
    <w:styleLink w:val="ZZPulloutbullets"/>
    <w:lvl w:ilvl="0">
      <w:start w:val="1"/>
      <w:numFmt w:val="bullet"/>
      <w:pStyle w:val="SCVbullet1"/>
      <w:lvlText w:val=""/>
      <w:lvlJc w:val="left"/>
      <w:pPr>
        <w:tabs>
          <w:tab w:val="num" w:pos="720"/>
        </w:tabs>
        <w:ind w:left="720" w:hanging="360"/>
      </w:pPr>
      <w:rPr>
        <w:rFonts w:ascii="Symbol" w:hAnsi="Symbol" w:hint="default"/>
        <w:sz w:val="20"/>
      </w:rPr>
    </w:lvl>
    <w:lvl w:ilvl="1">
      <w:start w:val="1"/>
      <w:numFmt w:val="bullet"/>
      <w:pStyle w:val="SCVtablenumber2"/>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A932089"/>
    <w:multiLevelType w:val="multilevel"/>
    <w:tmpl w:val="E09A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D42B5A"/>
    <w:multiLevelType w:val="hybridMultilevel"/>
    <w:tmpl w:val="FFFFFFFF"/>
    <w:lvl w:ilvl="0" w:tplc="12C8C058">
      <w:start w:val="1"/>
      <w:numFmt w:val="bullet"/>
      <w:lvlText w:val=""/>
      <w:lvlJc w:val="left"/>
      <w:pPr>
        <w:ind w:left="720" w:hanging="360"/>
      </w:pPr>
      <w:rPr>
        <w:rFonts w:ascii="Symbol" w:hAnsi="Symbol" w:hint="default"/>
      </w:rPr>
    </w:lvl>
    <w:lvl w:ilvl="1" w:tplc="8102A300">
      <w:start w:val="1"/>
      <w:numFmt w:val="bullet"/>
      <w:lvlText w:val="o"/>
      <w:lvlJc w:val="left"/>
      <w:pPr>
        <w:ind w:left="1440" w:hanging="360"/>
      </w:pPr>
      <w:rPr>
        <w:rFonts w:ascii="Courier New" w:hAnsi="Courier New" w:hint="default"/>
      </w:rPr>
    </w:lvl>
    <w:lvl w:ilvl="2" w:tplc="D7D46AD4">
      <w:start w:val="1"/>
      <w:numFmt w:val="bullet"/>
      <w:lvlText w:val=""/>
      <w:lvlJc w:val="left"/>
      <w:pPr>
        <w:ind w:left="2160" w:hanging="360"/>
      </w:pPr>
      <w:rPr>
        <w:rFonts w:ascii="Wingdings" w:hAnsi="Wingdings" w:hint="default"/>
      </w:rPr>
    </w:lvl>
    <w:lvl w:ilvl="3" w:tplc="A440D59C">
      <w:start w:val="1"/>
      <w:numFmt w:val="bullet"/>
      <w:lvlText w:val=""/>
      <w:lvlJc w:val="left"/>
      <w:pPr>
        <w:ind w:left="2880" w:hanging="360"/>
      </w:pPr>
      <w:rPr>
        <w:rFonts w:ascii="Symbol" w:hAnsi="Symbol" w:hint="default"/>
      </w:rPr>
    </w:lvl>
    <w:lvl w:ilvl="4" w:tplc="7D06CE76">
      <w:start w:val="1"/>
      <w:numFmt w:val="bullet"/>
      <w:lvlText w:val="o"/>
      <w:lvlJc w:val="left"/>
      <w:pPr>
        <w:ind w:left="3600" w:hanging="360"/>
      </w:pPr>
      <w:rPr>
        <w:rFonts w:ascii="Courier New" w:hAnsi="Courier New" w:hint="default"/>
      </w:rPr>
    </w:lvl>
    <w:lvl w:ilvl="5" w:tplc="25AA38FE">
      <w:start w:val="1"/>
      <w:numFmt w:val="bullet"/>
      <w:lvlText w:val=""/>
      <w:lvlJc w:val="left"/>
      <w:pPr>
        <w:ind w:left="4320" w:hanging="360"/>
      </w:pPr>
      <w:rPr>
        <w:rFonts w:ascii="Wingdings" w:hAnsi="Wingdings" w:hint="default"/>
      </w:rPr>
    </w:lvl>
    <w:lvl w:ilvl="6" w:tplc="B39E26C0">
      <w:start w:val="1"/>
      <w:numFmt w:val="bullet"/>
      <w:lvlText w:val=""/>
      <w:lvlJc w:val="left"/>
      <w:pPr>
        <w:ind w:left="5040" w:hanging="360"/>
      </w:pPr>
      <w:rPr>
        <w:rFonts w:ascii="Symbol" w:hAnsi="Symbol" w:hint="default"/>
      </w:rPr>
    </w:lvl>
    <w:lvl w:ilvl="7" w:tplc="222A14EC">
      <w:start w:val="1"/>
      <w:numFmt w:val="bullet"/>
      <w:lvlText w:val="o"/>
      <w:lvlJc w:val="left"/>
      <w:pPr>
        <w:ind w:left="5760" w:hanging="360"/>
      </w:pPr>
      <w:rPr>
        <w:rFonts w:ascii="Courier New" w:hAnsi="Courier New" w:hint="default"/>
      </w:rPr>
    </w:lvl>
    <w:lvl w:ilvl="8" w:tplc="EE3894D6">
      <w:start w:val="1"/>
      <w:numFmt w:val="bullet"/>
      <w:lvlText w:val=""/>
      <w:lvlJc w:val="left"/>
      <w:pPr>
        <w:ind w:left="6480" w:hanging="360"/>
      </w:pPr>
      <w:rPr>
        <w:rFonts w:ascii="Wingdings" w:hAnsi="Wingdings" w:hint="default"/>
      </w:rPr>
    </w:lvl>
  </w:abstractNum>
  <w:abstractNum w:abstractNumId="120" w15:restartNumberingAfterBreak="0">
    <w:nsid w:val="4C191868"/>
    <w:multiLevelType w:val="multilevel"/>
    <w:tmpl w:val="E6D0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C7F951F"/>
    <w:multiLevelType w:val="hybridMultilevel"/>
    <w:tmpl w:val="FFFFFFFF"/>
    <w:lvl w:ilvl="0" w:tplc="CE82DEF4">
      <w:start w:val="1"/>
      <w:numFmt w:val="bullet"/>
      <w:lvlText w:val="·"/>
      <w:lvlJc w:val="left"/>
      <w:pPr>
        <w:ind w:left="720" w:hanging="360"/>
      </w:pPr>
      <w:rPr>
        <w:rFonts w:ascii="Symbol" w:hAnsi="Symbol" w:hint="default"/>
      </w:rPr>
    </w:lvl>
    <w:lvl w:ilvl="1" w:tplc="B186E87C">
      <w:start w:val="1"/>
      <w:numFmt w:val="bullet"/>
      <w:lvlText w:val="o"/>
      <w:lvlJc w:val="left"/>
      <w:pPr>
        <w:ind w:left="1440" w:hanging="360"/>
      </w:pPr>
      <w:rPr>
        <w:rFonts w:ascii="Courier New" w:hAnsi="Courier New" w:hint="default"/>
      </w:rPr>
    </w:lvl>
    <w:lvl w:ilvl="2" w:tplc="86F4BF9E">
      <w:start w:val="1"/>
      <w:numFmt w:val="bullet"/>
      <w:lvlText w:val=""/>
      <w:lvlJc w:val="left"/>
      <w:pPr>
        <w:ind w:left="2160" w:hanging="360"/>
      </w:pPr>
      <w:rPr>
        <w:rFonts w:ascii="Wingdings" w:hAnsi="Wingdings" w:hint="default"/>
      </w:rPr>
    </w:lvl>
    <w:lvl w:ilvl="3" w:tplc="C332CDE6">
      <w:start w:val="1"/>
      <w:numFmt w:val="bullet"/>
      <w:lvlText w:val=""/>
      <w:lvlJc w:val="left"/>
      <w:pPr>
        <w:ind w:left="2880" w:hanging="360"/>
      </w:pPr>
      <w:rPr>
        <w:rFonts w:ascii="Symbol" w:hAnsi="Symbol" w:hint="default"/>
      </w:rPr>
    </w:lvl>
    <w:lvl w:ilvl="4" w:tplc="7D280942">
      <w:start w:val="1"/>
      <w:numFmt w:val="bullet"/>
      <w:lvlText w:val="o"/>
      <w:lvlJc w:val="left"/>
      <w:pPr>
        <w:ind w:left="3600" w:hanging="360"/>
      </w:pPr>
      <w:rPr>
        <w:rFonts w:ascii="Courier New" w:hAnsi="Courier New" w:hint="default"/>
      </w:rPr>
    </w:lvl>
    <w:lvl w:ilvl="5" w:tplc="79AA012C">
      <w:start w:val="1"/>
      <w:numFmt w:val="bullet"/>
      <w:lvlText w:val=""/>
      <w:lvlJc w:val="left"/>
      <w:pPr>
        <w:ind w:left="4320" w:hanging="360"/>
      </w:pPr>
      <w:rPr>
        <w:rFonts w:ascii="Wingdings" w:hAnsi="Wingdings" w:hint="default"/>
      </w:rPr>
    </w:lvl>
    <w:lvl w:ilvl="6" w:tplc="32B22628">
      <w:start w:val="1"/>
      <w:numFmt w:val="bullet"/>
      <w:lvlText w:val=""/>
      <w:lvlJc w:val="left"/>
      <w:pPr>
        <w:ind w:left="5040" w:hanging="360"/>
      </w:pPr>
      <w:rPr>
        <w:rFonts w:ascii="Symbol" w:hAnsi="Symbol" w:hint="default"/>
      </w:rPr>
    </w:lvl>
    <w:lvl w:ilvl="7" w:tplc="3FCA9BA4">
      <w:start w:val="1"/>
      <w:numFmt w:val="bullet"/>
      <w:lvlText w:val="o"/>
      <w:lvlJc w:val="left"/>
      <w:pPr>
        <w:ind w:left="5760" w:hanging="360"/>
      </w:pPr>
      <w:rPr>
        <w:rFonts w:ascii="Courier New" w:hAnsi="Courier New" w:hint="default"/>
      </w:rPr>
    </w:lvl>
    <w:lvl w:ilvl="8" w:tplc="6BC83166">
      <w:start w:val="1"/>
      <w:numFmt w:val="bullet"/>
      <w:lvlText w:val=""/>
      <w:lvlJc w:val="left"/>
      <w:pPr>
        <w:ind w:left="6480" w:hanging="360"/>
      </w:pPr>
      <w:rPr>
        <w:rFonts w:ascii="Wingdings" w:hAnsi="Wingdings" w:hint="default"/>
      </w:rPr>
    </w:lvl>
  </w:abstractNum>
  <w:abstractNum w:abstractNumId="122" w15:restartNumberingAfterBreak="0">
    <w:nsid w:val="4C8B2649"/>
    <w:multiLevelType w:val="multilevel"/>
    <w:tmpl w:val="08FE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CDDC8A5"/>
    <w:multiLevelType w:val="hybridMultilevel"/>
    <w:tmpl w:val="4BE4E134"/>
    <w:lvl w:ilvl="0" w:tplc="A02060CE">
      <w:start w:val="1"/>
      <w:numFmt w:val="bullet"/>
      <w:lvlText w:val=""/>
      <w:lvlJc w:val="left"/>
      <w:pPr>
        <w:ind w:left="720" w:hanging="360"/>
      </w:pPr>
      <w:rPr>
        <w:rFonts w:ascii="Symbol" w:hAnsi="Symbol" w:hint="default"/>
        <w:color w:val="auto"/>
        <w:sz w:val="24"/>
        <w:szCs w:val="24"/>
      </w:rPr>
    </w:lvl>
    <w:lvl w:ilvl="1" w:tplc="A46EA38A">
      <w:start w:val="1"/>
      <w:numFmt w:val="bullet"/>
      <w:lvlText w:val="o"/>
      <w:lvlJc w:val="left"/>
      <w:pPr>
        <w:ind w:left="1440" w:hanging="360"/>
      </w:pPr>
      <w:rPr>
        <w:rFonts w:ascii="Courier New" w:hAnsi="Courier New" w:hint="default"/>
      </w:rPr>
    </w:lvl>
    <w:lvl w:ilvl="2" w:tplc="62BE89F8">
      <w:start w:val="1"/>
      <w:numFmt w:val="bullet"/>
      <w:lvlText w:val=""/>
      <w:lvlJc w:val="left"/>
      <w:pPr>
        <w:ind w:left="2160" w:hanging="360"/>
      </w:pPr>
      <w:rPr>
        <w:rFonts w:ascii="Wingdings" w:hAnsi="Wingdings" w:hint="default"/>
      </w:rPr>
    </w:lvl>
    <w:lvl w:ilvl="3" w:tplc="54AE1302">
      <w:start w:val="1"/>
      <w:numFmt w:val="bullet"/>
      <w:lvlText w:val=""/>
      <w:lvlJc w:val="left"/>
      <w:pPr>
        <w:ind w:left="2880" w:hanging="360"/>
      </w:pPr>
      <w:rPr>
        <w:rFonts w:ascii="Symbol" w:hAnsi="Symbol" w:hint="default"/>
      </w:rPr>
    </w:lvl>
    <w:lvl w:ilvl="4" w:tplc="9F2E123E">
      <w:start w:val="1"/>
      <w:numFmt w:val="bullet"/>
      <w:lvlText w:val="o"/>
      <w:lvlJc w:val="left"/>
      <w:pPr>
        <w:ind w:left="3600" w:hanging="360"/>
      </w:pPr>
      <w:rPr>
        <w:rFonts w:ascii="Courier New" w:hAnsi="Courier New" w:hint="default"/>
      </w:rPr>
    </w:lvl>
    <w:lvl w:ilvl="5" w:tplc="39864EAA">
      <w:start w:val="1"/>
      <w:numFmt w:val="bullet"/>
      <w:lvlText w:val=""/>
      <w:lvlJc w:val="left"/>
      <w:pPr>
        <w:ind w:left="4320" w:hanging="360"/>
      </w:pPr>
      <w:rPr>
        <w:rFonts w:ascii="Wingdings" w:hAnsi="Wingdings" w:hint="default"/>
      </w:rPr>
    </w:lvl>
    <w:lvl w:ilvl="6" w:tplc="277E8494">
      <w:start w:val="1"/>
      <w:numFmt w:val="bullet"/>
      <w:lvlText w:val=""/>
      <w:lvlJc w:val="left"/>
      <w:pPr>
        <w:ind w:left="5040" w:hanging="360"/>
      </w:pPr>
      <w:rPr>
        <w:rFonts w:ascii="Symbol" w:hAnsi="Symbol" w:hint="default"/>
      </w:rPr>
    </w:lvl>
    <w:lvl w:ilvl="7" w:tplc="B5D655D0">
      <w:start w:val="1"/>
      <w:numFmt w:val="bullet"/>
      <w:lvlText w:val="o"/>
      <w:lvlJc w:val="left"/>
      <w:pPr>
        <w:ind w:left="5760" w:hanging="360"/>
      </w:pPr>
      <w:rPr>
        <w:rFonts w:ascii="Courier New" w:hAnsi="Courier New" w:hint="default"/>
      </w:rPr>
    </w:lvl>
    <w:lvl w:ilvl="8" w:tplc="849CFDB8">
      <w:start w:val="1"/>
      <w:numFmt w:val="bullet"/>
      <w:lvlText w:val=""/>
      <w:lvlJc w:val="left"/>
      <w:pPr>
        <w:ind w:left="6480" w:hanging="360"/>
      </w:pPr>
      <w:rPr>
        <w:rFonts w:ascii="Wingdings" w:hAnsi="Wingdings" w:hint="default"/>
      </w:rPr>
    </w:lvl>
  </w:abstractNum>
  <w:abstractNum w:abstractNumId="124" w15:restartNumberingAfterBreak="0">
    <w:nsid w:val="4DD365C7"/>
    <w:multiLevelType w:val="multilevel"/>
    <w:tmpl w:val="BF6C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DEB67AA"/>
    <w:multiLevelType w:val="hybridMultilevel"/>
    <w:tmpl w:val="BC20D23C"/>
    <w:lvl w:ilvl="0" w:tplc="17D4982E">
      <w:start w:val="3"/>
      <w:numFmt w:val="decimal"/>
      <w:lvlText w:val="%1."/>
      <w:lvlJc w:val="left"/>
      <w:pPr>
        <w:ind w:left="760" w:hanging="400"/>
      </w:pPr>
      <w:rPr>
        <w:rFonts w:hint="default"/>
        <w:sz w:val="4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4ECE6F0B"/>
    <w:multiLevelType w:val="hybridMultilevel"/>
    <w:tmpl w:val="90326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4F023A65"/>
    <w:multiLevelType w:val="multilevel"/>
    <w:tmpl w:val="D96C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F025103"/>
    <w:multiLevelType w:val="hybridMultilevel"/>
    <w:tmpl w:val="605AB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9" w15:restartNumberingAfterBreak="0">
    <w:nsid w:val="516A1CB3"/>
    <w:multiLevelType w:val="multilevel"/>
    <w:tmpl w:val="6062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1B43765"/>
    <w:multiLevelType w:val="multilevel"/>
    <w:tmpl w:val="ABE6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1E03ABF"/>
    <w:multiLevelType w:val="multilevel"/>
    <w:tmpl w:val="D75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2206420"/>
    <w:multiLevelType w:val="multilevel"/>
    <w:tmpl w:val="D56C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3F642F6"/>
    <w:multiLevelType w:val="multilevel"/>
    <w:tmpl w:val="41EA35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541455EB"/>
    <w:multiLevelType w:val="hybridMultilevel"/>
    <w:tmpl w:val="B6FEB082"/>
    <w:lvl w:ilvl="0" w:tplc="5CD0F166">
      <w:start w:val="1"/>
      <w:numFmt w:val="bullet"/>
      <w:lvlText w:val="-"/>
      <w:lvlJc w:val="left"/>
      <w:pPr>
        <w:ind w:left="1440" w:hanging="360"/>
      </w:pPr>
      <w:rPr>
        <w:rFonts w:ascii="Arial" w:eastAsiaTheme="minorEastAsia"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5" w15:restartNumberingAfterBreak="0">
    <w:nsid w:val="541611C2"/>
    <w:multiLevelType w:val="multilevel"/>
    <w:tmpl w:val="E0D49F02"/>
    <w:lvl w:ilvl="0">
      <w:start w:val="1"/>
      <w:numFmt w:val="bullet"/>
      <w:pStyle w:val="SCVtablebullet1"/>
      <w:lvlText w:val="•"/>
      <w:lvlJc w:val="left"/>
      <w:pPr>
        <w:ind w:left="227" w:hanging="227"/>
      </w:pPr>
      <w:rPr>
        <w:rFonts w:ascii="Calibri" w:hAnsi="Calibri" w:hint="default"/>
      </w:rPr>
    </w:lvl>
    <w:lvl w:ilvl="1">
      <w:start w:val="1"/>
      <w:numFmt w:val="bullet"/>
      <w:lvlRestart w:val="0"/>
      <w:pStyle w:val="SCVtablebullet2"/>
      <w:lvlText w:val="–"/>
      <w:lvlJc w:val="left"/>
      <w:pPr>
        <w:tabs>
          <w:tab w:val="num" w:pos="227"/>
        </w:tabs>
        <w:ind w:left="454" w:hanging="227"/>
      </w:pPr>
      <w:rPr>
        <w:rFonts w:ascii="Calibri" w:hAnsi="Calibri" w:hint="default"/>
      </w:rPr>
    </w:lvl>
    <w:lvl w:ilvl="2">
      <w:start w:val="1"/>
      <w:numFmt w:val="decimal"/>
      <w:lvlRestart w:val="0"/>
      <w:lvlText w:val=""/>
      <w:lvlJc w:val="left"/>
    </w:lvl>
    <w:lvl w:ilvl="3">
      <w:start w:val="1"/>
      <w:numFmt w:val="decimal"/>
      <w:lvlRestart w:val="0"/>
      <w:lvlText w:val=""/>
      <w:lvlJc w:val="left"/>
    </w:lvl>
    <w:lvl w:ilvl="4">
      <w:start w:val="1"/>
      <w:numFmt w:val="decimal"/>
      <w:lvlRestart w:val="0"/>
      <w:lvlText w:val=""/>
      <w:lvlJc w:val="left"/>
    </w:lvl>
    <w:lvl w:ilvl="5">
      <w:start w:val="1"/>
      <w:numFmt w:val="decimal"/>
      <w:lvlRestart w:val="0"/>
      <w:lvlText w:val=""/>
      <w:lvlJc w:val="left"/>
    </w:lvl>
    <w:lvl w:ilvl="6">
      <w:start w:val="1"/>
      <w:numFmt w:val="decimal"/>
      <w:lvlRestart w:val="0"/>
      <w:lvlText w:val=""/>
      <w:lvlJc w:val="left"/>
    </w:lvl>
    <w:lvl w:ilvl="7">
      <w:start w:val="1"/>
      <w:numFmt w:val="decimal"/>
      <w:lvlRestart w:val="0"/>
      <w:lvlText w:val=""/>
      <w:lvlJc w:val="left"/>
    </w:lvl>
    <w:lvl w:ilvl="8">
      <w:start w:val="1"/>
      <w:numFmt w:val="decimal"/>
      <w:lvlRestart w:val="0"/>
      <w:lvlText w:val=""/>
      <w:lvlJc w:val="left"/>
    </w:lvl>
  </w:abstractNum>
  <w:abstractNum w:abstractNumId="136" w15:restartNumberingAfterBreak="0">
    <w:nsid w:val="5478569C"/>
    <w:multiLevelType w:val="multilevel"/>
    <w:tmpl w:val="6A829318"/>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5525316E"/>
    <w:multiLevelType w:val="multilevel"/>
    <w:tmpl w:val="1BE8D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7F10A24"/>
    <w:multiLevelType w:val="multilevel"/>
    <w:tmpl w:val="7480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8D11F9C"/>
    <w:multiLevelType w:val="hybridMultilevel"/>
    <w:tmpl w:val="AFEEC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59071E9C"/>
    <w:multiLevelType w:val="multilevel"/>
    <w:tmpl w:val="FE50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9461CE1"/>
    <w:multiLevelType w:val="multilevel"/>
    <w:tmpl w:val="3544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A0368C7"/>
    <w:multiLevelType w:val="hybridMultilevel"/>
    <w:tmpl w:val="50288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5A52516B"/>
    <w:multiLevelType w:val="hybridMultilevel"/>
    <w:tmpl w:val="FFFFFFFF"/>
    <w:lvl w:ilvl="0" w:tplc="87BA75F0">
      <w:start w:val="1"/>
      <w:numFmt w:val="bullet"/>
      <w:lvlText w:val="·"/>
      <w:lvlJc w:val="left"/>
      <w:pPr>
        <w:ind w:left="720" w:hanging="360"/>
      </w:pPr>
      <w:rPr>
        <w:rFonts w:ascii="Symbol" w:hAnsi="Symbol" w:hint="default"/>
      </w:rPr>
    </w:lvl>
    <w:lvl w:ilvl="1" w:tplc="E06AD660">
      <w:start w:val="1"/>
      <w:numFmt w:val="bullet"/>
      <w:lvlText w:val="o"/>
      <w:lvlJc w:val="left"/>
      <w:pPr>
        <w:ind w:left="1440" w:hanging="360"/>
      </w:pPr>
      <w:rPr>
        <w:rFonts w:ascii="Courier New" w:hAnsi="Courier New" w:hint="default"/>
      </w:rPr>
    </w:lvl>
    <w:lvl w:ilvl="2" w:tplc="C1CE7066">
      <w:start w:val="1"/>
      <w:numFmt w:val="bullet"/>
      <w:lvlText w:val=""/>
      <w:lvlJc w:val="left"/>
      <w:pPr>
        <w:ind w:left="2160" w:hanging="360"/>
      </w:pPr>
      <w:rPr>
        <w:rFonts w:ascii="Wingdings" w:hAnsi="Wingdings" w:hint="default"/>
      </w:rPr>
    </w:lvl>
    <w:lvl w:ilvl="3" w:tplc="51882B66">
      <w:start w:val="1"/>
      <w:numFmt w:val="bullet"/>
      <w:lvlText w:val=""/>
      <w:lvlJc w:val="left"/>
      <w:pPr>
        <w:ind w:left="2880" w:hanging="360"/>
      </w:pPr>
      <w:rPr>
        <w:rFonts w:ascii="Symbol" w:hAnsi="Symbol" w:hint="default"/>
      </w:rPr>
    </w:lvl>
    <w:lvl w:ilvl="4" w:tplc="699CEE76">
      <w:start w:val="1"/>
      <w:numFmt w:val="bullet"/>
      <w:lvlText w:val="o"/>
      <w:lvlJc w:val="left"/>
      <w:pPr>
        <w:ind w:left="3600" w:hanging="360"/>
      </w:pPr>
      <w:rPr>
        <w:rFonts w:ascii="Courier New" w:hAnsi="Courier New" w:hint="default"/>
      </w:rPr>
    </w:lvl>
    <w:lvl w:ilvl="5" w:tplc="B5DC2D34">
      <w:start w:val="1"/>
      <w:numFmt w:val="bullet"/>
      <w:lvlText w:val=""/>
      <w:lvlJc w:val="left"/>
      <w:pPr>
        <w:ind w:left="4320" w:hanging="360"/>
      </w:pPr>
      <w:rPr>
        <w:rFonts w:ascii="Wingdings" w:hAnsi="Wingdings" w:hint="default"/>
      </w:rPr>
    </w:lvl>
    <w:lvl w:ilvl="6" w:tplc="AF26EE02">
      <w:start w:val="1"/>
      <w:numFmt w:val="bullet"/>
      <w:lvlText w:val=""/>
      <w:lvlJc w:val="left"/>
      <w:pPr>
        <w:ind w:left="5040" w:hanging="360"/>
      </w:pPr>
      <w:rPr>
        <w:rFonts w:ascii="Symbol" w:hAnsi="Symbol" w:hint="default"/>
      </w:rPr>
    </w:lvl>
    <w:lvl w:ilvl="7" w:tplc="5C8605E2">
      <w:start w:val="1"/>
      <w:numFmt w:val="bullet"/>
      <w:lvlText w:val="o"/>
      <w:lvlJc w:val="left"/>
      <w:pPr>
        <w:ind w:left="5760" w:hanging="360"/>
      </w:pPr>
      <w:rPr>
        <w:rFonts w:ascii="Courier New" w:hAnsi="Courier New" w:hint="default"/>
      </w:rPr>
    </w:lvl>
    <w:lvl w:ilvl="8" w:tplc="21344F58">
      <w:start w:val="1"/>
      <w:numFmt w:val="bullet"/>
      <w:lvlText w:val=""/>
      <w:lvlJc w:val="left"/>
      <w:pPr>
        <w:ind w:left="6480" w:hanging="360"/>
      </w:pPr>
      <w:rPr>
        <w:rFonts w:ascii="Wingdings" w:hAnsi="Wingdings" w:hint="default"/>
      </w:rPr>
    </w:lvl>
  </w:abstractNum>
  <w:abstractNum w:abstractNumId="144" w15:restartNumberingAfterBreak="0">
    <w:nsid w:val="5AF93E0F"/>
    <w:multiLevelType w:val="multilevel"/>
    <w:tmpl w:val="2BDE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B1B604C"/>
    <w:multiLevelType w:val="multilevel"/>
    <w:tmpl w:val="0EA4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B4232BE"/>
    <w:multiLevelType w:val="multilevel"/>
    <w:tmpl w:val="A4E0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B7439D7"/>
    <w:multiLevelType w:val="multilevel"/>
    <w:tmpl w:val="4850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B940D03"/>
    <w:multiLevelType w:val="multilevel"/>
    <w:tmpl w:val="BEE6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BD42C1C"/>
    <w:multiLevelType w:val="multilevel"/>
    <w:tmpl w:val="B22C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BEA7784"/>
    <w:multiLevelType w:val="multilevel"/>
    <w:tmpl w:val="9AFE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C492479"/>
    <w:multiLevelType w:val="multilevel"/>
    <w:tmpl w:val="C68A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D3513F4"/>
    <w:multiLevelType w:val="multilevel"/>
    <w:tmpl w:val="DF1242F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69" w:hanging="360"/>
      </w:pPr>
      <w:rPr>
        <w:rFonts w:ascii="Symbol" w:hAnsi="Symbol" w:hint="default"/>
        <w:sz w:val="20"/>
        <w:szCs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3" w15:restartNumberingAfterBreak="0">
    <w:nsid w:val="5D74766A"/>
    <w:multiLevelType w:val="multilevel"/>
    <w:tmpl w:val="7E9A73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DC510A9"/>
    <w:multiLevelType w:val="hybridMultilevel"/>
    <w:tmpl w:val="99E6A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5" w15:restartNumberingAfterBreak="0">
    <w:nsid w:val="5E260FA2"/>
    <w:multiLevelType w:val="multilevel"/>
    <w:tmpl w:val="E1DE9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F755DC6"/>
    <w:multiLevelType w:val="hybridMultilevel"/>
    <w:tmpl w:val="739CA59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7" w15:restartNumberingAfterBreak="0">
    <w:nsid w:val="60F72D73"/>
    <w:multiLevelType w:val="hybridMultilevel"/>
    <w:tmpl w:val="9F0864A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60F85516"/>
    <w:multiLevelType w:val="multilevel"/>
    <w:tmpl w:val="00DA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1320433"/>
    <w:multiLevelType w:val="multilevel"/>
    <w:tmpl w:val="69C2D2B4"/>
    <w:styleLink w:val="ZZBullets"/>
    <w:lvl w:ilvl="0">
      <w:start w:val="1"/>
      <w:numFmt w:val="bullet"/>
      <w:lvlText w:val=""/>
      <w:lvlJc w:val="left"/>
      <w:pPr>
        <w:ind w:left="284" w:hanging="284"/>
      </w:pPr>
      <w:rPr>
        <w:rFonts w:ascii="Wingdings 2" w:hAnsi="Wingdings 2" w:hint="default"/>
        <w:color w:val="004C97" w:themeColor="accent4"/>
        <w:position w:val="2"/>
        <w:sz w:val="16"/>
      </w:rPr>
    </w:lvl>
    <w:lvl w:ilvl="1">
      <w:start w:val="1"/>
      <w:numFmt w:val="bullet"/>
      <w:lvlText w:val="–"/>
      <w:lvlJc w:val="left"/>
      <w:pPr>
        <w:tabs>
          <w:tab w:val="num" w:pos="284"/>
        </w:tabs>
        <w:ind w:left="567" w:hanging="283"/>
      </w:pPr>
      <w:rPr>
        <w:rFonts w:ascii="Arial Black" w:hAnsi="Arial Black"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60" w15:restartNumberingAfterBreak="0">
    <w:nsid w:val="617E806A"/>
    <w:multiLevelType w:val="hybridMultilevel"/>
    <w:tmpl w:val="FFFFFFFF"/>
    <w:lvl w:ilvl="0" w:tplc="9ADE9FF2">
      <w:start w:val="1"/>
      <w:numFmt w:val="bullet"/>
      <w:lvlText w:val="·"/>
      <w:lvlJc w:val="left"/>
      <w:pPr>
        <w:ind w:left="720" w:hanging="360"/>
      </w:pPr>
      <w:rPr>
        <w:rFonts w:ascii="Symbol" w:hAnsi="Symbol" w:hint="default"/>
      </w:rPr>
    </w:lvl>
    <w:lvl w:ilvl="1" w:tplc="7B68C884">
      <w:start w:val="1"/>
      <w:numFmt w:val="bullet"/>
      <w:lvlText w:val="o"/>
      <w:lvlJc w:val="left"/>
      <w:pPr>
        <w:ind w:left="1440" w:hanging="360"/>
      </w:pPr>
      <w:rPr>
        <w:rFonts w:ascii="Courier New" w:hAnsi="Courier New" w:hint="default"/>
      </w:rPr>
    </w:lvl>
    <w:lvl w:ilvl="2" w:tplc="EE6096CC">
      <w:start w:val="1"/>
      <w:numFmt w:val="bullet"/>
      <w:lvlText w:val=""/>
      <w:lvlJc w:val="left"/>
      <w:pPr>
        <w:ind w:left="2160" w:hanging="360"/>
      </w:pPr>
      <w:rPr>
        <w:rFonts w:ascii="Wingdings" w:hAnsi="Wingdings" w:hint="default"/>
      </w:rPr>
    </w:lvl>
    <w:lvl w:ilvl="3" w:tplc="779AC436">
      <w:start w:val="1"/>
      <w:numFmt w:val="bullet"/>
      <w:lvlText w:val=""/>
      <w:lvlJc w:val="left"/>
      <w:pPr>
        <w:ind w:left="2880" w:hanging="360"/>
      </w:pPr>
      <w:rPr>
        <w:rFonts w:ascii="Symbol" w:hAnsi="Symbol" w:hint="default"/>
      </w:rPr>
    </w:lvl>
    <w:lvl w:ilvl="4" w:tplc="0418868C">
      <w:start w:val="1"/>
      <w:numFmt w:val="bullet"/>
      <w:lvlText w:val="o"/>
      <w:lvlJc w:val="left"/>
      <w:pPr>
        <w:ind w:left="3600" w:hanging="360"/>
      </w:pPr>
      <w:rPr>
        <w:rFonts w:ascii="Courier New" w:hAnsi="Courier New" w:hint="default"/>
      </w:rPr>
    </w:lvl>
    <w:lvl w:ilvl="5" w:tplc="131688B0">
      <w:start w:val="1"/>
      <w:numFmt w:val="bullet"/>
      <w:lvlText w:val=""/>
      <w:lvlJc w:val="left"/>
      <w:pPr>
        <w:ind w:left="4320" w:hanging="360"/>
      </w:pPr>
      <w:rPr>
        <w:rFonts w:ascii="Wingdings" w:hAnsi="Wingdings" w:hint="default"/>
      </w:rPr>
    </w:lvl>
    <w:lvl w:ilvl="6" w:tplc="432C7BF8">
      <w:start w:val="1"/>
      <w:numFmt w:val="bullet"/>
      <w:lvlText w:val=""/>
      <w:lvlJc w:val="left"/>
      <w:pPr>
        <w:ind w:left="5040" w:hanging="360"/>
      </w:pPr>
      <w:rPr>
        <w:rFonts w:ascii="Symbol" w:hAnsi="Symbol" w:hint="default"/>
      </w:rPr>
    </w:lvl>
    <w:lvl w:ilvl="7" w:tplc="58228DA6">
      <w:start w:val="1"/>
      <w:numFmt w:val="bullet"/>
      <w:lvlText w:val="o"/>
      <w:lvlJc w:val="left"/>
      <w:pPr>
        <w:ind w:left="5760" w:hanging="360"/>
      </w:pPr>
      <w:rPr>
        <w:rFonts w:ascii="Courier New" w:hAnsi="Courier New" w:hint="default"/>
      </w:rPr>
    </w:lvl>
    <w:lvl w:ilvl="8" w:tplc="C20272EE">
      <w:start w:val="1"/>
      <w:numFmt w:val="bullet"/>
      <w:lvlText w:val=""/>
      <w:lvlJc w:val="left"/>
      <w:pPr>
        <w:ind w:left="6480" w:hanging="360"/>
      </w:pPr>
      <w:rPr>
        <w:rFonts w:ascii="Wingdings" w:hAnsi="Wingdings" w:hint="default"/>
      </w:rPr>
    </w:lvl>
  </w:abstractNum>
  <w:abstractNum w:abstractNumId="161" w15:restartNumberingAfterBreak="0">
    <w:nsid w:val="61F719AE"/>
    <w:multiLevelType w:val="multilevel"/>
    <w:tmpl w:val="C2EA17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2257B70"/>
    <w:multiLevelType w:val="multilevel"/>
    <w:tmpl w:val="A3B6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25D55FF"/>
    <w:multiLevelType w:val="multilevel"/>
    <w:tmpl w:val="AA22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627155CD"/>
    <w:multiLevelType w:val="hybridMultilevel"/>
    <w:tmpl w:val="380EF4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62A76A9F"/>
    <w:multiLevelType w:val="hybridMultilevel"/>
    <w:tmpl w:val="7AD4A8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6" w15:restartNumberingAfterBreak="0">
    <w:nsid w:val="62AA4D60"/>
    <w:multiLevelType w:val="hybridMultilevel"/>
    <w:tmpl w:val="61404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7" w15:restartNumberingAfterBreak="0">
    <w:nsid w:val="62E66133"/>
    <w:multiLevelType w:val="multilevel"/>
    <w:tmpl w:val="36F8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6309259F"/>
    <w:multiLevelType w:val="multilevel"/>
    <w:tmpl w:val="4198B786"/>
    <w:styleLink w:val="ZZNumbersdigit"/>
    <w:lvl w:ilvl="0">
      <w:start w:val="1"/>
      <w:numFmt w:val="bullet"/>
      <w:lvlText w:val="•"/>
      <w:lvlJc w:val="left"/>
      <w:pPr>
        <w:ind w:left="680" w:hanging="283"/>
      </w:pPr>
      <w:rPr>
        <w:rFonts w:ascii="Calibri" w:hAnsi="Calibri" w:hint="default"/>
        <w:color w:val="007586" w:themeColor="text2"/>
      </w:rPr>
    </w:lvl>
    <w:lvl w:ilvl="1">
      <w:start w:val="1"/>
      <w:numFmt w:val="bullet"/>
      <w:lvlRestart w:val="0"/>
      <w:lvlText w:val="–"/>
      <w:lvlJc w:val="left"/>
      <w:pPr>
        <w:ind w:left="964" w:hanging="284"/>
      </w:pPr>
      <w:rPr>
        <w:rFonts w:ascii="Calibri" w:hAnsi="Calibri" w:hint="default"/>
        <w:color w:val="007586" w:themeColor="text2"/>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69" w15:restartNumberingAfterBreak="0">
    <w:nsid w:val="630F0CD7"/>
    <w:multiLevelType w:val="multilevel"/>
    <w:tmpl w:val="7C0E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6376788B"/>
    <w:multiLevelType w:val="hybridMultilevel"/>
    <w:tmpl w:val="3AAAF890"/>
    <w:lvl w:ilvl="0" w:tplc="FFFFFFFF">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63B6051C"/>
    <w:multiLevelType w:val="multilevel"/>
    <w:tmpl w:val="87FA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4833ECD"/>
    <w:multiLevelType w:val="multilevel"/>
    <w:tmpl w:val="F3DA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6116EF2"/>
    <w:multiLevelType w:val="multilevel"/>
    <w:tmpl w:val="F2D6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83D4647"/>
    <w:multiLevelType w:val="multilevel"/>
    <w:tmpl w:val="C898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8F246D0"/>
    <w:multiLevelType w:val="multilevel"/>
    <w:tmpl w:val="C5F6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694F3783"/>
    <w:multiLevelType w:val="hybridMultilevel"/>
    <w:tmpl w:val="76ECC2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6A120A9F"/>
    <w:multiLevelType w:val="multilevel"/>
    <w:tmpl w:val="58DC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AB603EF"/>
    <w:multiLevelType w:val="hybridMultilevel"/>
    <w:tmpl w:val="DF22B10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9" w15:restartNumberingAfterBreak="0">
    <w:nsid w:val="6BAE489E"/>
    <w:multiLevelType w:val="hybridMultilevel"/>
    <w:tmpl w:val="2E60A500"/>
    <w:lvl w:ilvl="0" w:tplc="B512F8BC">
      <w:start w:val="1"/>
      <w:numFmt w:val="decimal"/>
      <w:lvlText w:val="%1."/>
      <w:lvlJc w:val="left"/>
      <w:pPr>
        <w:ind w:left="360" w:hanging="360"/>
      </w:pPr>
    </w:lvl>
    <w:lvl w:ilvl="1" w:tplc="112ADDE4" w:tentative="1">
      <w:start w:val="1"/>
      <w:numFmt w:val="lowerLetter"/>
      <w:lvlText w:val="%2."/>
      <w:lvlJc w:val="left"/>
      <w:pPr>
        <w:ind w:left="1080" w:hanging="360"/>
      </w:pPr>
    </w:lvl>
    <w:lvl w:ilvl="2" w:tplc="32F6698E" w:tentative="1">
      <w:start w:val="1"/>
      <w:numFmt w:val="lowerRoman"/>
      <w:lvlText w:val="%3."/>
      <w:lvlJc w:val="right"/>
      <w:pPr>
        <w:ind w:left="1800" w:hanging="180"/>
      </w:pPr>
    </w:lvl>
    <w:lvl w:ilvl="3" w:tplc="0590A2DA" w:tentative="1">
      <w:start w:val="1"/>
      <w:numFmt w:val="decimal"/>
      <w:lvlText w:val="%4."/>
      <w:lvlJc w:val="left"/>
      <w:pPr>
        <w:ind w:left="2520" w:hanging="360"/>
      </w:pPr>
    </w:lvl>
    <w:lvl w:ilvl="4" w:tplc="24B0C476" w:tentative="1">
      <w:start w:val="1"/>
      <w:numFmt w:val="lowerLetter"/>
      <w:lvlText w:val="%5."/>
      <w:lvlJc w:val="left"/>
      <w:pPr>
        <w:ind w:left="3240" w:hanging="360"/>
      </w:pPr>
    </w:lvl>
    <w:lvl w:ilvl="5" w:tplc="7D325070" w:tentative="1">
      <w:start w:val="1"/>
      <w:numFmt w:val="lowerRoman"/>
      <w:lvlText w:val="%6."/>
      <w:lvlJc w:val="right"/>
      <w:pPr>
        <w:ind w:left="3960" w:hanging="180"/>
      </w:pPr>
    </w:lvl>
    <w:lvl w:ilvl="6" w:tplc="2ED64A60" w:tentative="1">
      <w:start w:val="1"/>
      <w:numFmt w:val="decimal"/>
      <w:lvlText w:val="%7."/>
      <w:lvlJc w:val="left"/>
      <w:pPr>
        <w:ind w:left="4680" w:hanging="360"/>
      </w:pPr>
    </w:lvl>
    <w:lvl w:ilvl="7" w:tplc="96781110" w:tentative="1">
      <w:start w:val="1"/>
      <w:numFmt w:val="lowerLetter"/>
      <w:lvlText w:val="%8."/>
      <w:lvlJc w:val="left"/>
      <w:pPr>
        <w:ind w:left="5400" w:hanging="360"/>
      </w:pPr>
    </w:lvl>
    <w:lvl w:ilvl="8" w:tplc="0D921268" w:tentative="1">
      <w:start w:val="1"/>
      <w:numFmt w:val="lowerRoman"/>
      <w:lvlText w:val="%9."/>
      <w:lvlJc w:val="right"/>
      <w:pPr>
        <w:ind w:left="6120" w:hanging="180"/>
      </w:pPr>
    </w:lvl>
  </w:abstractNum>
  <w:abstractNum w:abstractNumId="180" w15:restartNumberingAfterBreak="0">
    <w:nsid w:val="6CEB348C"/>
    <w:multiLevelType w:val="hybridMultilevel"/>
    <w:tmpl w:val="4DE0E6B2"/>
    <w:lvl w:ilvl="0" w:tplc="F3906F7E">
      <w:start w:val="1"/>
      <w:numFmt w:val="decimal"/>
      <w:lvlText w:val="%1)"/>
      <w:lvlJc w:val="left"/>
      <w:pPr>
        <w:ind w:left="1020" w:hanging="360"/>
      </w:pPr>
    </w:lvl>
    <w:lvl w:ilvl="1" w:tplc="C1CE7C80">
      <w:start w:val="1"/>
      <w:numFmt w:val="decimal"/>
      <w:lvlText w:val="%2)"/>
      <w:lvlJc w:val="left"/>
      <w:pPr>
        <w:ind w:left="1020" w:hanging="360"/>
      </w:pPr>
    </w:lvl>
    <w:lvl w:ilvl="2" w:tplc="C00CFFEE">
      <w:start w:val="1"/>
      <w:numFmt w:val="decimal"/>
      <w:lvlText w:val="%3)"/>
      <w:lvlJc w:val="left"/>
      <w:pPr>
        <w:ind w:left="1020" w:hanging="360"/>
      </w:pPr>
    </w:lvl>
    <w:lvl w:ilvl="3" w:tplc="FD0C54DA">
      <w:start w:val="1"/>
      <w:numFmt w:val="decimal"/>
      <w:lvlText w:val="%4)"/>
      <w:lvlJc w:val="left"/>
      <w:pPr>
        <w:ind w:left="1020" w:hanging="360"/>
      </w:pPr>
    </w:lvl>
    <w:lvl w:ilvl="4" w:tplc="9FFE4BCE">
      <w:start w:val="1"/>
      <w:numFmt w:val="decimal"/>
      <w:lvlText w:val="%5)"/>
      <w:lvlJc w:val="left"/>
      <w:pPr>
        <w:ind w:left="1020" w:hanging="360"/>
      </w:pPr>
    </w:lvl>
    <w:lvl w:ilvl="5" w:tplc="77A8EE62">
      <w:start w:val="1"/>
      <w:numFmt w:val="decimal"/>
      <w:lvlText w:val="%6)"/>
      <w:lvlJc w:val="left"/>
      <w:pPr>
        <w:ind w:left="1020" w:hanging="360"/>
      </w:pPr>
    </w:lvl>
    <w:lvl w:ilvl="6" w:tplc="ACC81D10">
      <w:start w:val="1"/>
      <w:numFmt w:val="decimal"/>
      <w:lvlText w:val="%7)"/>
      <w:lvlJc w:val="left"/>
      <w:pPr>
        <w:ind w:left="1020" w:hanging="360"/>
      </w:pPr>
    </w:lvl>
    <w:lvl w:ilvl="7" w:tplc="6AE8B5FA">
      <w:start w:val="1"/>
      <w:numFmt w:val="decimal"/>
      <w:lvlText w:val="%8)"/>
      <w:lvlJc w:val="left"/>
      <w:pPr>
        <w:ind w:left="1020" w:hanging="360"/>
      </w:pPr>
    </w:lvl>
    <w:lvl w:ilvl="8" w:tplc="E1006524">
      <w:start w:val="1"/>
      <w:numFmt w:val="decimal"/>
      <w:lvlText w:val="%9)"/>
      <w:lvlJc w:val="left"/>
      <w:pPr>
        <w:ind w:left="1020" w:hanging="360"/>
      </w:pPr>
    </w:lvl>
  </w:abstractNum>
  <w:abstractNum w:abstractNumId="181" w15:restartNumberingAfterBreak="0">
    <w:nsid w:val="6DBB6D6C"/>
    <w:multiLevelType w:val="hybridMultilevel"/>
    <w:tmpl w:val="15D296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6EE3406F"/>
    <w:multiLevelType w:val="hybridMultilevel"/>
    <w:tmpl w:val="A4BE9A62"/>
    <w:lvl w:ilvl="0" w:tplc="FFFFFFFF">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3" w15:restartNumberingAfterBreak="0">
    <w:nsid w:val="6F1D7B05"/>
    <w:multiLevelType w:val="hybridMultilevel"/>
    <w:tmpl w:val="F9C6E72E"/>
    <w:lvl w:ilvl="0" w:tplc="F3324F6A">
      <w:start w:val="4"/>
      <w:numFmt w:val="decimal"/>
      <w:lvlText w:val="%1."/>
      <w:lvlJc w:val="left"/>
      <w:pPr>
        <w:ind w:left="1800" w:hanging="360"/>
      </w:pPr>
      <w:rPr>
        <w:rFonts w:hint="default"/>
        <w:sz w:val="28"/>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84" w15:restartNumberingAfterBreak="0">
    <w:nsid w:val="6FA976B7"/>
    <w:multiLevelType w:val="multilevel"/>
    <w:tmpl w:val="15E0B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6FAA0E94"/>
    <w:multiLevelType w:val="multilevel"/>
    <w:tmpl w:val="E5B88A5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706D494A"/>
    <w:multiLevelType w:val="multilevel"/>
    <w:tmpl w:val="B39A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10222FB"/>
    <w:multiLevelType w:val="multilevel"/>
    <w:tmpl w:val="6E4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713D7024"/>
    <w:multiLevelType w:val="hybridMultilevel"/>
    <w:tmpl w:val="D0B432D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9" w15:restartNumberingAfterBreak="0">
    <w:nsid w:val="726F0FF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0" w15:restartNumberingAfterBreak="0">
    <w:nsid w:val="74885010"/>
    <w:multiLevelType w:val="hybridMultilevel"/>
    <w:tmpl w:val="5EB82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1" w15:restartNumberingAfterBreak="0">
    <w:nsid w:val="75103248"/>
    <w:multiLevelType w:val="multilevel"/>
    <w:tmpl w:val="611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61C6D9E"/>
    <w:multiLevelType w:val="hybridMultilevel"/>
    <w:tmpl w:val="1CCE5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3" w15:restartNumberingAfterBreak="0">
    <w:nsid w:val="762F2CBA"/>
    <w:multiLevelType w:val="hybridMultilevel"/>
    <w:tmpl w:val="40EC32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4" w15:restartNumberingAfterBreak="0">
    <w:nsid w:val="764E7018"/>
    <w:multiLevelType w:val="hybridMultilevel"/>
    <w:tmpl w:val="490A678A"/>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95" w15:restartNumberingAfterBreak="0">
    <w:nsid w:val="766833C8"/>
    <w:multiLevelType w:val="multilevel"/>
    <w:tmpl w:val="6A62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6944B52"/>
    <w:multiLevelType w:val="multilevel"/>
    <w:tmpl w:val="BBC8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6CF480D"/>
    <w:multiLevelType w:val="hybridMultilevel"/>
    <w:tmpl w:val="D3526DC4"/>
    <w:lvl w:ilvl="0" w:tplc="5E125646">
      <w:start w:val="1"/>
      <w:numFmt w:val="bullet"/>
      <w:lvlText w:val=""/>
      <w:lvlJc w:val="left"/>
      <w:pPr>
        <w:ind w:left="1800" w:hanging="360"/>
      </w:pPr>
      <w:rPr>
        <w:rFonts w:ascii="Symbol" w:hAnsi="Symbol"/>
      </w:rPr>
    </w:lvl>
    <w:lvl w:ilvl="1" w:tplc="3F7A8E2C">
      <w:start w:val="1"/>
      <w:numFmt w:val="bullet"/>
      <w:lvlText w:val=""/>
      <w:lvlJc w:val="left"/>
      <w:pPr>
        <w:ind w:left="1800" w:hanging="360"/>
      </w:pPr>
      <w:rPr>
        <w:rFonts w:ascii="Symbol" w:hAnsi="Symbol"/>
      </w:rPr>
    </w:lvl>
    <w:lvl w:ilvl="2" w:tplc="A55C2B76">
      <w:start w:val="1"/>
      <w:numFmt w:val="bullet"/>
      <w:lvlText w:val=""/>
      <w:lvlJc w:val="left"/>
      <w:pPr>
        <w:ind w:left="1800" w:hanging="360"/>
      </w:pPr>
      <w:rPr>
        <w:rFonts w:ascii="Symbol" w:hAnsi="Symbol"/>
      </w:rPr>
    </w:lvl>
    <w:lvl w:ilvl="3" w:tplc="C4E05152">
      <w:start w:val="1"/>
      <w:numFmt w:val="bullet"/>
      <w:lvlText w:val=""/>
      <w:lvlJc w:val="left"/>
      <w:pPr>
        <w:ind w:left="1800" w:hanging="360"/>
      </w:pPr>
      <w:rPr>
        <w:rFonts w:ascii="Symbol" w:hAnsi="Symbol"/>
      </w:rPr>
    </w:lvl>
    <w:lvl w:ilvl="4" w:tplc="423ECD92">
      <w:start w:val="1"/>
      <w:numFmt w:val="bullet"/>
      <w:lvlText w:val=""/>
      <w:lvlJc w:val="left"/>
      <w:pPr>
        <w:ind w:left="1800" w:hanging="360"/>
      </w:pPr>
      <w:rPr>
        <w:rFonts w:ascii="Symbol" w:hAnsi="Symbol"/>
      </w:rPr>
    </w:lvl>
    <w:lvl w:ilvl="5" w:tplc="DCB484D6">
      <w:start w:val="1"/>
      <w:numFmt w:val="bullet"/>
      <w:lvlText w:val=""/>
      <w:lvlJc w:val="left"/>
      <w:pPr>
        <w:ind w:left="1800" w:hanging="360"/>
      </w:pPr>
      <w:rPr>
        <w:rFonts w:ascii="Symbol" w:hAnsi="Symbol"/>
      </w:rPr>
    </w:lvl>
    <w:lvl w:ilvl="6" w:tplc="87B6BDC0">
      <w:start w:val="1"/>
      <w:numFmt w:val="bullet"/>
      <w:lvlText w:val=""/>
      <w:lvlJc w:val="left"/>
      <w:pPr>
        <w:ind w:left="1800" w:hanging="360"/>
      </w:pPr>
      <w:rPr>
        <w:rFonts w:ascii="Symbol" w:hAnsi="Symbol"/>
      </w:rPr>
    </w:lvl>
    <w:lvl w:ilvl="7" w:tplc="0468710E">
      <w:start w:val="1"/>
      <w:numFmt w:val="bullet"/>
      <w:lvlText w:val=""/>
      <w:lvlJc w:val="left"/>
      <w:pPr>
        <w:ind w:left="1800" w:hanging="360"/>
      </w:pPr>
      <w:rPr>
        <w:rFonts w:ascii="Symbol" w:hAnsi="Symbol"/>
      </w:rPr>
    </w:lvl>
    <w:lvl w:ilvl="8" w:tplc="8AD24552">
      <w:start w:val="1"/>
      <w:numFmt w:val="bullet"/>
      <w:lvlText w:val=""/>
      <w:lvlJc w:val="left"/>
      <w:pPr>
        <w:ind w:left="1800" w:hanging="360"/>
      </w:pPr>
      <w:rPr>
        <w:rFonts w:ascii="Symbol" w:hAnsi="Symbol"/>
      </w:rPr>
    </w:lvl>
  </w:abstractNum>
  <w:abstractNum w:abstractNumId="198" w15:restartNumberingAfterBreak="0">
    <w:nsid w:val="76EF70D5"/>
    <w:multiLevelType w:val="hybridMultilevel"/>
    <w:tmpl w:val="7246823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9" w15:restartNumberingAfterBreak="0">
    <w:nsid w:val="76FF6490"/>
    <w:multiLevelType w:val="multilevel"/>
    <w:tmpl w:val="59EE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7711284E"/>
    <w:multiLevelType w:val="hybridMultilevel"/>
    <w:tmpl w:val="E4762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1" w15:restartNumberingAfterBreak="0">
    <w:nsid w:val="7762DFB9"/>
    <w:multiLevelType w:val="hybridMultilevel"/>
    <w:tmpl w:val="82E649A4"/>
    <w:lvl w:ilvl="0" w:tplc="7E1A4080">
      <w:start w:val="1"/>
      <w:numFmt w:val="bullet"/>
      <w:lvlText w:val=""/>
      <w:lvlJc w:val="left"/>
      <w:pPr>
        <w:ind w:left="1440" w:hanging="360"/>
      </w:pPr>
      <w:rPr>
        <w:rFonts w:ascii="Symbol" w:hAnsi="Symbol" w:hint="default"/>
      </w:rPr>
    </w:lvl>
    <w:lvl w:ilvl="1" w:tplc="EC587884">
      <w:start w:val="1"/>
      <w:numFmt w:val="bullet"/>
      <w:lvlText w:val="o"/>
      <w:lvlJc w:val="left"/>
      <w:pPr>
        <w:ind w:left="1440" w:hanging="360"/>
      </w:pPr>
      <w:rPr>
        <w:rFonts w:ascii="Courier New" w:hAnsi="Courier New" w:hint="default"/>
      </w:rPr>
    </w:lvl>
    <w:lvl w:ilvl="2" w:tplc="D780FC7C">
      <w:start w:val="1"/>
      <w:numFmt w:val="bullet"/>
      <w:lvlText w:val=""/>
      <w:lvlJc w:val="left"/>
      <w:pPr>
        <w:ind w:left="2160" w:hanging="360"/>
      </w:pPr>
      <w:rPr>
        <w:rFonts w:ascii="Wingdings" w:hAnsi="Wingdings" w:hint="default"/>
      </w:rPr>
    </w:lvl>
    <w:lvl w:ilvl="3" w:tplc="D5047370">
      <w:start w:val="1"/>
      <w:numFmt w:val="bullet"/>
      <w:lvlText w:val=""/>
      <w:lvlJc w:val="left"/>
      <w:pPr>
        <w:ind w:left="2880" w:hanging="360"/>
      </w:pPr>
      <w:rPr>
        <w:rFonts w:ascii="Symbol" w:hAnsi="Symbol" w:hint="default"/>
      </w:rPr>
    </w:lvl>
    <w:lvl w:ilvl="4" w:tplc="F3A836EA">
      <w:start w:val="1"/>
      <w:numFmt w:val="bullet"/>
      <w:lvlText w:val="o"/>
      <w:lvlJc w:val="left"/>
      <w:pPr>
        <w:ind w:left="3600" w:hanging="360"/>
      </w:pPr>
      <w:rPr>
        <w:rFonts w:ascii="Courier New" w:hAnsi="Courier New" w:hint="default"/>
      </w:rPr>
    </w:lvl>
    <w:lvl w:ilvl="5" w:tplc="F87895CC">
      <w:start w:val="1"/>
      <w:numFmt w:val="bullet"/>
      <w:lvlText w:val=""/>
      <w:lvlJc w:val="left"/>
      <w:pPr>
        <w:ind w:left="4320" w:hanging="360"/>
      </w:pPr>
      <w:rPr>
        <w:rFonts w:ascii="Wingdings" w:hAnsi="Wingdings" w:hint="default"/>
      </w:rPr>
    </w:lvl>
    <w:lvl w:ilvl="6" w:tplc="19E273D0">
      <w:start w:val="1"/>
      <w:numFmt w:val="bullet"/>
      <w:lvlText w:val=""/>
      <w:lvlJc w:val="left"/>
      <w:pPr>
        <w:ind w:left="5040" w:hanging="360"/>
      </w:pPr>
      <w:rPr>
        <w:rFonts w:ascii="Symbol" w:hAnsi="Symbol" w:hint="default"/>
      </w:rPr>
    </w:lvl>
    <w:lvl w:ilvl="7" w:tplc="4DC4C002">
      <w:start w:val="1"/>
      <w:numFmt w:val="bullet"/>
      <w:lvlText w:val="o"/>
      <w:lvlJc w:val="left"/>
      <w:pPr>
        <w:ind w:left="5760" w:hanging="360"/>
      </w:pPr>
      <w:rPr>
        <w:rFonts w:ascii="Courier New" w:hAnsi="Courier New" w:hint="default"/>
      </w:rPr>
    </w:lvl>
    <w:lvl w:ilvl="8" w:tplc="8F007534">
      <w:start w:val="1"/>
      <w:numFmt w:val="bullet"/>
      <w:lvlText w:val=""/>
      <w:lvlJc w:val="left"/>
      <w:pPr>
        <w:ind w:left="6480" w:hanging="360"/>
      </w:pPr>
      <w:rPr>
        <w:rFonts w:ascii="Wingdings" w:hAnsi="Wingdings" w:hint="default"/>
      </w:rPr>
    </w:lvl>
  </w:abstractNum>
  <w:abstractNum w:abstractNumId="202" w15:restartNumberingAfterBreak="0">
    <w:nsid w:val="78D90062"/>
    <w:multiLevelType w:val="hybridMultilevel"/>
    <w:tmpl w:val="AED0E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3" w15:restartNumberingAfterBreak="0">
    <w:nsid w:val="78F17508"/>
    <w:multiLevelType w:val="multilevel"/>
    <w:tmpl w:val="F9D0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78F8138E"/>
    <w:multiLevelType w:val="multilevel"/>
    <w:tmpl w:val="AD4E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79F619B4"/>
    <w:multiLevelType w:val="multilevel"/>
    <w:tmpl w:val="32A667BE"/>
    <w:styleLink w:val="ZZBulletsafternumbers"/>
    <w:lvl w:ilvl="0">
      <w:start w:val="1"/>
      <w:numFmt w:val="decimal"/>
      <w:lvlText w:val=""/>
      <w:lvlJc w:val="left"/>
      <w:pPr>
        <w:ind w:left="0" w:firstLine="0"/>
      </w:pPr>
    </w:lvl>
    <w:lvl w:ilvl="1">
      <w:start w:val="1"/>
      <w:numFmt w:val="bullet"/>
      <w:lvlRestart w:val="0"/>
      <w:pStyle w:val="SCVbulletafternumbers"/>
      <w:lvlText w:val="•"/>
      <w:lvlJc w:val="left"/>
      <w:pPr>
        <w:ind w:left="794" w:hanging="397"/>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06" w15:restartNumberingAfterBreak="0">
    <w:nsid w:val="7ABB3288"/>
    <w:multiLevelType w:val="multilevel"/>
    <w:tmpl w:val="AA82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7C796E7B"/>
    <w:multiLevelType w:val="multilevel"/>
    <w:tmpl w:val="7DBA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7C90651A"/>
    <w:multiLevelType w:val="multilevel"/>
    <w:tmpl w:val="B0D2D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7D324906"/>
    <w:multiLevelType w:val="multilevel"/>
    <w:tmpl w:val="70CC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5629F3"/>
    <w:multiLevelType w:val="multilevel"/>
    <w:tmpl w:val="3680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8E1781"/>
    <w:multiLevelType w:val="multilevel"/>
    <w:tmpl w:val="A4FE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7E6F32A5"/>
    <w:multiLevelType w:val="multilevel"/>
    <w:tmpl w:val="2392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7E91488F"/>
    <w:multiLevelType w:val="multilevel"/>
    <w:tmpl w:val="993A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7F4B31C0"/>
    <w:multiLevelType w:val="hybridMultilevel"/>
    <w:tmpl w:val="AA3C40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5" w15:restartNumberingAfterBreak="0">
    <w:nsid w:val="7FD44514"/>
    <w:multiLevelType w:val="multilevel"/>
    <w:tmpl w:val="457635A8"/>
    <w:name w:val="List num"/>
    <w:lvl w:ilvl="0">
      <w:start w:val="1"/>
      <w:numFmt w:val="lowerLetter"/>
      <w:lvlText w:val="(%1)"/>
      <w:lvlJc w:val="left"/>
      <w:pPr>
        <w:ind w:left="397" w:hanging="397"/>
      </w:pPr>
      <w:rPr>
        <w:rFonts w:hint="default"/>
      </w:rPr>
    </w:lvl>
    <w:lvl w:ilvl="1">
      <w:start w:val="1"/>
      <w:numFmt w:val="lowerRoman"/>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Restart w:val="1"/>
      <w:lvlText w:val="(%5)"/>
      <w:lvlJc w:val="left"/>
      <w:pPr>
        <w:ind w:left="1985" w:hanging="397"/>
      </w:pPr>
      <w:rPr>
        <w:rFonts w:hint="default"/>
      </w:rPr>
    </w:lvl>
    <w:lvl w:ilvl="5">
      <w:start w:val="1"/>
      <w:numFmt w:val="decimal"/>
      <w:lvlText w:val="%3.%4.%5.%6"/>
      <w:lvlJc w:val="left"/>
      <w:pPr>
        <w:tabs>
          <w:tab w:val="num" w:pos="2345"/>
        </w:tabs>
        <w:ind w:left="2382" w:hanging="397"/>
      </w:pPr>
      <w:rPr>
        <w:rFonts w:hint="default"/>
      </w:rPr>
    </w:lvl>
    <w:lvl w:ilvl="6">
      <w:start w:val="1"/>
      <w:numFmt w:val="lowerLetter"/>
      <w:lvlText w:val="(%7)"/>
      <w:lvlJc w:val="left"/>
      <w:pPr>
        <w:tabs>
          <w:tab w:val="num" w:pos="2742"/>
        </w:tabs>
        <w:ind w:left="2779" w:hanging="397"/>
      </w:pPr>
      <w:rPr>
        <w:rFonts w:hint="default"/>
      </w:rPr>
    </w:lvl>
    <w:lvl w:ilvl="7">
      <w:start w:val="1"/>
      <w:numFmt w:val="lowerRoman"/>
      <w:lvlText w:val="(%8)"/>
      <w:lvlJc w:val="left"/>
      <w:pPr>
        <w:tabs>
          <w:tab w:val="num" w:pos="3139"/>
        </w:tabs>
        <w:ind w:left="3176" w:hanging="397"/>
      </w:pPr>
      <w:rPr>
        <w:rFonts w:hint="default"/>
      </w:rPr>
    </w:lvl>
    <w:lvl w:ilvl="8">
      <w:start w:val="1"/>
      <w:numFmt w:val="decimal"/>
      <w:lvlText w:val="%9."/>
      <w:lvlJc w:val="left"/>
      <w:pPr>
        <w:tabs>
          <w:tab w:val="num" w:pos="3536"/>
        </w:tabs>
        <w:ind w:left="3573" w:hanging="397"/>
      </w:pPr>
      <w:rPr>
        <w:rFonts w:hint="default"/>
      </w:rPr>
    </w:lvl>
  </w:abstractNum>
  <w:num w:numId="1" w16cid:durableId="1728139818">
    <w:abstractNumId w:val="86"/>
  </w:num>
  <w:num w:numId="2" w16cid:durableId="794829130">
    <w:abstractNumId w:val="113"/>
  </w:num>
  <w:num w:numId="3" w16cid:durableId="1335454873">
    <w:abstractNumId w:val="160"/>
  </w:num>
  <w:num w:numId="4" w16cid:durableId="1173378321">
    <w:abstractNumId w:val="49"/>
  </w:num>
  <w:num w:numId="5" w16cid:durableId="1158032835">
    <w:abstractNumId w:val="119"/>
  </w:num>
  <w:num w:numId="6" w16cid:durableId="161970783">
    <w:abstractNumId w:val="159"/>
  </w:num>
  <w:num w:numId="7" w16cid:durableId="923227505">
    <w:abstractNumId w:val="205"/>
  </w:num>
  <w:num w:numId="8" w16cid:durableId="1021660768">
    <w:abstractNumId w:val="91"/>
  </w:num>
  <w:num w:numId="9" w16cid:durableId="670913307">
    <w:abstractNumId w:val="34"/>
  </w:num>
  <w:num w:numId="10" w16cid:durableId="47460287">
    <w:abstractNumId w:val="168"/>
  </w:num>
  <w:num w:numId="11" w16cid:durableId="1438404703">
    <w:abstractNumId w:val="135"/>
  </w:num>
  <w:num w:numId="12" w16cid:durableId="544371940">
    <w:abstractNumId w:val="117"/>
    <w:lvlOverride w:ilvl="0">
      <w:lvl w:ilvl="0">
        <w:numFmt w:val="bullet"/>
        <w:pStyle w:val="SCVbullet1"/>
        <w:lvlText w:val=""/>
        <w:lvlJc w:val="left"/>
        <w:pPr>
          <w:tabs>
            <w:tab w:val="num" w:pos="720"/>
          </w:tabs>
          <w:ind w:left="720" w:hanging="360"/>
        </w:pPr>
        <w:rPr>
          <w:rFonts w:ascii="Symbol" w:hAnsi="Symbol" w:hint="default"/>
          <w:color w:val="auto"/>
          <w:sz w:val="20"/>
        </w:rPr>
      </w:lvl>
    </w:lvlOverride>
  </w:num>
  <w:num w:numId="13" w16cid:durableId="900480980">
    <w:abstractNumId w:val="69"/>
  </w:num>
  <w:num w:numId="14" w16cid:durableId="2079281751">
    <w:abstractNumId w:val="116"/>
  </w:num>
  <w:num w:numId="15" w16cid:durableId="1572229087">
    <w:abstractNumId w:val="161"/>
  </w:num>
  <w:num w:numId="16" w16cid:durableId="1435708700">
    <w:abstractNumId w:val="36"/>
  </w:num>
  <w:num w:numId="17" w16cid:durableId="1445884519">
    <w:abstractNumId w:val="133"/>
  </w:num>
  <w:num w:numId="18" w16cid:durableId="716508832">
    <w:abstractNumId w:val="6"/>
  </w:num>
  <w:num w:numId="19" w16cid:durableId="1620991947">
    <w:abstractNumId w:val="91"/>
  </w:num>
  <w:num w:numId="20" w16cid:durableId="737630043">
    <w:abstractNumId w:val="199"/>
  </w:num>
  <w:num w:numId="21" w16cid:durableId="1248920542">
    <w:abstractNumId w:val="14"/>
  </w:num>
  <w:num w:numId="22" w16cid:durableId="921641029">
    <w:abstractNumId w:val="20"/>
  </w:num>
  <w:num w:numId="23" w16cid:durableId="511720179">
    <w:abstractNumId w:val="61"/>
  </w:num>
  <w:num w:numId="24" w16cid:durableId="1756781447">
    <w:abstractNumId w:val="124"/>
  </w:num>
  <w:num w:numId="25" w16cid:durableId="1646931435">
    <w:abstractNumId w:val="51"/>
  </w:num>
  <w:num w:numId="26" w16cid:durableId="1975941043">
    <w:abstractNumId w:val="129"/>
  </w:num>
  <w:num w:numId="27" w16cid:durableId="587274386">
    <w:abstractNumId w:val="162"/>
  </w:num>
  <w:num w:numId="28" w16cid:durableId="1554656791">
    <w:abstractNumId w:val="146"/>
  </w:num>
  <w:num w:numId="29" w16cid:durableId="664091960">
    <w:abstractNumId w:val="171"/>
  </w:num>
  <w:num w:numId="30" w16cid:durableId="930505141">
    <w:abstractNumId w:val="141"/>
  </w:num>
  <w:num w:numId="31" w16cid:durableId="1253510786">
    <w:abstractNumId w:val="80"/>
  </w:num>
  <w:num w:numId="32" w16cid:durableId="554436355">
    <w:abstractNumId w:val="78"/>
  </w:num>
  <w:num w:numId="33" w16cid:durableId="1023438194">
    <w:abstractNumId w:val="70"/>
  </w:num>
  <w:num w:numId="34" w16cid:durableId="182864780">
    <w:abstractNumId w:val="212"/>
  </w:num>
  <w:num w:numId="35" w16cid:durableId="1670794361">
    <w:abstractNumId w:val="184"/>
  </w:num>
  <w:num w:numId="36" w16cid:durableId="2092505887">
    <w:abstractNumId w:val="21"/>
  </w:num>
  <w:num w:numId="37" w16cid:durableId="305625122">
    <w:abstractNumId w:val="63"/>
  </w:num>
  <w:num w:numId="38" w16cid:durableId="2100909092">
    <w:abstractNumId w:val="206"/>
  </w:num>
  <w:num w:numId="39" w16cid:durableId="382606923">
    <w:abstractNumId w:val="90"/>
  </w:num>
  <w:num w:numId="40" w16cid:durableId="790900449">
    <w:abstractNumId w:val="147"/>
  </w:num>
  <w:num w:numId="41" w16cid:durableId="1812290153">
    <w:abstractNumId w:val="84"/>
  </w:num>
  <w:num w:numId="42" w16cid:durableId="1849102957">
    <w:abstractNumId w:val="93"/>
  </w:num>
  <w:num w:numId="43" w16cid:durableId="1849444491">
    <w:abstractNumId w:val="16"/>
  </w:num>
  <w:num w:numId="44" w16cid:durableId="396827309">
    <w:abstractNumId w:val="65"/>
  </w:num>
  <w:num w:numId="45" w16cid:durableId="2128549747">
    <w:abstractNumId w:val="53"/>
  </w:num>
  <w:num w:numId="46" w16cid:durableId="598678882">
    <w:abstractNumId w:val="127"/>
  </w:num>
  <w:num w:numId="47" w16cid:durableId="269633546">
    <w:abstractNumId w:val="211"/>
  </w:num>
  <w:num w:numId="48" w16cid:durableId="1908146461">
    <w:abstractNumId w:val="173"/>
  </w:num>
  <w:num w:numId="49" w16cid:durableId="1499495019">
    <w:abstractNumId w:val="163"/>
  </w:num>
  <w:num w:numId="50" w16cid:durableId="1987777363">
    <w:abstractNumId w:val="74"/>
  </w:num>
  <w:num w:numId="51" w16cid:durableId="1996565792">
    <w:abstractNumId w:val="25"/>
  </w:num>
  <w:num w:numId="52" w16cid:durableId="1518884838">
    <w:abstractNumId w:val="144"/>
  </w:num>
  <w:num w:numId="53" w16cid:durableId="1532765474">
    <w:abstractNumId w:val="145"/>
  </w:num>
  <w:num w:numId="54" w16cid:durableId="1857964992">
    <w:abstractNumId w:val="76"/>
  </w:num>
  <w:num w:numId="55" w16cid:durableId="457185513">
    <w:abstractNumId w:val="204"/>
  </w:num>
  <w:num w:numId="56" w16cid:durableId="696467807">
    <w:abstractNumId w:val="149"/>
  </w:num>
  <w:num w:numId="57" w16cid:durableId="328676965">
    <w:abstractNumId w:val="9"/>
  </w:num>
  <w:num w:numId="58" w16cid:durableId="1153837973">
    <w:abstractNumId w:val="3"/>
  </w:num>
  <w:num w:numId="59" w16cid:durableId="1944341207">
    <w:abstractNumId w:val="39"/>
  </w:num>
  <w:num w:numId="60" w16cid:durableId="613295178">
    <w:abstractNumId w:val="140"/>
  </w:num>
  <w:num w:numId="61" w16cid:durableId="1411464630">
    <w:abstractNumId w:val="175"/>
  </w:num>
  <w:num w:numId="62" w16cid:durableId="1554077589">
    <w:abstractNumId w:val="56"/>
  </w:num>
  <w:num w:numId="63" w16cid:durableId="957685015">
    <w:abstractNumId w:val="99"/>
  </w:num>
  <w:num w:numId="64" w16cid:durableId="1090347697">
    <w:abstractNumId w:val="46"/>
  </w:num>
  <w:num w:numId="65" w16cid:durableId="821311987">
    <w:abstractNumId w:val="151"/>
  </w:num>
  <w:num w:numId="66" w16cid:durableId="769084837">
    <w:abstractNumId w:val="131"/>
  </w:num>
  <w:num w:numId="67" w16cid:durableId="19792654">
    <w:abstractNumId w:val="187"/>
  </w:num>
  <w:num w:numId="68" w16cid:durableId="1373115373">
    <w:abstractNumId w:val="177"/>
  </w:num>
  <w:num w:numId="69" w16cid:durableId="1337927747">
    <w:abstractNumId w:val="28"/>
  </w:num>
  <w:num w:numId="70" w16cid:durableId="153449605">
    <w:abstractNumId w:val="112"/>
  </w:num>
  <w:num w:numId="71" w16cid:durableId="1579560089">
    <w:abstractNumId w:val="169"/>
  </w:num>
  <w:num w:numId="72" w16cid:durableId="1002196054">
    <w:abstractNumId w:val="72"/>
  </w:num>
  <w:num w:numId="73" w16cid:durableId="937562828">
    <w:abstractNumId w:val="82"/>
  </w:num>
  <w:num w:numId="74" w16cid:durableId="518930142">
    <w:abstractNumId w:val="132"/>
  </w:num>
  <w:num w:numId="75" w16cid:durableId="1896814687">
    <w:abstractNumId w:val="19"/>
  </w:num>
  <w:num w:numId="76" w16cid:durableId="1773744836">
    <w:abstractNumId w:val="26"/>
  </w:num>
  <w:num w:numId="77" w16cid:durableId="1508862154">
    <w:abstractNumId w:val="122"/>
  </w:num>
  <w:num w:numId="78" w16cid:durableId="523174416">
    <w:abstractNumId w:val="153"/>
  </w:num>
  <w:num w:numId="79" w16cid:durableId="44257680">
    <w:abstractNumId w:val="148"/>
  </w:num>
  <w:num w:numId="80" w16cid:durableId="1809660737">
    <w:abstractNumId w:val="47"/>
  </w:num>
  <w:num w:numId="81" w16cid:durableId="868421492">
    <w:abstractNumId w:val="195"/>
  </w:num>
  <w:num w:numId="82" w16cid:durableId="924340531">
    <w:abstractNumId w:val="29"/>
  </w:num>
  <w:num w:numId="83" w16cid:durableId="967276076">
    <w:abstractNumId w:val="167"/>
  </w:num>
  <w:num w:numId="84" w16cid:durableId="738985426">
    <w:abstractNumId w:val="210"/>
  </w:num>
  <w:num w:numId="85" w16cid:durableId="313606428">
    <w:abstractNumId w:val="15"/>
  </w:num>
  <w:num w:numId="86" w16cid:durableId="1022900422">
    <w:abstractNumId w:val="155"/>
  </w:num>
  <w:num w:numId="87" w16cid:durableId="1978992017">
    <w:abstractNumId w:val="123"/>
  </w:num>
  <w:num w:numId="88" w16cid:durableId="47919641">
    <w:abstractNumId w:val="44"/>
  </w:num>
  <w:num w:numId="89" w16cid:durableId="1291008114">
    <w:abstractNumId w:val="73"/>
  </w:num>
  <w:num w:numId="90" w16cid:durableId="1064335099">
    <w:abstractNumId w:val="106"/>
  </w:num>
  <w:num w:numId="91" w16cid:durableId="524906727">
    <w:abstractNumId w:val="24"/>
  </w:num>
  <w:num w:numId="92" w16cid:durableId="655498948">
    <w:abstractNumId w:val="194"/>
  </w:num>
  <w:num w:numId="93" w16cid:durableId="728848443">
    <w:abstractNumId w:val="185"/>
  </w:num>
  <w:num w:numId="94" w16cid:durableId="1583833893">
    <w:abstractNumId w:val="176"/>
  </w:num>
  <w:num w:numId="95" w16cid:durableId="890770001">
    <w:abstractNumId w:val="85"/>
  </w:num>
  <w:num w:numId="96" w16cid:durableId="2073505494">
    <w:abstractNumId w:val="17"/>
  </w:num>
  <w:num w:numId="97" w16cid:durableId="762144218">
    <w:abstractNumId w:val="170"/>
  </w:num>
  <w:num w:numId="98" w16cid:durableId="2113165724">
    <w:abstractNumId w:val="1"/>
  </w:num>
  <w:num w:numId="99" w16cid:durableId="1100415084">
    <w:abstractNumId w:val="165"/>
  </w:num>
  <w:num w:numId="100" w16cid:durableId="481434044">
    <w:abstractNumId w:val="178"/>
  </w:num>
  <w:num w:numId="101" w16cid:durableId="1421826354">
    <w:abstractNumId w:val="7"/>
  </w:num>
  <w:num w:numId="102" w16cid:durableId="17241071">
    <w:abstractNumId w:val="182"/>
  </w:num>
  <w:num w:numId="103" w16cid:durableId="298848449">
    <w:abstractNumId w:val="156"/>
  </w:num>
  <w:num w:numId="104" w16cid:durableId="250243824">
    <w:abstractNumId w:val="134"/>
  </w:num>
  <w:num w:numId="105" w16cid:durableId="1068117656">
    <w:abstractNumId w:val="109"/>
  </w:num>
  <w:num w:numId="106" w16cid:durableId="1270160983">
    <w:abstractNumId w:val="64"/>
  </w:num>
  <w:num w:numId="107" w16cid:durableId="2086755894">
    <w:abstractNumId w:val="27"/>
  </w:num>
  <w:num w:numId="108" w16cid:durableId="451636331">
    <w:abstractNumId w:val="52"/>
  </w:num>
  <w:num w:numId="109" w16cid:durableId="545726455">
    <w:abstractNumId w:val="60"/>
  </w:num>
  <w:num w:numId="110" w16cid:durableId="1816869160">
    <w:abstractNumId w:val="188"/>
  </w:num>
  <w:num w:numId="111" w16cid:durableId="1450782240">
    <w:abstractNumId w:val="180"/>
  </w:num>
  <w:num w:numId="112" w16cid:durableId="194270040">
    <w:abstractNumId w:val="18"/>
  </w:num>
  <w:num w:numId="113" w16cid:durableId="1033917761">
    <w:abstractNumId w:val="11"/>
  </w:num>
  <w:num w:numId="114" w16cid:durableId="512650627">
    <w:abstractNumId w:val="40"/>
  </w:num>
  <w:num w:numId="115" w16cid:durableId="2046060412">
    <w:abstractNumId w:val="68"/>
  </w:num>
  <w:num w:numId="116" w16cid:durableId="402024105">
    <w:abstractNumId w:val="87"/>
  </w:num>
  <w:num w:numId="117" w16cid:durableId="1333340869">
    <w:abstractNumId w:val="136"/>
  </w:num>
  <w:num w:numId="118" w16cid:durableId="1009412559">
    <w:abstractNumId w:val="201"/>
  </w:num>
  <w:num w:numId="119" w16cid:durableId="1121530938">
    <w:abstractNumId w:val="138"/>
  </w:num>
  <w:num w:numId="120" w16cid:durableId="805468724">
    <w:abstractNumId w:val="114"/>
  </w:num>
  <w:num w:numId="121" w16cid:durableId="441804285">
    <w:abstractNumId w:val="107"/>
  </w:num>
  <w:num w:numId="122" w16cid:durableId="633869070">
    <w:abstractNumId w:val="58"/>
  </w:num>
  <w:num w:numId="123" w16cid:durableId="2127498385">
    <w:abstractNumId w:val="41"/>
  </w:num>
  <w:num w:numId="124" w16cid:durableId="844050386">
    <w:abstractNumId w:val="104"/>
  </w:num>
  <w:num w:numId="125" w16cid:durableId="999388846">
    <w:abstractNumId w:val="100"/>
  </w:num>
  <w:num w:numId="126" w16cid:durableId="774979538">
    <w:abstractNumId w:val="55"/>
  </w:num>
  <w:num w:numId="127" w16cid:durableId="1453130626">
    <w:abstractNumId w:val="83"/>
  </w:num>
  <w:num w:numId="128" w16cid:durableId="747729472">
    <w:abstractNumId w:val="8"/>
  </w:num>
  <w:num w:numId="129" w16cid:durableId="756244498">
    <w:abstractNumId w:val="208"/>
  </w:num>
  <w:num w:numId="130" w16cid:durableId="1871993523">
    <w:abstractNumId w:val="71"/>
  </w:num>
  <w:num w:numId="131" w16cid:durableId="873883157">
    <w:abstractNumId w:val="2"/>
  </w:num>
  <w:num w:numId="132" w16cid:durableId="429737827">
    <w:abstractNumId w:val="115"/>
  </w:num>
  <w:num w:numId="133" w16cid:durableId="26180532">
    <w:abstractNumId w:val="179"/>
  </w:num>
  <w:num w:numId="134" w16cid:durableId="1954943850">
    <w:abstractNumId w:val="94"/>
  </w:num>
  <w:num w:numId="135" w16cid:durableId="1961574303">
    <w:abstractNumId w:val="102"/>
  </w:num>
  <w:num w:numId="136" w16cid:durableId="1756321927">
    <w:abstractNumId w:val="186"/>
  </w:num>
  <w:num w:numId="137" w16cid:durableId="1876041110">
    <w:abstractNumId w:val="213"/>
  </w:num>
  <w:num w:numId="138" w16cid:durableId="552813987">
    <w:abstractNumId w:val="92"/>
  </w:num>
  <w:num w:numId="139" w16cid:durableId="1936595441">
    <w:abstractNumId w:val="130"/>
  </w:num>
  <w:num w:numId="140" w16cid:durableId="30617901">
    <w:abstractNumId w:val="38"/>
  </w:num>
  <w:num w:numId="141" w16cid:durableId="707755585">
    <w:abstractNumId w:val="105"/>
  </w:num>
  <w:num w:numId="142" w16cid:durableId="192886556">
    <w:abstractNumId w:val="22"/>
  </w:num>
  <w:num w:numId="143" w16cid:durableId="532110637">
    <w:abstractNumId w:val="98"/>
  </w:num>
  <w:num w:numId="144" w16cid:durableId="2124953881">
    <w:abstractNumId w:val="5"/>
  </w:num>
  <w:num w:numId="145" w16cid:durableId="1549995215">
    <w:abstractNumId w:val="164"/>
  </w:num>
  <w:num w:numId="146" w16cid:durableId="1816986663">
    <w:abstractNumId w:val="45"/>
  </w:num>
  <w:num w:numId="147" w16cid:durableId="952396685">
    <w:abstractNumId w:val="0"/>
  </w:num>
  <w:num w:numId="148" w16cid:durableId="645285602">
    <w:abstractNumId w:val="32"/>
  </w:num>
  <w:num w:numId="149" w16cid:durableId="117145038">
    <w:abstractNumId w:val="125"/>
  </w:num>
  <w:num w:numId="150" w16cid:durableId="1190290632">
    <w:abstractNumId w:val="12"/>
  </w:num>
  <w:num w:numId="151" w16cid:durableId="1912426380">
    <w:abstractNumId w:val="77"/>
  </w:num>
  <w:num w:numId="152" w16cid:durableId="975337563">
    <w:abstractNumId w:val="143"/>
  </w:num>
  <w:num w:numId="153" w16cid:durableId="481851722">
    <w:abstractNumId w:val="152"/>
  </w:num>
  <w:num w:numId="154" w16cid:durableId="1766874420">
    <w:abstractNumId w:val="89"/>
  </w:num>
  <w:num w:numId="155" w16cid:durableId="374932782">
    <w:abstractNumId w:val="121"/>
  </w:num>
  <w:num w:numId="156" w16cid:durableId="1609966802">
    <w:abstractNumId w:val="108"/>
  </w:num>
  <w:num w:numId="157" w16cid:durableId="1031806120">
    <w:abstractNumId w:val="35"/>
  </w:num>
  <w:num w:numId="158" w16cid:durableId="12050960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51306056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672296002">
    <w:abstractNumId w:val="183"/>
  </w:num>
  <w:num w:numId="161" w16cid:durableId="1281759027">
    <w:abstractNumId w:val="13"/>
  </w:num>
  <w:num w:numId="162" w16cid:durableId="399132624">
    <w:abstractNumId w:val="57"/>
  </w:num>
  <w:num w:numId="163" w16cid:durableId="41026870">
    <w:abstractNumId w:val="23"/>
  </w:num>
  <w:num w:numId="164" w16cid:durableId="1947957234">
    <w:abstractNumId w:val="128"/>
  </w:num>
  <w:num w:numId="165" w16cid:durableId="1978796405">
    <w:abstractNumId w:val="192"/>
  </w:num>
  <w:num w:numId="166" w16cid:durableId="1510101981">
    <w:abstractNumId w:val="214"/>
  </w:num>
  <w:num w:numId="167" w16cid:durableId="2010213446">
    <w:abstractNumId w:val="88"/>
  </w:num>
  <w:num w:numId="168" w16cid:durableId="3677872">
    <w:abstractNumId w:val="181"/>
  </w:num>
  <w:num w:numId="169" w16cid:durableId="1244144538">
    <w:abstractNumId w:val="110"/>
  </w:num>
  <w:num w:numId="170" w16cid:durableId="1946037730">
    <w:abstractNumId w:val="200"/>
  </w:num>
  <w:num w:numId="171" w16cid:durableId="1826389402">
    <w:abstractNumId w:val="154"/>
  </w:num>
  <w:num w:numId="172" w16cid:durableId="1583682518">
    <w:abstractNumId w:val="31"/>
  </w:num>
  <w:num w:numId="173" w16cid:durableId="941378049">
    <w:abstractNumId w:val="142"/>
  </w:num>
  <w:num w:numId="174" w16cid:durableId="844589334">
    <w:abstractNumId w:val="62"/>
  </w:num>
  <w:num w:numId="175" w16cid:durableId="1927302981">
    <w:abstractNumId w:val="197"/>
  </w:num>
  <w:num w:numId="176" w16cid:durableId="592205073">
    <w:abstractNumId w:val="67"/>
  </w:num>
  <w:num w:numId="177" w16cid:durableId="1286039086">
    <w:abstractNumId w:val="189"/>
  </w:num>
  <w:num w:numId="178" w16cid:durableId="90207822">
    <w:abstractNumId w:val="59"/>
  </w:num>
  <w:num w:numId="179" w16cid:durableId="657268835">
    <w:abstractNumId w:val="66"/>
  </w:num>
  <w:num w:numId="180" w16cid:durableId="1516768474">
    <w:abstractNumId w:val="75"/>
  </w:num>
  <w:num w:numId="181" w16cid:durableId="656767669">
    <w:abstractNumId w:val="97"/>
  </w:num>
  <w:num w:numId="182" w16cid:durableId="653144216">
    <w:abstractNumId w:val="118"/>
  </w:num>
  <w:num w:numId="183" w16cid:durableId="1207182809">
    <w:abstractNumId w:val="191"/>
  </w:num>
  <w:num w:numId="184" w16cid:durableId="1557085003">
    <w:abstractNumId w:val="172"/>
  </w:num>
  <w:num w:numId="185" w16cid:durableId="1083256145">
    <w:abstractNumId w:val="79"/>
  </w:num>
  <w:num w:numId="186" w16cid:durableId="1944485809">
    <w:abstractNumId w:val="190"/>
  </w:num>
  <w:num w:numId="187" w16cid:durableId="592008275">
    <w:abstractNumId w:val="174"/>
  </w:num>
  <w:num w:numId="188" w16cid:durableId="1450397880">
    <w:abstractNumId w:val="137"/>
  </w:num>
  <w:num w:numId="189" w16cid:durableId="801191463">
    <w:abstractNumId w:val="158"/>
  </w:num>
  <w:num w:numId="190" w16cid:durableId="486213370">
    <w:abstractNumId w:val="103"/>
  </w:num>
  <w:num w:numId="191" w16cid:durableId="1036736127">
    <w:abstractNumId w:val="30"/>
  </w:num>
  <w:num w:numId="192" w16cid:durableId="1252659342">
    <w:abstractNumId w:val="96"/>
  </w:num>
  <w:num w:numId="193" w16cid:durableId="1837573687">
    <w:abstractNumId w:val="111"/>
  </w:num>
  <w:num w:numId="194" w16cid:durableId="505561095">
    <w:abstractNumId w:val="10"/>
  </w:num>
  <w:num w:numId="195" w16cid:durableId="722367145">
    <w:abstractNumId w:val="4"/>
  </w:num>
  <w:num w:numId="196" w16cid:durableId="1485387116">
    <w:abstractNumId w:val="42"/>
  </w:num>
  <w:num w:numId="197" w16cid:durableId="587539110">
    <w:abstractNumId w:val="202"/>
  </w:num>
  <w:num w:numId="198" w16cid:durableId="1267228793">
    <w:abstractNumId w:val="120"/>
  </w:num>
  <w:num w:numId="199" w16cid:durableId="1376153227">
    <w:abstractNumId w:val="101"/>
  </w:num>
  <w:num w:numId="200" w16cid:durableId="461922152">
    <w:abstractNumId w:val="33"/>
  </w:num>
  <w:num w:numId="201" w16cid:durableId="1833249927">
    <w:abstractNumId w:val="196"/>
  </w:num>
  <w:num w:numId="202" w16cid:durableId="1541671301">
    <w:abstractNumId w:val="193"/>
  </w:num>
  <w:num w:numId="203" w16cid:durableId="1306811860">
    <w:abstractNumId w:val="139"/>
  </w:num>
  <w:num w:numId="204" w16cid:durableId="1582249116">
    <w:abstractNumId w:val="54"/>
  </w:num>
  <w:num w:numId="205" w16cid:durableId="612329246">
    <w:abstractNumId w:val="203"/>
  </w:num>
  <w:num w:numId="206" w16cid:durableId="652225478">
    <w:abstractNumId w:val="50"/>
  </w:num>
  <w:num w:numId="207" w16cid:durableId="1215198906">
    <w:abstractNumId w:val="207"/>
  </w:num>
  <w:num w:numId="208" w16cid:durableId="1566909417">
    <w:abstractNumId w:val="209"/>
  </w:num>
  <w:num w:numId="209" w16cid:durableId="1569921399">
    <w:abstractNumId w:val="150"/>
  </w:num>
  <w:num w:numId="210" w16cid:durableId="254099538">
    <w:abstractNumId w:val="37"/>
  </w:num>
  <w:num w:numId="211" w16cid:durableId="719942326">
    <w:abstractNumId w:val="117"/>
  </w:num>
  <w:num w:numId="212" w16cid:durableId="554046642">
    <w:abstractNumId w:val="43"/>
  </w:num>
  <w:num w:numId="213" w16cid:durableId="638151462">
    <w:abstractNumId w:val="126"/>
  </w:num>
  <w:num w:numId="214" w16cid:durableId="595866752">
    <w:abstractNumId w:val="166"/>
  </w:num>
  <w:num w:numId="215" w16cid:durableId="676425419">
    <w:abstractNumId w:val="48"/>
  </w:num>
  <w:num w:numId="216" w16cid:durableId="1411848515">
    <w:abstractNumId w:val="157"/>
  </w:num>
  <w:num w:numId="217" w16cid:durableId="1527134980">
    <w:abstractNumId w:val="198"/>
  </w:num>
  <w:numIdMacAtCleanup w:val="2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activeWritingStyle w:appName="MSWord" w:lang="en-GB" w:vendorID="64" w:dllVersion="0" w:nlCheck="1" w:checkStyle="0"/>
  <w:activeWritingStyle w:appName="MSWord" w:lang="en-AU" w:vendorID="64" w:dllVersion="0" w:nlCheck="1" w:checkStyle="0"/>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835"/>
    <w:rsid w:val="0000022F"/>
    <w:rsid w:val="0000071B"/>
    <w:rsid w:val="0000093C"/>
    <w:rsid w:val="00000D14"/>
    <w:rsid w:val="00000E59"/>
    <w:rsid w:val="000011EA"/>
    <w:rsid w:val="000012A3"/>
    <w:rsid w:val="00001592"/>
    <w:rsid w:val="00001655"/>
    <w:rsid w:val="0000166E"/>
    <w:rsid w:val="000016E7"/>
    <w:rsid w:val="00001BB4"/>
    <w:rsid w:val="00001C40"/>
    <w:rsid w:val="00001D4C"/>
    <w:rsid w:val="00001DDB"/>
    <w:rsid w:val="00002115"/>
    <w:rsid w:val="00002671"/>
    <w:rsid w:val="0000273F"/>
    <w:rsid w:val="00002C12"/>
    <w:rsid w:val="00002C73"/>
    <w:rsid w:val="00002E6E"/>
    <w:rsid w:val="00002E87"/>
    <w:rsid w:val="00002F3F"/>
    <w:rsid w:val="00002F66"/>
    <w:rsid w:val="00002F6A"/>
    <w:rsid w:val="00002F7B"/>
    <w:rsid w:val="00002F97"/>
    <w:rsid w:val="00003225"/>
    <w:rsid w:val="00003238"/>
    <w:rsid w:val="00003827"/>
    <w:rsid w:val="00003A39"/>
    <w:rsid w:val="00003B04"/>
    <w:rsid w:val="00004050"/>
    <w:rsid w:val="00004280"/>
    <w:rsid w:val="00004360"/>
    <w:rsid w:val="00004410"/>
    <w:rsid w:val="000044B9"/>
    <w:rsid w:val="0000450F"/>
    <w:rsid w:val="00004596"/>
    <w:rsid w:val="000045B4"/>
    <w:rsid w:val="00004728"/>
    <w:rsid w:val="00004C19"/>
    <w:rsid w:val="00004E9A"/>
    <w:rsid w:val="0000500F"/>
    <w:rsid w:val="00005054"/>
    <w:rsid w:val="0000509A"/>
    <w:rsid w:val="0000519F"/>
    <w:rsid w:val="000051E5"/>
    <w:rsid w:val="000055A8"/>
    <w:rsid w:val="00005676"/>
    <w:rsid w:val="00005860"/>
    <w:rsid w:val="00005A4B"/>
    <w:rsid w:val="00005A8D"/>
    <w:rsid w:val="00005F8B"/>
    <w:rsid w:val="00006177"/>
    <w:rsid w:val="000061E7"/>
    <w:rsid w:val="00006228"/>
    <w:rsid w:val="00006356"/>
    <w:rsid w:val="000063F7"/>
    <w:rsid w:val="00006A7B"/>
    <w:rsid w:val="00006F0D"/>
    <w:rsid w:val="00006F79"/>
    <w:rsid w:val="00006FB2"/>
    <w:rsid w:val="000071E7"/>
    <w:rsid w:val="00007399"/>
    <w:rsid w:val="000074C8"/>
    <w:rsid w:val="00007541"/>
    <w:rsid w:val="0000754B"/>
    <w:rsid w:val="000076F5"/>
    <w:rsid w:val="0000792D"/>
    <w:rsid w:val="00007A57"/>
    <w:rsid w:val="00007E30"/>
    <w:rsid w:val="00010077"/>
    <w:rsid w:val="000103EF"/>
    <w:rsid w:val="00010464"/>
    <w:rsid w:val="00010497"/>
    <w:rsid w:val="00010A12"/>
    <w:rsid w:val="00010A7C"/>
    <w:rsid w:val="00010C27"/>
    <w:rsid w:val="00010C6E"/>
    <w:rsid w:val="000110E9"/>
    <w:rsid w:val="000110F0"/>
    <w:rsid w:val="000112F6"/>
    <w:rsid w:val="000113E0"/>
    <w:rsid w:val="000115A8"/>
    <w:rsid w:val="00011781"/>
    <w:rsid w:val="00011C14"/>
    <w:rsid w:val="00011CB2"/>
    <w:rsid w:val="00011FA7"/>
    <w:rsid w:val="000121A8"/>
    <w:rsid w:val="000124FD"/>
    <w:rsid w:val="00012938"/>
    <w:rsid w:val="00012A6F"/>
    <w:rsid w:val="00012AA5"/>
    <w:rsid w:val="00012B1E"/>
    <w:rsid w:val="00012DBF"/>
    <w:rsid w:val="00012E7A"/>
    <w:rsid w:val="00012E91"/>
    <w:rsid w:val="00012F6F"/>
    <w:rsid w:val="00012FC9"/>
    <w:rsid w:val="000130A6"/>
    <w:rsid w:val="00013174"/>
    <w:rsid w:val="00013392"/>
    <w:rsid w:val="00013573"/>
    <w:rsid w:val="0001374C"/>
    <w:rsid w:val="0001383B"/>
    <w:rsid w:val="00013B47"/>
    <w:rsid w:val="00013B4B"/>
    <w:rsid w:val="00013BB5"/>
    <w:rsid w:val="00013FBC"/>
    <w:rsid w:val="000141F2"/>
    <w:rsid w:val="00014213"/>
    <w:rsid w:val="0001432C"/>
    <w:rsid w:val="00014459"/>
    <w:rsid w:val="000145F3"/>
    <w:rsid w:val="00014AA3"/>
    <w:rsid w:val="00014B55"/>
    <w:rsid w:val="00014D0A"/>
    <w:rsid w:val="0001503E"/>
    <w:rsid w:val="000153B9"/>
    <w:rsid w:val="000154E1"/>
    <w:rsid w:val="00015870"/>
    <w:rsid w:val="000158AD"/>
    <w:rsid w:val="00015B53"/>
    <w:rsid w:val="00015B7F"/>
    <w:rsid w:val="00015DEF"/>
    <w:rsid w:val="00016023"/>
    <w:rsid w:val="000160D9"/>
    <w:rsid w:val="000160F2"/>
    <w:rsid w:val="0001614E"/>
    <w:rsid w:val="0001632A"/>
    <w:rsid w:val="00016339"/>
    <w:rsid w:val="0001656D"/>
    <w:rsid w:val="00016BEF"/>
    <w:rsid w:val="00016E36"/>
    <w:rsid w:val="00016F5F"/>
    <w:rsid w:val="000170F5"/>
    <w:rsid w:val="000172B6"/>
    <w:rsid w:val="0001734C"/>
    <w:rsid w:val="00017599"/>
    <w:rsid w:val="000177C0"/>
    <w:rsid w:val="00017910"/>
    <w:rsid w:val="00017921"/>
    <w:rsid w:val="00017A1F"/>
    <w:rsid w:val="00017AB5"/>
    <w:rsid w:val="00017BE6"/>
    <w:rsid w:val="00017D07"/>
    <w:rsid w:val="00017FAF"/>
    <w:rsid w:val="000202DB"/>
    <w:rsid w:val="00020327"/>
    <w:rsid w:val="000204F2"/>
    <w:rsid w:val="00020737"/>
    <w:rsid w:val="00020829"/>
    <w:rsid w:val="00020831"/>
    <w:rsid w:val="000208C8"/>
    <w:rsid w:val="000209FA"/>
    <w:rsid w:val="00020CD9"/>
    <w:rsid w:val="00020CFE"/>
    <w:rsid w:val="00020D7D"/>
    <w:rsid w:val="00020E3E"/>
    <w:rsid w:val="000210DF"/>
    <w:rsid w:val="000213B1"/>
    <w:rsid w:val="0002145B"/>
    <w:rsid w:val="00021463"/>
    <w:rsid w:val="00021465"/>
    <w:rsid w:val="00021660"/>
    <w:rsid w:val="000220E0"/>
    <w:rsid w:val="00022120"/>
    <w:rsid w:val="00022207"/>
    <w:rsid w:val="0002220B"/>
    <w:rsid w:val="00022240"/>
    <w:rsid w:val="0002289D"/>
    <w:rsid w:val="0002298F"/>
    <w:rsid w:val="00022A77"/>
    <w:rsid w:val="00022BF4"/>
    <w:rsid w:val="0002325A"/>
    <w:rsid w:val="0002328B"/>
    <w:rsid w:val="00023B9E"/>
    <w:rsid w:val="00023BF3"/>
    <w:rsid w:val="00023C68"/>
    <w:rsid w:val="00023D3E"/>
    <w:rsid w:val="00023DE1"/>
    <w:rsid w:val="00023F82"/>
    <w:rsid w:val="000240FC"/>
    <w:rsid w:val="00024303"/>
    <w:rsid w:val="00024688"/>
    <w:rsid w:val="000246CA"/>
    <w:rsid w:val="000247EF"/>
    <w:rsid w:val="00024918"/>
    <w:rsid w:val="000249AE"/>
    <w:rsid w:val="00024A5F"/>
    <w:rsid w:val="00024C71"/>
    <w:rsid w:val="000252A6"/>
    <w:rsid w:val="0002530D"/>
    <w:rsid w:val="00025358"/>
    <w:rsid w:val="000255EA"/>
    <w:rsid w:val="00025880"/>
    <w:rsid w:val="00025934"/>
    <w:rsid w:val="00025A73"/>
    <w:rsid w:val="00025BC2"/>
    <w:rsid w:val="00025CDF"/>
    <w:rsid w:val="00025D2C"/>
    <w:rsid w:val="00025D36"/>
    <w:rsid w:val="00025E0D"/>
    <w:rsid w:val="00026173"/>
    <w:rsid w:val="0002617D"/>
    <w:rsid w:val="000262A5"/>
    <w:rsid w:val="000263E5"/>
    <w:rsid w:val="0002647D"/>
    <w:rsid w:val="0002649B"/>
    <w:rsid w:val="000264C0"/>
    <w:rsid w:val="00026755"/>
    <w:rsid w:val="00026811"/>
    <w:rsid w:val="00026926"/>
    <w:rsid w:val="00026956"/>
    <w:rsid w:val="000269C2"/>
    <w:rsid w:val="00026B93"/>
    <w:rsid w:val="00026E20"/>
    <w:rsid w:val="00026E3C"/>
    <w:rsid w:val="000270DE"/>
    <w:rsid w:val="00027330"/>
    <w:rsid w:val="000274FC"/>
    <w:rsid w:val="0002798C"/>
    <w:rsid w:val="00027B39"/>
    <w:rsid w:val="00027C79"/>
    <w:rsid w:val="000300AF"/>
    <w:rsid w:val="00030958"/>
    <w:rsid w:val="00030B77"/>
    <w:rsid w:val="00030E77"/>
    <w:rsid w:val="00030F53"/>
    <w:rsid w:val="00030F85"/>
    <w:rsid w:val="000312E2"/>
    <w:rsid w:val="00031302"/>
    <w:rsid w:val="000313CE"/>
    <w:rsid w:val="000314C9"/>
    <w:rsid w:val="0003185A"/>
    <w:rsid w:val="00031864"/>
    <w:rsid w:val="00031BB5"/>
    <w:rsid w:val="00031BFD"/>
    <w:rsid w:val="00031CD8"/>
    <w:rsid w:val="00031CE6"/>
    <w:rsid w:val="00031CEB"/>
    <w:rsid w:val="00031E0F"/>
    <w:rsid w:val="00032181"/>
    <w:rsid w:val="000323E5"/>
    <w:rsid w:val="000325FE"/>
    <w:rsid w:val="000327EF"/>
    <w:rsid w:val="000329C6"/>
    <w:rsid w:val="00032B97"/>
    <w:rsid w:val="00032D5F"/>
    <w:rsid w:val="00032ED0"/>
    <w:rsid w:val="00032FC8"/>
    <w:rsid w:val="0003333E"/>
    <w:rsid w:val="00033480"/>
    <w:rsid w:val="000335F3"/>
    <w:rsid w:val="0003381C"/>
    <w:rsid w:val="00033836"/>
    <w:rsid w:val="000338B3"/>
    <w:rsid w:val="000339CE"/>
    <w:rsid w:val="00033B21"/>
    <w:rsid w:val="00033C26"/>
    <w:rsid w:val="00033D73"/>
    <w:rsid w:val="00033E88"/>
    <w:rsid w:val="0003407C"/>
    <w:rsid w:val="000341E0"/>
    <w:rsid w:val="000341E2"/>
    <w:rsid w:val="00034387"/>
    <w:rsid w:val="00034965"/>
    <w:rsid w:val="00034997"/>
    <w:rsid w:val="00034A79"/>
    <w:rsid w:val="00034BC9"/>
    <w:rsid w:val="00034C93"/>
    <w:rsid w:val="00034E6D"/>
    <w:rsid w:val="00034F3C"/>
    <w:rsid w:val="00034F45"/>
    <w:rsid w:val="00035088"/>
    <w:rsid w:val="000358EB"/>
    <w:rsid w:val="00035969"/>
    <w:rsid w:val="00035AD1"/>
    <w:rsid w:val="00035DE9"/>
    <w:rsid w:val="00035FE7"/>
    <w:rsid w:val="00036280"/>
    <w:rsid w:val="000363AE"/>
    <w:rsid w:val="000364E3"/>
    <w:rsid w:val="00036549"/>
    <w:rsid w:val="000366EB"/>
    <w:rsid w:val="00036764"/>
    <w:rsid w:val="00036A59"/>
    <w:rsid w:val="00036DAC"/>
    <w:rsid w:val="00036E41"/>
    <w:rsid w:val="0003712A"/>
    <w:rsid w:val="00037221"/>
    <w:rsid w:val="000373E4"/>
    <w:rsid w:val="00037488"/>
    <w:rsid w:val="000376EF"/>
    <w:rsid w:val="00037EA9"/>
    <w:rsid w:val="00040801"/>
    <w:rsid w:val="00040984"/>
    <w:rsid w:val="00040A48"/>
    <w:rsid w:val="00040AAF"/>
    <w:rsid w:val="00040FD7"/>
    <w:rsid w:val="000413D8"/>
    <w:rsid w:val="0004185E"/>
    <w:rsid w:val="000419DE"/>
    <w:rsid w:val="000419E3"/>
    <w:rsid w:val="00041A7E"/>
    <w:rsid w:val="00041E4A"/>
    <w:rsid w:val="00042081"/>
    <w:rsid w:val="0004221F"/>
    <w:rsid w:val="000423A7"/>
    <w:rsid w:val="000427EB"/>
    <w:rsid w:val="000428E1"/>
    <w:rsid w:val="00042946"/>
    <w:rsid w:val="000429A3"/>
    <w:rsid w:val="00042C17"/>
    <w:rsid w:val="00042F31"/>
    <w:rsid w:val="0004310F"/>
    <w:rsid w:val="000432D6"/>
    <w:rsid w:val="00043362"/>
    <w:rsid w:val="0004362A"/>
    <w:rsid w:val="000436A3"/>
    <w:rsid w:val="000439FE"/>
    <w:rsid w:val="00043F3B"/>
    <w:rsid w:val="00044025"/>
    <w:rsid w:val="000440E4"/>
    <w:rsid w:val="00044342"/>
    <w:rsid w:val="000444E9"/>
    <w:rsid w:val="00044637"/>
    <w:rsid w:val="00044B14"/>
    <w:rsid w:val="0004538C"/>
    <w:rsid w:val="0004542E"/>
    <w:rsid w:val="00045592"/>
    <w:rsid w:val="00045691"/>
    <w:rsid w:val="000457E2"/>
    <w:rsid w:val="000458A4"/>
    <w:rsid w:val="00045947"/>
    <w:rsid w:val="00046010"/>
    <w:rsid w:val="0004615F"/>
    <w:rsid w:val="00046428"/>
    <w:rsid w:val="0004649A"/>
    <w:rsid w:val="0004698F"/>
    <w:rsid w:val="00046D62"/>
    <w:rsid w:val="000470B3"/>
    <w:rsid w:val="00047533"/>
    <w:rsid w:val="00047647"/>
    <w:rsid w:val="000476FD"/>
    <w:rsid w:val="000477DC"/>
    <w:rsid w:val="00047A97"/>
    <w:rsid w:val="00047ABD"/>
    <w:rsid w:val="00047ADD"/>
    <w:rsid w:val="00047BFF"/>
    <w:rsid w:val="00047FBC"/>
    <w:rsid w:val="00050258"/>
    <w:rsid w:val="00050266"/>
    <w:rsid w:val="000503C1"/>
    <w:rsid w:val="0005044E"/>
    <w:rsid w:val="00050571"/>
    <w:rsid w:val="00050713"/>
    <w:rsid w:val="00050912"/>
    <w:rsid w:val="00050AE0"/>
    <w:rsid w:val="00050E2D"/>
    <w:rsid w:val="00050FCB"/>
    <w:rsid w:val="000510BA"/>
    <w:rsid w:val="000514D4"/>
    <w:rsid w:val="000516F4"/>
    <w:rsid w:val="00051733"/>
    <w:rsid w:val="00051A15"/>
    <w:rsid w:val="00051F06"/>
    <w:rsid w:val="00052147"/>
    <w:rsid w:val="000525D3"/>
    <w:rsid w:val="00052664"/>
    <w:rsid w:val="00052901"/>
    <w:rsid w:val="00052939"/>
    <w:rsid w:val="00052960"/>
    <w:rsid w:val="000529A0"/>
    <w:rsid w:val="00052A09"/>
    <w:rsid w:val="00052BFD"/>
    <w:rsid w:val="00052EC5"/>
    <w:rsid w:val="0005300F"/>
    <w:rsid w:val="000535BD"/>
    <w:rsid w:val="00053703"/>
    <w:rsid w:val="00053AAC"/>
    <w:rsid w:val="00053BBB"/>
    <w:rsid w:val="00053C02"/>
    <w:rsid w:val="00053DB9"/>
    <w:rsid w:val="00054048"/>
    <w:rsid w:val="0005422E"/>
    <w:rsid w:val="000542F0"/>
    <w:rsid w:val="00054553"/>
    <w:rsid w:val="000547A3"/>
    <w:rsid w:val="000547CD"/>
    <w:rsid w:val="00054B1B"/>
    <w:rsid w:val="00054D2E"/>
    <w:rsid w:val="00054E4E"/>
    <w:rsid w:val="00055B73"/>
    <w:rsid w:val="00055BCC"/>
    <w:rsid w:val="00055D49"/>
    <w:rsid w:val="00055F1D"/>
    <w:rsid w:val="00055FC7"/>
    <w:rsid w:val="000560D3"/>
    <w:rsid w:val="00056103"/>
    <w:rsid w:val="0005640C"/>
    <w:rsid w:val="0005657F"/>
    <w:rsid w:val="00056627"/>
    <w:rsid w:val="000566B5"/>
    <w:rsid w:val="00056943"/>
    <w:rsid w:val="00056988"/>
    <w:rsid w:val="00056A0B"/>
    <w:rsid w:val="00056A43"/>
    <w:rsid w:val="00056AD7"/>
    <w:rsid w:val="00057028"/>
    <w:rsid w:val="00057268"/>
    <w:rsid w:val="000575E4"/>
    <w:rsid w:val="0005760F"/>
    <w:rsid w:val="00057960"/>
    <w:rsid w:val="00057D84"/>
    <w:rsid w:val="00057F3F"/>
    <w:rsid w:val="00057F99"/>
    <w:rsid w:val="00060488"/>
    <w:rsid w:val="000604AE"/>
    <w:rsid w:val="000606AB"/>
    <w:rsid w:val="000608C7"/>
    <w:rsid w:val="000608D8"/>
    <w:rsid w:val="00060BDC"/>
    <w:rsid w:val="00060CDE"/>
    <w:rsid w:val="00061181"/>
    <w:rsid w:val="00061255"/>
    <w:rsid w:val="000613DD"/>
    <w:rsid w:val="000613E1"/>
    <w:rsid w:val="00061665"/>
    <w:rsid w:val="000616C5"/>
    <w:rsid w:val="00061A53"/>
    <w:rsid w:val="00061AE1"/>
    <w:rsid w:val="00061C9B"/>
    <w:rsid w:val="00061D38"/>
    <w:rsid w:val="00062062"/>
    <w:rsid w:val="000620B8"/>
    <w:rsid w:val="00062141"/>
    <w:rsid w:val="00062259"/>
    <w:rsid w:val="000622EE"/>
    <w:rsid w:val="00062348"/>
    <w:rsid w:val="000624FE"/>
    <w:rsid w:val="0006266A"/>
    <w:rsid w:val="000626E8"/>
    <w:rsid w:val="000627B9"/>
    <w:rsid w:val="00062BF8"/>
    <w:rsid w:val="00062CB5"/>
    <w:rsid w:val="000630A3"/>
    <w:rsid w:val="000636CA"/>
    <w:rsid w:val="00063712"/>
    <w:rsid w:val="000639C4"/>
    <w:rsid w:val="00063FD7"/>
    <w:rsid w:val="00064081"/>
    <w:rsid w:val="0006437F"/>
    <w:rsid w:val="00064619"/>
    <w:rsid w:val="00064668"/>
    <w:rsid w:val="0006467A"/>
    <w:rsid w:val="000649B1"/>
    <w:rsid w:val="0006513B"/>
    <w:rsid w:val="0006516A"/>
    <w:rsid w:val="00065311"/>
    <w:rsid w:val="00065461"/>
    <w:rsid w:val="00065A3A"/>
    <w:rsid w:val="00065A59"/>
    <w:rsid w:val="00065A62"/>
    <w:rsid w:val="00065A8C"/>
    <w:rsid w:val="00065C63"/>
    <w:rsid w:val="00065C74"/>
    <w:rsid w:val="00065F69"/>
    <w:rsid w:val="00066032"/>
    <w:rsid w:val="000660D4"/>
    <w:rsid w:val="000661EF"/>
    <w:rsid w:val="0006661F"/>
    <w:rsid w:val="000666DB"/>
    <w:rsid w:val="00066906"/>
    <w:rsid w:val="00066AF9"/>
    <w:rsid w:val="00066D46"/>
    <w:rsid w:val="00066F34"/>
    <w:rsid w:val="00066FC7"/>
    <w:rsid w:val="000672CF"/>
    <w:rsid w:val="000673C5"/>
    <w:rsid w:val="00067554"/>
    <w:rsid w:val="0006772C"/>
    <w:rsid w:val="00067896"/>
    <w:rsid w:val="00067964"/>
    <w:rsid w:val="00067A5F"/>
    <w:rsid w:val="00067B10"/>
    <w:rsid w:val="00067B3F"/>
    <w:rsid w:val="00067CC4"/>
    <w:rsid w:val="00067F13"/>
    <w:rsid w:val="000701B1"/>
    <w:rsid w:val="0007028F"/>
    <w:rsid w:val="0007035C"/>
    <w:rsid w:val="00070865"/>
    <w:rsid w:val="00070A03"/>
    <w:rsid w:val="00070A31"/>
    <w:rsid w:val="00070CCF"/>
    <w:rsid w:val="00070DA2"/>
    <w:rsid w:val="00070F69"/>
    <w:rsid w:val="00070F79"/>
    <w:rsid w:val="00070F85"/>
    <w:rsid w:val="0007143A"/>
    <w:rsid w:val="000714A2"/>
    <w:rsid w:val="000714B5"/>
    <w:rsid w:val="000714DE"/>
    <w:rsid w:val="00071614"/>
    <w:rsid w:val="000718AA"/>
    <w:rsid w:val="00071CC2"/>
    <w:rsid w:val="00071D62"/>
    <w:rsid w:val="00072030"/>
    <w:rsid w:val="00072068"/>
    <w:rsid w:val="000720C3"/>
    <w:rsid w:val="00072279"/>
    <w:rsid w:val="0007229A"/>
    <w:rsid w:val="00072396"/>
    <w:rsid w:val="000726EB"/>
    <w:rsid w:val="000726F8"/>
    <w:rsid w:val="000728C3"/>
    <w:rsid w:val="00072E0E"/>
    <w:rsid w:val="00073220"/>
    <w:rsid w:val="0007341A"/>
    <w:rsid w:val="000737F3"/>
    <w:rsid w:val="00073866"/>
    <w:rsid w:val="00073D30"/>
    <w:rsid w:val="000741B9"/>
    <w:rsid w:val="00074396"/>
    <w:rsid w:val="000747A9"/>
    <w:rsid w:val="00074839"/>
    <w:rsid w:val="00074A39"/>
    <w:rsid w:val="00075001"/>
    <w:rsid w:val="00075016"/>
    <w:rsid w:val="0007507D"/>
    <w:rsid w:val="00075154"/>
    <w:rsid w:val="000753EA"/>
    <w:rsid w:val="000755AB"/>
    <w:rsid w:val="0007568A"/>
    <w:rsid w:val="000759EC"/>
    <w:rsid w:val="00075B8D"/>
    <w:rsid w:val="00075E6C"/>
    <w:rsid w:val="00075FEC"/>
    <w:rsid w:val="0007618E"/>
    <w:rsid w:val="00076224"/>
    <w:rsid w:val="00076327"/>
    <w:rsid w:val="00076351"/>
    <w:rsid w:val="000764D5"/>
    <w:rsid w:val="000764FF"/>
    <w:rsid w:val="00076768"/>
    <w:rsid w:val="00076EE8"/>
    <w:rsid w:val="00076F28"/>
    <w:rsid w:val="00076F70"/>
    <w:rsid w:val="0007746F"/>
    <w:rsid w:val="000774C5"/>
    <w:rsid w:val="0007759E"/>
    <w:rsid w:val="00077912"/>
    <w:rsid w:val="0007791A"/>
    <w:rsid w:val="00077C4B"/>
    <w:rsid w:val="00077DAF"/>
    <w:rsid w:val="00077F16"/>
    <w:rsid w:val="000800B9"/>
    <w:rsid w:val="000800BD"/>
    <w:rsid w:val="000802EE"/>
    <w:rsid w:val="0008033D"/>
    <w:rsid w:val="000804C6"/>
    <w:rsid w:val="00080550"/>
    <w:rsid w:val="00080765"/>
    <w:rsid w:val="00080876"/>
    <w:rsid w:val="00080917"/>
    <w:rsid w:val="00080B6E"/>
    <w:rsid w:val="00080C16"/>
    <w:rsid w:val="00080EFF"/>
    <w:rsid w:val="00081021"/>
    <w:rsid w:val="000811EC"/>
    <w:rsid w:val="000814B6"/>
    <w:rsid w:val="000816E5"/>
    <w:rsid w:val="00081735"/>
    <w:rsid w:val="00081938"/>
    <w:rsid w:val="00081BDA"/>
    <w:rsid w:val="00081C12"/>
    <w:rsid w:val="00081C22"/>
    <w:rsid w:val="00081E3F"/>
    <w:rsid w:val="0008229A"/>
    <w:rsid w:val="000822DD"/>
    <w:rsid w:val="00082492"/>
    <w:rsid w:val="00082559"/>
    <w:rsid w:val="000825BD"/>
    <w:rsid w:val="000826F6"/>
    <w:rsid w:val="0008279A"/>
    <w:rsid w:val="0008297D"/>
    <w:rsid w:val="00082AC7"/>
    <w:rsid w:val="00082B9B"/>
    <w:rsid w:val="00082BC1"/>
    <w:rsid w:val="00082E8E"/>
    <w:rsid w:val="0008320A"/>
    <w:rsid w:val="00083240"/>
    <w:rsid w:val="0008342E"/>
    <w:rsid w:val="000837B3"/>
    <w:rsid w:val="00083A47"/>
    <w:rsid w:val="0008407B"/>
    <w:rsid w:val="00084174"/>
    <w:rsid w:val="000845A3"/>
    <w:rsid w:val="000849B1"/>
    <w:rsid w:val="00084A20"/>
    <w:rsid w:val="00084CCC"/>
    <w:rsid w:val="00084D83"/>
    <w:rsid w:val="00084E64"/>
    <w:rsid w:val="00084EE6"/>
    <w:rsid w:val="00084FB1"/>
    <w:rsid w:val="000851E6"/>
    <w:rsid w:val="000852FD"/>
    <w:rsid w:val="00085563"/>
    <w:rsid w:val="0008556F"/>
    <w:rsid w:val="000858E8"/>
    <w:rsid w:val="00085A22"/>
    <w:rsid w:val="00085B0F"/>
    <w:rsid w:val="00085D87"/>
    <w:rsid w:val="00085DA3"/>
    <w:rsid w:val="00085E18"/>
    <w:rsid w:val="00086249"/>
    <w:rsid w:val="00086366"/>
    <w:rsid w:val="00086392"/>
    <w:rsid w:val="000865AF"/>
    <w:rsid w:val="00086768"/>
    <w:rsid w:val="0008679F"/>
    <w:rsid w:val="00086A7E"/>
    <w:rsid w:val="00086A92"/>
    <w:rsid w:val="00086E1B"/>
    <w:rsid w:val="000874C4"/>
    <w:rsid w:val="00087505"/>
    <w:rsid w:val="000876E4"/>
    <w:rsid w:val="00087959"/>
    <w:rsid w:val="00087BDF"/>
    <w:rsid w:val="00087D42"/>
    <w:rsid w:val="00090149"/>
    <w:rsid w:val="0009040A"/>
    <w:rsid w:val="0009044D"/>
    <w:rsid w:val="0009056B"/>
    <w:rsid w:val="000906BD"/>
    <w:rsid w:val="000909C0"/>
    <w:rsid w:val="00090B4B"/>
    <w:rsid w:val="00090E30"/>
    <w:rsid w:val="00090F2A"/>
    <w:rsid w:val="00091179"/>
    <w:rsid w:val="00091A14"/>
    <w:rsid w:val="00091ACA"/>
    <w:rsid w:val="00091C71"/>
    <w:rsid w:val="00091DD5"/>
    <w:rsid w:val="00091E1B"/>
    <w:rsid w:val="00091E20"/>
    <w:rsid w:val="0009223B"/>
    <w:rsid w:val="00092889"/>
    <w:rsid w:val="000929D7"/>
    <w:rsid w:val="00092A9B"/>
    <w:rsid w:val="00092C85"/>
    <w:rsid w:val="00092CE1"/>
    <w:rsid w:val="00092F77"/>
    <w:rsid w:val="00092FAB"/>
    <w:rsid w:val="00093004"/>
    <w:rsid w:val="000931D1"/>
    <w:rsid w:val="000931F1"/>
    <w:rsid w:val="00093876"/>
    <w:rsid w:val="00093A75"/>
    <w:rsid w:val="00093E4D"/>
    <w:rsid w:val="00093F7B"/>
    <w:rsid w:val="000940EB"/>
    <w:rsid w:val="000944CC"/>
    <w:rsid w:val="00094590"/>
    <w:rsid w:val="000945BA"/>
    <w:rsid w:val="000945BF"/>
    <w:rsid w:val="000945E2"/>
    <w:rsid w:val="00094D2F"/>
    <w:rsid w:val="00094D3C"/>
    <w:rsid w:val="00094F4B"/>
    <w:rsid w:val="00095258"/>
    <w:rsid w:val="000953C4"/>
    <w:rsid w:val="000953E7"/>
    <w:rsid w:val="000957C6"/>
    <w:rsid w:val="000957D4"/>
    <w:rsid w:val="0009584B"/>
    <w:rsid w:val="00095DA0"/>
    <w:rsid w:val="00096361"/>
    <w:rsid w:val="00096875"/>
    <w:rsid w:val="00096DDA"/>
    <w:rsid w:val="00096E7A"/>
    <w:rsid w:val="00097051"/>
    <w:rsid w:val="000973C4"/>
    <w:rsid w:val="00097A70"/>
    <w:rsid w:val="00097DCB"/>
    <w:rsid w:val="00097EA7"/>
    <w:rsid w:val="00097EE1"/>
    <w:rsid w:val="000A024D"/>
    <w:rsid w:val="000A025F"/>
    <w:rsid w:val="000A038E"/>
    <w:rsid w:val="000A04DE"/>
    <w:rsid w:val="000A066C"/>
    <w:rsid w:val="000A06CF"/>
    <w:rsid w:val="000A0AFD"/>
    <w:rsid w:val="000A0BBA"/>
    <w:rsid w:val="000A0BC3"/>
    <w:rsid w:val="000A0E8F"/>
    <w:rsid w:val="000A1262"/>
    <w:rsid w:val="000A1395"/>
    <w:rsid w:val="000A154C"/>
    <w:rsid w:val="000A1A32"/>
    <w:rsid w:val="000A1A65"/>
    <w:rsid w:val="000A1CB6"/>
    <w:rsid w:val="000A1DC9"/>
    <w:rsid w:val="000A1F10"/>
    <w:rsid w:val="000A1FC8"/>
    <w:rsid w:val="000A20A5"/>
    <w:rsid w:val="000A23AD"/>
    <w:rsid w:val="000A2620"/>
    <w:rsid w:val="000A268E"/>
    <w:rsid w:val="000A27F0"/>
    <w:rsid w:val="000A2B25"/>
    <w:rsid w:val="000A2C1E"/>
    <w:rsid w:val="000A2C5F"/>
    <w:rsid w:val="000A2E77"/>
    <w:rsid w:val="000A3298"/>
    <w:rsid w:val="000A32E5"/>
    <w:rsid w:val="000A3362"/>
    <w:rsid w:val="000A38D2"/>
    <w:rsid w:val="000A392D"/>
    <w:rsid w:val="000A3A6B"/>
    <w:rsid w:val="000A3B0D"/>
    <w:rsid w:val="000A3D49"/>
    <w:rsid w:val="000A3E34"/>
    <w:rsid w:val="000A4537"/>
    <w:rsid w:val="000A4C87"/>
    <w:rsid w:val="000A4F63"/>
    <w:rsid w:val="000A502D"/>
    <w:rsid w:val="000A527E"/>
    <w:rsid w:val="000A5496"/>
    <w:rsid w:val="000A54BF"/>
    <w:rsid w:val="000A56C2"/>
    <w:rsid w:val="000A56D6"/>
    <w:rsid w:val="000A5729"/>
    <w:rsid w:val="000A5A40"/>
    <w:rsid w:val="000A5C74"/>
    <w:rsid w:val="000A5E30"/>
    <w:rsid w:val="000A5F15"/>
    <w:rsid w:val="000A63E6"/>
    <w:rsid w:val="000A6606"/>
    <w:rsid w:val="000A669C"/>
    <w:rsid w:val="000A6A0F"/>
    <w:rsid w:val="000A6A6C"/>
    <w:rsid w:val="000A6EF9"/>
    <w:rsid w:val="000A6FA2"/>
    <w:rsid w:val="000A7153"/>
    <w:rsid w:val="000A759D"/>
    <w:rsid w:val="000A76BC"/>
    <w:rsid w:val="000A77C0"/>
    <w:rsid w:val="000A78E9"/>
    <w:rsid w:val="000A793D"/>
    <w:rsid w:val="000B0136"/>
    <w:rsid w:val="000B02B6"/>
    <w:rsid w:val="000B0673"/>
    <w:rsid w:val="000B0971"/>
    <w:rsid w:val="000B0B81"/>
    <w:rsid w:val="000B0F29"/>
    <w:rsid w:val="000B111A"/>
    <w:rsid w:val="000B11D6"/>
    <w:rsid w:val="000B128C"/>
    <w:rsid w:val="000B12A3"/>
    <w:rsid w:val="000B17A2"/>
    <w:rsid w:val="000B18B8"/>
    <w:rsid w:val="000B1906"/>
    <w:rsid w:val="000B199C"/>
    <w:rsid w:val="000B19D2"/>
    <w:rsid w:val="000B1B04"/>
    <w:rsid w:val="000B1B82"/>
    <w:rsid w:val="000B1C82"/>
    <w:rsid w:val="000B2100"/>
    <w:rsid w:val="000B2186"/>
    <w:rsid w:val="000B21B5"/>
    <w:rsid w:val="000B232C"/>
    <w:rsid w:val="000B2378"/>
    <w:rsid w:val="000B27D8"/>
    <w:rsid w:val="000B28BF"/>
    <w:rsid w:val="000B293A"/>
    <w:rsid w:val="000B29AD"/>
    <w:rsid w:val="000B2A8A"/>
    <w:rsid w:val="000B2D0A"/>
    <w:rsid w:val="000B2EAF"/>
    <w:rsid w:val="000B3080"/>
    <w:rsid w:val="000B30F9"/>
    <w:rsid w:val="000B35CA"/>
    <w:rsid w:val="000B3A1C"/>
    <w:rsid w:val="000B3ABE"/>
    <w:rsid w:val="000B3BE8"/>
    <w:rsid w:val="000B3BF2"/>
    <w:rsid w:val="000B3C6B"/>
    <w:rsid w:val="000B451A"/>
    <w:rsid w:val="000B45F6"/>
    <w:rsid w:val="000B4662"/>
    <w:rsid w:val="000B46BD"/>
    <w:rsid w:val="000B4894"/>
    <w:rsid w:val="000B4B1C"/>
    <w:rsid w:val="000B4D99"/>
    <w:rsid w:val="000B4F53"/>
    <w:rsid w:val="000B5038"/>
    <w:rsid w:val="000B50ED"/>
    <w:rsid w:val="000B5120"/>
    <w:rsid w:val="000B51C4"/>
    <w:rsid w:val="000B527C"/>
    <w:rsid w:val="000B5587"/>
    <w:rsid w:val="000B5B4A"/>
    <w:rsid w:val="000B5B95"/>
    <w:rsid w:val="000B5D08"/>
    <w:rsid w:val="000B5DB4"/>
    <w:rsid w:val="000B5EA6"/>
    <w:rsid w:val="000B5FE6"/>
    <w:rsid w:val="000B60C6"/>
    <w:rsid w:val="000B65A9"/>
    <w:rsid w:val="000B6661"/>
    <w:rsid w:val="000B6895"/>
    <w:rsid w:val="000B6AD3"/>
    <w:rsid w:val="000B6C9F"/>
    <w:rsid w:val="000B6D29"/>
    <w:rsid w:val="000B6D70"/>
    <w:rsid w:val="000B6E88"/>
    <w:rsid w:val="000B747F"/>
    <w:rsid w:val="000B755B"/>
    <w:rsid w:val="000B7572"/>
    <w:rsid w:val="000B75F1"/>
    <w:rsid w:val="000B7892"/>
    <w:rsid w:val="000B7A43"/>
    <w:rsid w:val="000B7B42"/>
    <w:rsid w:val="000B7B5C"/>
    <w:rsid w:val="000B7BA9"/>
    <w:rsid w:val="000B7C2D"/>
    <w:rsid w:val="000B7E00"/>
    <w:rsid w:val="000C0092"/>
    <w:rsid w:val="000C010D"/>
    <w:rsid w:val="000C014C"/>
    <w:rsid w:val="000C01D2"/>
    <w:rsid w:val="000C0296"/>
    <w:rsid w:val="000C02BB"/>
    <w:rsid w:val="000C03CC"/>
    <w:rsid w:val="000C0529"/>
    <w:rsid w:val="000C0572"/>
    <w:rsid w:val="000C08AE"/>
    <w:rsid w:val="000C0AE9"/>
    <w:rsid w:val="000C0BC8"/>
    <w:rsid w:val="000C0C7D"/>
    <w:rsid w:val="000C12A8"/>
    <w:rsid w:val="000C151A"/>
    <w:rsid w:val="000C179A"/>
    <w:rsid w:val="000C190B"/>
    <w:rsid w:val="000C1AF3"/>
    <w:rsid w:val="000C1EC1"/>
    <w:rsid w:val="000C1F11"/>
    <w:rsid w:val="000C1F47"/>
    <w:rsid w:val="000C20FB"/>
    <w:rsid w:val="000C2216"/>
    <w:rsid w:val="000C22D4"/>
    <w:rsid w:val="000C2759"/>
    <w:rsid w:val="000C28EA"/>
    <w:rsid w:val="000C2948"/>
    <w:rsid w:val="000C2ADA"/>
    <w:rsid w:val="000C2D1E"/>
    <w:rsid w:val="000C2E28"/>
    <w:rsid w:val="000C2E2D"/>
    <w:rsid w:val="000C302A"/>
    <w:rsid w:val="000C34D4"/>
    <w:rsid w:val="000C3542"/>
    <w:rsid w:val="000C3555"/>
    <w:rsid w:val="000C35C5"/>
    <w:rsid w:val="000C379C"/>
    <w:rsid w:val="000C3926"/>
    <w:rsid w:val="000C3D48"/>
    <w:rsid w:val="000C3FB2"/>
    <w:rsid w:val="000C41BD"/>
    <w:rsid w:val="000C44AF"/>
    <w:rsid w:val="000C4574"/>
    <w:rsid w:val="000C45F5"/>
    <w:rsid w:val="000C46DB"/>
    <w:rsid w:val="000C4787"/>
    <w:rsid w:val="000C47AB"/>
    <w:rsid w:val="000C47C1"/>
    <w:rsid w:val="000C49C2"/>
    <w:rsid w:val="000C4A73"/>
    <w:rsid w:val="000C4B51"/>
    <w:rsid w:val="000C4C7B"/>
    <w:rsid w:val="000C5057"/>
    <w:rsid w:val="000C5129"/>
    <w:rsid w:val="000C512E"/>
    <w:rsid w:val="000C5132"/>
    <w:rsid w:val="000C552D"/>
    <w:rsid w:val="000C57B6"/>
    <w:rsid w:val="000C58F8"/>
    <w:rsid w:val="000C5A8E"/>
    <w:rsid w:val="000C5FF1"/>
    <w:rsid w:val="000C60C6"/>
    <w:rsid w:val="000C6272"/>
    <w:rsid w:val="000C6372"/>
    <w:rsid w:val="000C6745"/>
    <w:rsid w:val="000C67EA"/>
    <w:rsid w:val="000C6911"/>
    <w:rsid w:val="000C6B3B"/>
    <w:rsid w:val="000C6CEF"/>
    <w:rsid w:val="000C713D"/>
    <w:rsid w:val="000C7220"/>
    <w:rsid w:val="000C7586"/>
    <w:rsid w:val="000C7677"/>
    <w:rsid w:val="000C76A5"/>
    <w:rsid w:val="000C7E54"/>
    <w:rsid w:val="000C7EE9"/>
    <w:rsid w:val="000D0090"/>
    <w:rsid w:val="000D00FA"/>
    <w:rsid w:val="000D027D"/>
    <w:rsid w:val="000D0730"/>
    <w:rsid w:val="000D081A"/>
    <w:rsid w:val="000D0875"/>
    <w:rsid w:val="000D0A55"/>
    <w:rsid w:val="000D0AE0"/>
    <w:rsid w:val="000D0C75"/>
    <w:rsid w:val="000D0CDE"/>
    <w:rsid w:val="000D0D07"/>
    <w:rsid w:val="000D1257"/>
    <w:rsid w:val="000D160A"/>
    <w:rsid w:val="000D1708"/>
    <w:rsid w:val="000D1A70"/>
    <w:rsid w:val="000D1AD9"/>
    <w:rsid w:val="000D1ADF"/>
    <w:rsid w:val="000D1C97"/>
    <w:rsid w:val="000D20E0"/>
    <w:rsid w:val="000D239E"/>
    <w:rsid w:val="000D269E"/>
    <w:rsid w:val="000D2772"/>
    <w:rsid w:val="000D2891"/>
    <w:rsid w:val="000D28F4"/>
    <w:rsid w:val="000D29BF"/>
    <w:rsid w:val="000D2AB6"/>
    <w:rsid w:val="000D2B2B"/>
    <w:rsid w:val="000D2C0D"/>
    <w:rsid w:val="000D2DCE"/>
    <w:rsid w:val="000D3415"/>
    <w:rsid w:val="000D35F1"/>
    <w:rsid w:val="000D36AC"/>
    <w:rsid w:val="000D3B52"/>
    <w:rsid w:val="000D3B6B"/>
    <w:rsid w:val="000D3D28"/>
    <w:rsid w:val="000D3D7E"/>
    <w:rsid w:val="000D4197"/>
    <w:rsid w:val="000D44F0"/>
    <w:rsid w:val="000D44F4"/>
    <w:rsid w:val="000D45BC"/>
    <w:rsid w:val="000D4686"/>
    <w:rsid w:val="000D46B9"/>
    <w:rsid w:val="000D4763"/>
    <w:rsid w:val="000D4802"/>
    <w:rsid w:val="000D48F4"/>
    <w:rsid w:val="000D49DE"/>
    <w:rsid w:val="000D4C17"/>
    <w:rsid w:val="000D4ECD"/>
    <w:rsid w:val="000D4FB8"/>
    <w:rsid w:val="000D541D"/>
    <w:rsid w:val="000D5749"/>
    <w:rsid w:val="000D58CF"/>
    <w:rsid w:val="000D5D6F"/>
    <w:rsid w:val="000D5DA1"/>
    <w:rsid w:val="000D5ECC"/>
    <w:rsid w:val="000D5FA8"/>
    <w:rsid w:val="000D644A"/>
    <w:rsid w:val="000D653A"/>
    <w:rsid w:val="000D67B6"/>
    <w:rsid w:val="000D6A6E"/>
    <w:rsid w:val="000D6C81"/>
    <w:rsid w:val="000D6DEA"/>
    <w:rsid w:val="000D6EFD"/>
    <w:rsid w:val="000D7841"/>
    <w:rsid w:val="000D7ACE"/>
    <w:rsid w:val="000E02FE"/>
    <w:rsid w:val="000E050F"/>
    <w:rsid w:val="000E0535"/>
    <w:rsid w:val="000E081E"/>
    <w:rsid w:val="000E092D"/>
    <w:rsid w:val="000E0B30"/>
    <w:rsid w:val="000E0D27"/>
    <w:rsid w:val="000E0DEC"/>
    <w:rsid w:val="000E0E70"/>
    <w:rsid w:val="000E126B"/>
    <w:rsid w:val="000E12C2"/>
    <w:rsid w:val="000E146F"/>
    <w:rsid w:val="000E1708"/>
    <w:rsid w:val="000E17AB"/>
    <w:rsid w:val="000E17F9"/>
    <w:rsid w:val="000E1A2B"/>
    <w:rsid w:val="000E1CC1"/>
    <w:rsid w:val="000E1DFF"/>
    <w:rsid w:val="000E1FDF"/>
    <w:rsid w:val="000E20C1"/>
    <w:rsid w:val="000E2345"/>
    <w:rsid w:val="000E239E"/>
    <w:rsid w:val="000E27B7"/>
    <w:rsid w:val="000E2868"/>
    <w:rsid w:val="000E2CEA"/>
    <w:rsid w:val="000E3097"/>
    <w:rsid w:val="000E31B5"/>
    <w:rsid w:val="000E370D"/>
    <w:rsid w:val="000E37D7"/>
    <w:rsid w:val="000E3912"/>
    <w:rsid w:val="000E392D"/>
    <w:rsid w:val="000E39B6"/>
    <w:rsid w:val="000E3C75"/>
    <w:rsid w:val="000E3CF2"/>
    <w:rsid w:val="000E3D05"/>
    <w:rsid w:val="000E3DBB"/>
    <w:rsid w:val="000E3E0D"/>
    <w:rsid w:val="000E3E5D"/>
    <w:rsid w:val="000E4086"/>
    <w:rsid w:val="000E40FF"/>
    <w:rsid w:val="000E4112"/>
    <w:rsid w:val="000E4748"/>
    <w:rsid w:val="000E474B"/>
    <w:rsid w:val="000E489B"/>
    <w:rsid w:val="000E4AC6"/>
    <w:rsid w:val="000E4BBC"/>
    <w:rsid w:val="000E4CBF"/>
    <w:rsid w:val="000E4E1B"/>
    <w:rsid w:val="000E51A3"/>
    <w:rsid w:val="000E5231"/>
    <w:rsid w:val="000E5413"/>
    <w:rsid w:val="000E5508"/>
    <w:rsid w:val="000E56C9"/>
    <w:rsid w:val="000E596E"/>
    <w:rsid w:val="000E5A50"/>
    <w:rsid w:val="000E5B15"/>
    <w:rsid w:val="000E5E2B"/>
    <w:rsid w:val="000E60A2"/>
    <w:rsid w:val="000E644A"/>
    <w:rsid w:val="000E6864"/>
    <w:rsid w:val="000E6882"/>
    <w:rsid w:val="000E69BA"/>
    <w:rsid w:val="000E6B25"/>
    <w:rsid w:val="000E6BC6"/>
    <w:rsid w:val="000E6FA4"/>
    <w:rsid w:val="000E7031"/>
    <w:rsid w:val="000E7112"/>
    <w:rsid w:val="000E72C1"/>
    <w:rsid w:val="000E766C"/>
    <w:rsid w:val="000E781A"/>
    <w:rsid w:val="000E789E"/>
    <w:rsid w:val="000E78B3"/>
    <w:rsid w:val="000E7A82"/>
    <w:rsid w:val="000E7C33"/>
    <w:rsid w:val="000E7E43"/>
    <w:rsid w:val="000E7E73"/>
    <w:rsid w:val="000E7EA8"/>
    <w:rsid w:val="000F00F7"/>
    <w:rsid w:val="000F0309"/>
    <w:rsid w:val="000F0508"/>
    <w:rsid w:val="000F0A02"/>
    <w:rsid w:val="000F0A5A"/>
    <w:rsid w:val="000F0BF4"/>
    <w:rsid w:val="000F0D75"/>
    <w:rsid w:val="000F0E7A"/>
    <w:rsid w:val="000F0F46"/>
    <w:rsid w:val="000F12FA"/>
    <w:rsid w:val="000F1573"/>
    <w:rsid w:val="000F18A5"/>
    <w:rsid w:val="000F18D5"/>
    <w:rsid w:val="000F1956"/>
    <w:rsid w:val="000F1B8A"/>
    <w:rsid w:val="000F1CC8"/>
    <w:rsid w:val="000F1EC6"/>
    <w:rsid w:val="000F21CF"/>
    <w:rsid w:val="000F23BF"/>
    <w:rsid w:val="000F247F"/>
    <w:rsid w:val="000F25D7"/>
    <w:rsid w:val="000F2B6C"/>
    <w:rsid w:val="000F2D71"/>
    <w:rsid w:val="000F2F37"/>
    <w:rsid w:val="000F2F89"/>
    <w:rsid w:val="000F31F3"/>
    <w:rsid w:val="000F3409"/>
    <w:rsid w:val="000F35FC"/>
    <w:rsid w:val="000F3956"/>
    <w:rsid w:val="000F39AD"/>
    <w:rsid w:val="000F3B4A"/>
    <w:rsid w:val="000F4029"/>
    <w:rsid w:val="000F411A"/>
    <w:rsid w:val="000F4288"/>
    <w:rsid w:val="000F42B5"/>
    <w:rsid w:val="000F4454"/>
    <w:rsid w:val="000F4640"/>
    <w:rsid w:val="000F475E"/>
    <w:rsid w:val="000F493F"/>
    <w:rsid w:val="000F4A0C"/>
    <w:rsid w:val="000F4BB7"/>
    <w:rsid w:val="000F4C76"/>
    <w:rsid w:val="000F513B"/>
    <w:rsid w:val="000F53BA"/>
    <w:rsid w:val="000F53FF"/>
    <w:rsid w:val="000F5536"/>
    <w:rsid w:val="000F55C3"/>
    <w:rsid w:val="000F5652"/>
    <w:rsid w:val="000F5785"/>
    <w:rsid w:val="000F593A"/>
    <w:rsid w:val="000F59F7"/>
    <w:rsid w:val="000F5B03"/>
    <w:rsid w:val="000F5B7C"/>
    <w:rsid w:val="000F5C07"/>
    <w:rsid w:val="000F5C60"/>
    <w:rsid w:val="000F5DD9"/>
    <w:rsid w:val="000F60A1"/>
    <w:rsid w:val="000F60F9"/>
    <w:rsid w:val="000F6203"/>
    <w:rsid w:val="000F6260"/>
    <w:rsid w:val="000F67CC"/>
    <w:rsid w:val="000F67FB"/>
    <w:rsid w:val="000F68B6"/>
    <w:rsid w:val="000F6A0F"/>
    <w:rsid w:val="000F6C13"/>
    <w:rsid w:val="000F6E38"/>
    <w:rsid w:val="000F6E57"/>
    <w:rsid w:val="000F7035"/>
    <w:rsid w:val="000F705A"/>
    <w:rsid w:val="000F7165"/>
    <w:rsid w:val="000F7302"/>
    <w:rsid w:val="000F7318"/>
    <w:rsid w:val="000F7378"/>
    <w:rsid w:val="000F750F"/>
    <w:rsid w:val="000F756B"/>
    <w:rsid w:val="000F7671"/>
    <w:rsid w:val="000F768F"/>
    <w:rsid w:val="000F78D4"/>
    <w:rsid w:val="000F7AD8"/>
    <w:rsid w:val="000F7DA1"/>
    <w:rsid w:val="001000B9"/>
    <w:rsid w:val="00100168"/>
    <w:rsid w:val="001002BD"/>
    <w:rsid w:val="00100319"/>
    <w:rsid w:val="00100361"/>
    <w:rsid w:val="001003AE"/>
    <w:rsid w:val="00100495"/>
    <w:rsid w:val="001005C4"/>
    <w:rsid w:val="0010061F"/>
    <w:rsid w:val="00100E16"/>
    <w:rsid w:val="00100E34"/>
    <w:rsid w:val="00100FEE"/>
    <w:rsid w:val="001010BE"/>
    <w:rsid w:val="001014D3"/>
    <w:rsid w:val="001016A7"/>
    <w:rsid w:val="001017E6"/>
    <w:rsid w:val="00101B36"/>
    <w:rsid w:val="00102164"/>
    <w:rsid w:val="00102191"/>
    <w:rsid w:val="00102379"/>
    <w:rsid w:val="0010237B"/>
    <w:rsid w:val="00102498"/>
    <w:rsid w:val="0010266C"/>
    <w:rsid w:val="001028B3"/>
    <w:rsid w:val="00102A40"/>
    <w:rsid w:val="00102D66"/>
    <w:rsid w:val="00102EC4"/>
    <w:rsid w:val="00102F82"/>
    <w:rsid w:val="00103228"/>
    <w:rsid w:val="001032D4"/>
    <w:rsid w:val="001032E9"/>
    <w:rsid w:val="001035EC"/>
    <w:rsid w:val="00103722"/>
    <w:rsid w:val="0010374D"/>
    <w:rsid w:val="00103A54"/>
    <w:rsid w:val="00103AE6"/>
    <w:rsid w:val="00103B67"/>
    <w:rsid w:val="00103BFF"/>
    <w:rsid w:val="00103E83"/>
    <w:rsid w:val="00104058"/>
    <w:rsid w:val="001041F5"/>
    <w:rsid w:val="00104269"/>
    <w:rsid w:val="001044F4"/>
    <w:rsid w:val="00104592"/>
    <w:rsid w:val="00104643"/>
    <w:rsid w:val="0010482E"/>
    <w:rsid w:val="0010496B"/>
    <w:rsid w:val="00104997"/>
    <w:rsid w:val="00104A93"/>
    <w:rsid w:val="00104AC4"/>
    <w:rsid w:val="00104BB3"/>
    <w:rsid w:val="00104C0D"/>
    <w:rsid w:val="00104CF9"/>
    <w:rsid w:val="001051EF"/>
    <w:rsid w:val="001053F9"/>
    <w:rsid w:val="0010544F"/>
    <w:rsid w:val="001054AB"/>
    <w:rsid w:val="0010596B"/>
    <w:rsid w:val="00105CC4"/>
    <w:rsid w:val="00105EB8"/>
    <w:rsid w:val="00105ECB"/>
    <w:rsid w:val="00106033"/>
    <w:rsid w:val="00106376"/>
    <w:rsid w:val="001063E1"/>
    <w:rsid w:val="001064E3"/>
    <w:rsid w:val="00106575"/>
    <w:rsid w:val="0010657A"/>
    <w:rsid w:val="001065D6"/>
    <w:rsid w:val="001068D5"/>
    <w:rsid w:val="00106CE9"/>
    <w:rsid w:val="00106DB4"/>
    <w:rsid w:val="00107005"/>
    <w:rsid w:val="001071ED"/>
    <w:rsid w:val="00107255"/>
    <w:rsid w:val="0010729A"/>
    <w:rsid w:val="001072AA"/>
    <w:rsid w:val="0010730D"/>
    <w:rsid w:val="001076B7"/>
    <w:rsid w:val="0010770F"/>
    <w:rsid w:val="00107796"/>
    <w:rsid w:val="001077BD"/>
    <w:rsid w:val="00107A16"/>
    <w:rsid w:val="00107E48"/>
    <w:rsid w:val="00107EB4"/>
    <w:rsid w:val="00110585"/>
    <w:rsid w:val="0011061B"/>
    <w:rsid w:val="00110719"/>
    <w:rsid w:val="0011072F"/>
    <w:rsid w:val="001107C1"/>
    <w:rsid w:val="00110BB0"/>
    <w:rsid w:val="00110BC3"/>
    <w:rsid w:val="00110CEC"/>
    <w:rsid w:val="00111006"/>
    <w:rsid w:val="00111114"/>
    <w:rsid w:val="00111164"/>
    <w:rsid w:val="00111552"/>
    <w:rsid w:val="001117E2"/>
    <w:rsid w:val="001117F5"/>
    <w:rsid w:val="00111810"/>
    <w:rsid w:val="001119F7"/>
    <w:rsid w:val="00111CDB"/>
    <w:rsid w:val="00111D71"/>
    <w:rsid w:val="00111DB2"/>
    <w:rsid w:val="00111E77"/>
    <w:rsid w:val="00112146"/>
    <w:rsid w:val="0011217C"/>
    <w:rsid w:val="0011231D"/>
    <w:rsid w:val="00112533"/>
    <w:rsid w:val="0011287A"/>
    <w:rsid w:val="001128DC"/>
    <w:rsid w:val="001129D0"/>
    <w:rsid w:val="00112A0D"/>
    <w:rsid w:val="00112A24"/>
    <w:rsid w:val="00112B02"/>
    <w:rsid w:val="00112B1B"/>
    <w:rsid w:val="00112C2D"/>
    <w:rsid w:val="00112D0E"/>
    <w:rsid w:val="00112EE2"/>
    <w:rsid w:val="00112F76"/>
    <w:rsid w:val="001135F3"/>
    <w:rsid w:val="001136E0"/>
    <w:rsid w:val="00113879"/>
    <w:rsid w:val="00113973"/>
    <w:rsid w:val="00113A7E"/>
    <w:rsid w:val="00113B6B"/>
    <w:rsid w:val="00113C53"/>
    <w:rsid w:val="00113CC3"/>
    <w:rsid w:val="00113D71"/>
    <w:rsid w:val="00113DBB"/>
    <w:rsid w:val="00113EE2"/>
    <w:rsid w:val="00113F42"/>
    <w:rsid w:val="00114039"/>
    <w:rsid w:val="0011429C"/>
    <w:rsid w:val="0011433D"/>
    <w:rsid w:val="0011447E"/>
    <w:rsid w:val="00114688"/>
    <w:rsid w:val="00114776"/>
    <w:rsid w:val="00114886"/>
    <w:rsid w:val="001148C2"/>
    <w:rsid w:val="00114AC6"/>
    <w:rsid w:val="00114B87"/>
    <w:rsid w:val="00114BD2"/>
    <w:rsid w:val="00114DD6"/>
    <w:rsid w:val="001150F4"/>
    <w:rsid w:val="001151EE"/>
    <w:rsid w:val="001154D7"/>
    <w:rsid w:val="00115534"/>
    <w:rsid w:val="001156BF"/>
    <w:rsid w:val="00115AD3"/>
    <w:rsid w:val="00115DFD"/>
    <w:rsid w:val="00115E9F"/>
    <w:rsid w:val="00116024"/>
    <w:rsid w:val="001161E2"/>
    <w:rsid w:val="0011623B"/>
    <w:rsid w:val="0011649F"/>
    <w:rsid w:val="00116613"/>
    <w:rsid w:val="00116819"/>
    <w:rsid w:val="001169DC"/>
    <w:rsid w:val="00117027"/>
    <w:rsid w:val="00117033"/>
    <w:rsid w:val="00117080"/>
    <w:rsid w:val="00117192"/>
    <w:rsid w:val="00117370"/>
    <w:rsid w:val="001173EC"/>
    <w:rsid w:val="00117949"/>
    <w:rsid w:val="001179E7"/>
    <w:rsid w:val="00117A39"/>
    <w:rsid w:val="00117D6D"/>
    <w:rsid w:val="00120205"/>
    <w:rsid w:val="001202D9"/>
    <w:rsid w:val="001205F5"/>
    <w:rsid w:val="0012066C"/>
    <w:rsid w:val="0012073B"/>
    <w:rsid w:val="00120761"/>
    <w:rsid w:val="00120900"/>
    <w:rsid w:val="00120B84"/>
    <w:rsid w:val="0012106D"/>
    <w:rsid w:val="001211C6"/>
    <w:rsid w:val="00121252"/>
    <w:rsid w:val="0012126E"/>
    <w:rsid w:val="00121559"/>
    <w:rsid w:val="001215AA"/>
    <w:rsid w:val="001216D2"/>
    <w:rsid w:val="001218C9"/>
    <w:rsid w:val="00121EAC"/>
    <w:rsid w:val="001223F6"/>
    <w:rsid w:val="0012241C"/>
    <w:rsid w:val="0012276D"/>
    <w:rsid w:val="00122C90"/>
    <w:rsid w:val="00122E7D"/>
    <w:rsid w:val="0012311E"/>
    <w:rsid w:val="00123251"/>
    <w:rsid w:val="0012329F"/>
    <w:rsid w:val="00123A67"/>
    <w:rsid w:val="00123A7F"/>
    <w:rsid w:val="00123AB9"/>
    <w:rsid w:val="00123B39"/>
    <w:rsid w:val="00123D89"/>
    <w:rsid w:val="00123DA3"/>
    <w:rsid w:val="00123FA0"/>
    <w:rsid w:val="00124224"/>
    <w:rsid w:val="0012453E"/>
    <w:rsid w:val="00124609"/>
    <w:rsid w:val="00124703"/>
    <w:rsid w:val="001247AF"/>
    <w:rsid w:val="0012486A"/>
    <w:rsid w:val="00124982"/>
    <w:rsid w:val="00124999"/>
    <w:rsid w:val="00124A2C"/>
    <w:rsid w:val="00124A92"/>
    <w:rsid w:val="00124B1E"/>
    <w:rsid w:val="00124B8F"/>
    <w:rsid w:val="00124BDC"/>
    <w:rsid w:val="00124E19"/>
    <w:rsid w:val="00124E95"/>
    <w:rsid w:val="00124F18"/>
    <w:rsid w:val="00124F55"/>
    <w:rsid w:val="001252AD"/>
    <w:rsid w:val="001254CE"/>
    <w:rsid w:val="00125662"/>
    <w:rsid w:val="001257FB"/>
    <w:rsid w:val="001258CE"/>
    <w:rsid w:val="00125AB1"/>
    <w:rsid w:val="00125DCF"/>
    <w:rsid w:val="00125E2C"/>
    <w:rsid w:val="00125FCF"/>
    <w:rsid w:val="001260C2"/>
    <w:rsid w:val="00126265"/>
    <w:rsid w:val="00126419"/>
    <w:rsid w:val="0012662B"/>
    <w:rsid w:val="00126B7D"/>
    <w:rsid w:val="00126EB9"/>
    <w:rsid w:val="0012739F"/>
    <w:rsid w:val="001275C2"/>
    <w:rsid w:val="00127B2A"/>
    <w:rsid w:val="00127CEC"/>
    <w:rsid w:val="001303BD"/>
    <w:rsid w:val="001303C1"/>
    <w:rsid w:val="001304BC"/>
    <w:rsid w:val="0013064A"/>
    <w:rsid w:val="00130948"/>
    <w:rsid w:val="0013095D"/>
    <w:rsid w:val="00130C27"/>
    <w:rsid w:val="00130C50"/>
    <w:rsid w:val="00130EB3"/>
    <w:rsid w:val="00130FC9"/>
    <w:rsid w:val="001310BD"/>
    <w:rsid w:val="00131183"/>
    <w:rsid w:val="001312FB"/>
    <w:rsid w:val="00131386"/>
    <w:rsid w:val="00131A5D"/>
    <w:rsid w:val="0013207E"/>
    <w:rsid w:val="0013256B"/>
    <w:rsid w:val="001325C6"/>
    <w:rsid w:val="001327C4"/>
    <w:rsid w:val="00132911"/>
    <w:rsid w:val="001329CF"/>
    <w:rsid w:val="00132AA3"/>
    <w:rsid w:val="00132C5C"/>
    <w:rsid w:val="00132DB6"/>
    <w:rsid w:val="00132DB8"/>
    <w:rsid w:val="00133082"/>
    <w:rsid w:val="00133165"/>
    <w:rsid w:val="001333B6"/>
    <w:rsid w:val="001333C6"/>
    <w:rsid w:val="00133414"/>
    <w:rsid w:val="0013362F"/>
    <w:rsid w:val="001339BB"/>
    <w:rsid w:val="001339BF"/>
    <w:rsid w:val="001339D2"/>
    <w:rsid w:val="001339F3"/>
    <w:rsid w:val="00133BEC"/>
    <w:rsid w:val="00134003"/>
    <w:rsid w:val="001340D0"/>
    <w:rsid w:val="001344C1"/>
    <w:rsid w:val="00134578"/>
    <w:rsid w:val="00134848"/>
    <w:rsid w:val="0013497C"/>
    <w:rsid w:val="00134CF9"/>
    <w:rsid w:val="0013534E"/>
    <w:rsid w:val="001359C4"/>
    <w:rsid w:val="00135A8B"/>
    <w:rsid w:val="00135D7A"/>
    <w:rsid w:val="00135DC1"/>
    <w:rsid w:val="00135EAD"/>
    <w:rsid w:val="00135F71"/>
    <w:rsid w:val="0013608E"/>
    <w:rsid w:val="0013614D"/>
    <w:rsid w:val="00136262"/>
    <w:rsid w:val="001364AD"/>
    <w:rsid w:val="00136596"/>
    <w:rsid w:val="00136714"/>
    <w:rsid w:val="0013680B"/>
    <w:rsid w:val="00136896"/>
    <w:rsid w:val="0013698D"/>
    <w:rsid w:val="00136AB4"/>
    <w:rsid w:val="00136C8C"/>
    <w:rsid w:val="00136D3B"/>
    <w:rsid w:val="00136EB7"/>
    <w:rsid w:val="0013702A"/>
    <w:rsid w:val="0013717E"/>
    <w:rsid w:val="001371AA"/>
    <w:rsid w:val="00137499"/>
    <w:rsid w:val="001374E9"/>
    <w:rsid w:val="0013756D"/>
    <w:rsid w:val="00137628"/>
    <w:rsid w:val="0013768E"/>
    <w:rsid w:val="00137E58"/>
    <w:rsid w:val="0014007A"/>
    <w:rsid w:val="0014023B"/>
    <w:rsid w:val="00140282"/>
    <w:rsid w:val="0014028C"/>
    <w:rsid w:val="00140302"/>
    <w:rsid w:val="001403B7"/>
    <w:rsid w:val="00140871"/>
    <w:rsid w:val="00140A41"/>
    <w:rsid w:val="00140E07"/>
    <w:rsid w:val="00141243"/>
    <w:rsid w:val="00141433"/>
    <w:rsid w:val="001414D2"/>
    <w:rsid w:val="00141951"/>
    <w:rsid w:val="00141D6B"/>
    <w:rsid w:val="00141E2F"/>
    <w:rsid w:val="00141E7D"/>
    <w:rsid w:val="00141F2D"/>
    <w:rsid w:val="00142119"/>
    <w:rsid w:val="001421C1"/>
    <w:rsid w:val="00142223"/>
    <w:rsid w:val="0014223C"/>
    <w:rsid w:val="001422CC"/>
    <w:rsid w:val="00142368"/>
    <w:rsid w:val="00142622"/>
    <w:rsid w:val="0014263D"/>
    <w:rsid w:val="001427E9"/>
    <w:rsid w:val="001427F5"/>
    <w:rsid w:val="00142B3B"/>
    <w:rsid w:val="00142CC3"/>
    <w:rsid w:val="00143107"/>
    <w:rsid w:val="001431E5"/>
    <w:rsid w:val="001432AD"/>
    <w:rsid w:val="001432EF"/>
    <w:rsid w:val="00143842"/>
    <w:rsid w:val="001438FB"/>
    <w:rsid w:val="00143A86"/>
    <w:rsid w:val="00143B4C"/>
    <w:rsid w:val="001441F7"/>
    <w:rsid w:val="00144306"/>
    <w:rsid w:val="0014461B"/>
    <w:rsid w:val="001449F7"/>
    <w:rsid w:val="00144B23"/>
    <w:rsid w:val="00144CA1"/>
    <w:rsid w:val="00144E2B"/>
    <w:rsid w:val="00144F77"/>
    <w:rsid w:val="00144F93"/>
    <w:rsid w:val="0014501B"/>
    <w:rsid w:val="00145189"/>
    <w:rsid w:val="00145346"/>
    <w:rsid w:val="0014567E"/>
    <w:rsid w:val="00145C96"/>
    <w:rsid w:val="00145E67"/>
    <w:rsid w:val="00146561"/>
    <w:rsid w:val="00146589"/>
    <w:rsid w:val="00146662"/>
    <w:rsid w:val="001468D0"/>
    <w:rsid w:val="00146C56"/>
    <w:rsid w:val="00146EDE"/>
    <w:rsid w:val="00146FBB"/>
    <w:rsid w:val="0014700C"/>
    <w:rsid w:val="00147136"/>
    <w:rsid w:val="0014740D"/>
    <w:rsid w:val="00147A06"/>
    <w:rsid w:val="00147C37"/>
    <w:rsid w:val="00147DB1"/>
    <w:rsid w:val="00147EC4"/>
    <w:rsid w:val="00147F0A"/>
    <w:rsid w:val="00147F71"/>
    <w:rsid w:val="00150333"/>
    <w:rsid w:val="0015034B"/>
    <w:rsid w:val="00150595"/>
    <w:rsid w:val="0015085B"/>
    <w:rsid w:val="00150974"/>
    <w:rsid w:val="00150D8B"/>
    <w:rsid w:val="00150E04"/>
    <w:rsid w:val="00150F2A"/>
    <w:rsid w:val="0015118D"/>
    <w:rsid w:val="001511A3"/>
    <w:rsid w:val="00151262"/>
    <w:rsid w:val="001512EA"/>
    <w:rsid w:val="001513E8"/>
    <w:rsid w:val="0015148F"/>
    <w:rsid w:val="00151547"/>
    <w:rsid w:val="00151665"/>
    <w:rsid w:val="001516C6"/>
    <w:rsid w:val="0015185C"/>
    <w:rsid w:val="00151CBB"/>
    <w:rsid w:val="00151D3D"/>
    <w:rsid w:val="00151F52"/>
    <w:rsid w:val="00152075"/>
    <w:rsid w:val="0015220C"/>
    <w:rsid w:val="00152647"/>
    <w:rsid w:val="0015271A"/>
    <w:rsid w:val="00152A63"/>
    <w:rsid w:val="00152C9D"/>
    <w:rsid w:val="00153084"/>
    <w:rsid w:val="00153154"/>
    <w:rsid w:val="001531ED"/>
    <w:rsid w:val="0015321B"/>
    <w:rsid w:val="001534A1"/>
    <w:rsid w:val="0015366B"/>
    <w:rsid w:val="001538FF"/>
    <w:rsid w:val="00153C7A"/>
    <w:rsid w:val="00153F0B"/>
    <w:rsid w:val="00154489"/>
    <w:rsid w:val="00154660"/>
    <w:rsid w:val="00154931"/>
    <w:rsid w:val="00154DBB"/>
    <w:rsid w:val="00154DD7"/>
    <w:rsid w:val="00155067"/>
    <w:rsid w:val="001550C8"/>
    <w:rsid w:val="00155282"/>
    <w:rsid w:val="001552B4"/>
    <w:rsid w:val="001552C3"/>
    <w:rsid w:val="001554E6"/>
    <w:rsid w:val="00155510"/>
    <w:rsid w:val="00155729"/>
    <w:rsid w:val="00155AB9"/>
    <w:rsid w:val="00155B30"/>
    <w:rsid w:val="00155F4D"/>
    <w:rsid w:val="00156035"/>
    <w:rsid w:val="001560F6"/>
    <w:rsid w:val="00156117"/>
    <w:rsid w:val="00156244"/>
    <w:rsid w:val="001562CD"/>
    <w:rsid w:val="0015662A"/>
    <w:rsid w:val="001567E5"/>
    <w:rsid w:val="001569A8"/>
    <w:rsid w:val="001569B4"/>
    <w:rsid w:val="00156C3D"/>
    <w:rsid w:val="00156DD7"/>
    <w:rsid w:val="00156E14"/>
    <w:rsid w:val="00157410"/>
    <w:rsid w:val="00157464"/>
    <w:rsid w:val="0015774A"/>
    <w:rsid w:val="00157B3C"/>
    <w:rsid w:val="00157D31"/>
    <w:rsid w:val="00157EF3"/>
    <w:rsid w:val="00157F39"/>
    <w:rsid w:val="00160163"/>
    <w:rsid w:val="00160247"/>
    <w:rsid w:val="00160356"/>
    <w:rsid w:val="00160422"/>
    <w:rsid w:val="0016079D"/>
    <w:rsid w:val="0016090D"/>
    <w:rsid w:val="00160CF0"/>
    <w:rsid w:val="00160CF3"/>
    <w:rsid w:val="00160F39"/>
    <w:rsid w:val="00161047"/>
    <w:rsid w:val="001611C4"/>
    <w:rsid w:val="00161589"/>
    <w:rsid w:val="001617AF"/>
    <w:rsid w:val="001617B6"/>
    <w:rsid w:val="001617E9"/>
    <w:rsid w:val="00161ADE"/>
    <w:rsid w:val="0016219B"/>
    <w:rsid w:val="0016227F"/>
    <w:rsid w:val="001623FD"/>
    <w:rsid w:val="00162A4A"/>
    <w:rsid w:val="00162BF3"/>
    <w:rsid w:val="00162C54"/>
    <w:rsid w:val="00162D6D"/>
    <w:rsid w:val="00162DDE"/>
    <w:rsid w:val="00162E64"/>
    <w:rsid w:val="00162F20"/>
    <w:rsid w:val="001631B3"/>
    <w:rsid w:val="001634EF"/>
    <w:rsid w:val="001635DE"/>
    <w:rsid w:val="0016387F"/>
    <w:rsid w:val="001639AA"/>
    <w:rsid w:val="00163A87"/>
    <w:rsid w:val="00163AFF"/>
    <w:rsid w:val="00163B54"/>
    <w:rsid w:val="00163CD8"/>
    <w:rsid w:val="00163FD4"/>
    <w:rsid w:val="00164628"/>
    <w:rsid w:val="00164B85"/>
    <w:rsid w:val="00164BA4"/>
    <w:rsid w:val="00164CBB"/>
    <w:rsid w:val="00164D92"/>
    <w:rsid w:val="00164EA7"/>
    <w:rsid w:val="00164F1A"/>
    <w:rsid w:val="00164F8D"/>
    <w:rsid w:val="00164FB2"/>
    <w:rsid w:val="00165005"/>
    <w:rsid w:val="001653C0"/>
    <w:rsid w:val="00165479"/>
    <w:rsid w:val="001654A3"/>
    <w:rsid w:val="001655A3"/>
    <w:rsid w:val="001656E6"/>
    <w:rsid w:val="00165789"/>
    <w:rsid w:val="001657BC"/>
    <w:rsid w:val="0016584A"/>
    <w:rsid w:val="00165A47"/>
    <w:rsid w:val="00165B12"/>
    <w:rsid w:val="00165BDC"/>
    <w:rsid w:val="00165BEC"/>
    <w:rsid w:val="00165D60"/>
    <w:rsid w:val="00165E66"/>
    <w:rsid w:val="00165ECC"/>
    <w:rsid w:val="0016609E"/>
    <w:rsid w:val="00166270"/>
    <w:rsid w:val="00166308"/>
    <w:rsid w:val="0016630D"/>
    <w:rsid w:val="00166382"/>
    <w:rsid w:val="00166396"/>
    <w:rsid w:val="001664A0"/>
    <w:rsid w:val="001664C4"/>
    <w:rsid w:val="00166568"/>
    <w:rsid w:val="001667CC"/>
    <w:rsid w:val="001667E3"/>
    <w:rsid w:val="001668E7"/>
    <w:rsid w:val="00166F21"/>
    <w:rsid w:val="00167156"/>
    <w:rsid w:val="00167615"/>
    <w:rsid w:val="00167C49"/>
    <w:rsid w:val="00167F10"/>
    <w:rsid w:val="00167F2C"/>
    <w:rsid w:val="0017014A"/>
    <w:rsid w:val="00170171"/>
    <w:rsid w:val="0017033E"/>
    <w:rsid w:val="001709F7"/>
    <w:rsid w:val="00170A91"/>
    <w:rsid w:val="00171A05"/>
    <w:rsid w:val="00171B85"/>
    <w:rsid w:val="00171D33"/>
    <w:rsid w:val="00172148"/>
    <w:rsid w:val="001727A2"/>
    <w:rsid w:val="001728B4"/>
    <w:rsid w:val="001729CA"/>
    <w:rsid w:val="00172B7C"/>
    <w:rsid w:val="00172E48"/>
    <w:rsid w:val="00172E89"/>
    <w:rsid w:val="00172FEC"/>
    <w:rsid w:val="0017320F"/>
    <w:rsid w:val="001733D8"/>
    <w:rsid w:val="00173440"/>
    <w:rsid w:val="001737D3"/>
    <w:rsid w:val="001737EE"/>
    <w:rsid w:val="0017389A"/>
    <w:rsid w:val="0017396A"/>
    <w:rsid w:val="00173BBF"/>
    <w:rsid w:val="00173C40"/>
    <w:rsid w:val="00173CFB"/>
    <w:rsid w:val="00173D31"/>
    <w:rsid w:val="00173D84"/>
    <w:rsid w:val="00173DC6"/>
    <w:rsid w:val="00173E38"/>
    <w:rsid w:val="00173F23"/>
    <w:rsid w:val="0017443C"/>
    <w:rsid w:val="00174499"/>
    <w:rsid w:val="00174638"/>
    <w:rsid w:val="00174A77"/>
    <w:rsid w:val="00174BA8"/>
    <w:rsid w:val="00174D01"/>
    <w:rsid w:val="00174DF8"/>
    <w:rsid w:val="00174E93"/>
    <w:rsid w:val="00174F38"/>
    <w:rsid w:val="001751A4"/>
    <w:rsid w:val="001753AF"/>
    <w:rsid w:val="00175488"/>
    <w:rsid w:val="001755BF"/>
    <w:rsid w:val="00175647"/>
    <w:rsid w:val="00175CE2"/>
    <w:rsid w:val="00175DE4"/>
    <w:rsid w:val="00175E03"/>
    <w:rsid w:val="00176183"/>
    <w:rsid w:val="00176341"/>
    <w:rsid w:val="00176613"/>
    <w:rsid w:val="0017668E"/>
    <w:rsid w:val="001766C8"/>
    <w:rsid w:val="001767AD"/>
    <w:rsid w:val="001768B5"/>
    <w:rsid w:val="001768FD"/>
    <w:rsid w:val="001769B1"/>
    <w:rsid w:val="001769C9"/>
    <w:rsid w:val="00176A94"/>
    <w:rsid w:val="00176CCA"/>
    <w:rsid w:val="00176E61"/>
    <w:rsid w:val="00177042"/>
    <w:rsid w:val="00177271"/>
    <w:rsid w:val="001773D5"/>
    <w:rsid w:val="00177440"/>
    <w:rsid w:val="00177561"/>
    <w:rsid w:val="001775CB"/>
    <w:rsid w:val="00177A57"/>
    <w:rsid w:val="00177AA9"/>
    <w:rsid w:val="00177CE7"/>
    <w:rsid w:val="00180112"/>
    <w:rsid w:val="001802DC"/>
    <w:rsid w:val="00180794"/>
    <w:rsid w:val="00180802"/>
    <w:rsid w:val="001808E7"/>
    <w:rsid w:val="00180959"/>
    <w:rsid w:val="00181090"/>
    <w:rsid w:val="0018123C"/>
    <w:rsid w:val="001812B3"/>
    <w:rsid w:val="001812C8"/>
    <w:rsid w:val="00181412"/>
    <w:rsid w:val="00181711"/>
    <w:rsid w:val="00181ADA"/>
    <w:rsid w:val="00181B26"/>
    <w:rsid w:val="00181C4E"/>
    <w:rsid w:val="00181CAC"/>
    <w:rsid w:val="00181F3D"/>
    <w:rsid w:val="001825F0"/>
    <w:rsid w:val="00182647"/>
    <w:rsid w:val="001826EC"/>
    <w:rsid w:val="00182804"/>
    <w:rsid w:val="0018289B"/>
    <w:rsid w:val="0018290B"/>
    <w:rsid w:val="00182BAA"/>
    <w:rsid w:val="00182D8B"/>
    <w:rsid w:val="00182F0F"/>
    <w:rsid w:val="00182FAF"/>
    <w:rsid w:val="00182FEF"/>
    <w:rsid w:val="001834CD"/>
    <w:rsid w:val="00183918"/>
    <w:rsid w:val="00183960"/>
    <w:rsid w:val="00183B0D"/>
    <w:rsid w:val="00183BB8"/>
    <w:rsid w:val="00183CF6"/>
    <w:rsid w:val="00183D6D"/>
    <w:rsid w:val="00183F1F"/>
    <w:rsid w:val="001840CA"/>
    <w:rsid w:val="0018434D"/>
    <w:rsid w:val="001844B6"/>
    <w:rsid w:val="001848B4"/>
    <w:rsid w:val="00184960"/>
    <w:rsid w:val="001849FD"/>
    <w:rsid w:val="00184C9D"/>
    <w:rsid w:val="00184D30"/>
    <w:rsid w:val="00184DF0"/>
    <w:rsid w:val="00184FED"/>
    <w:rsid w:val="0018568D"/>
    <w:rsid w:val="001858F7"/>
    <w:rsid w:val="00185943"/>
    <w:rsid w:val="00185BC9"/>
    <w:rsid w:val="00185CF0"/>
    <w:rsid w:val="0018602A"/>
    <w:rsid w:val="0018648E"/>
    <w:rsid w:val="00186806"/>
    <w:rsid w:val="00186925"/>
    <w:rsid w:val="00186A71"/>
    <w:rsid w:val="00186A74"/>
    <w:rsid w:val="00186B73"/>
    <w:rsid w:val="00186BBC"/>
    <w:rsid w:val="00186DB9"/>
    <w:rsid w:val="00186EF7"/>
    <w:rsid w:val="00186F86"/>
    <w:rsid w:val="00186FC2"/>
    <w:rsid w:val="00187094"/>
    <w:rsid w:val="0018728F"/>
    <w:rsid w:val="001872E8"/>
    <w:rsid w:val="00187399"/>
    <w:rsid w:val="0018743E"/>
    <w:rsid w:val="0018748C"/>
    <w:rsid w:val="001874AE"/>
    <w:rsid w:val="001875E7"/>
    <w:rsid w:val="00187778"/>
    <w:rsid w:val="00187B32"/>
    <w:rsid w:val="00187B61"/>
    <w:rsid w:val="00187C4C"/>
    <w:rsid w:val="00187D24"/>
    <w:rsid w:val="00187EAB"/>
    <w:rsid w:val="00190701"/>
    <w:rsid w:val="00190E64"/>
    <w:rsid w:val="001910D2"/>
    <w:rsid w:val="0019112D"/>
    <w:rsid w:val="00191317"/>
    <w:rsid w:val="001913EA"/>
    <w:rsid w:val="0019169E"/>
    <w:rsid w:val="0019170E"/>
    <w:rsid w:val="00191768"/>
    <w:rsid w:val="0019194E"/>
    <w:rsid w:val="00191A74"/>
    <w:rsid w:val="00191C89"/>
    <w:rsid w:val="00191CD9"/>
    <w:rsid w:val="00191DB8"/>
    <w:rsid w:val="00191E4A"/>
    <w:rsid w:val="00191FF0"/>
    <w:rsid w:val="001920D7"/>
    <w:rsid w:val="00192334"/>
    <w:rsid w:val="00192427"/>
    <w:rsid w:val="00192599"/>
    <w:rsid w:val="00192771"/>
    <w:rsid w:val="00192995"/>
    <w:rsid w:val="00192B4E"/>
    <w:rsid w:val="00192C58"/>
    <w:rsid w:val="0019330E"/>
    <w:rsid w:val="0019351B"/>
    <w:rsid w:val="00193708"/>
    <w:rsid w:val="0019387D"/>
    <w:rsid w:val="00193A07"/>
    <w:rsid w:val="00193C9B"/>
    <w:rsid w:val="00193E36"/>
    <w:rsid w:val="00194042"/>
    <w:rsid w:val="00194360"/>
    <w:rsid w:val="001944BE"/>
    <w:rsid w:val="00194505"/>
    <w:rsid w:val="00194548"/>
    <w:rsid w:val="00194589"/>
    <w:rsid w:val="0019462E"/>
    <w:rsid w:val="001947FB"/>
    <w:rsid w:val="00194958"/>
    <w:rsid w:val="00194B79"/>
    <w:rsid w:val="001951CD"/>
    <w:rsid w:val="00195426"/>
    <w:rsid w:val="00195442"/>
    <w:rsid w:val="001956C0"/>
    <w:rsid w:val="001956D5"/>
    <w:rsid w:val="001957AC"/>
    <w:rsid w:val="00195916"/>
    <w:rsid w:val="001959E4"/>
    <w:rsid w:val="00195A87"/>
    <w:rsid w:val="00195B9E"/>
    <w:rsid w:val="00195FDD"/>
    <w:rsid w:val="00196143"/>
    <w:rsid w:val="0019628F"/>
    <w:rsid w:val="00196689"/>
    <w:rsid w:val="0019674F"/>
    <w:rsid w:val="0019676D"/>
    <w:rsid w:val="00196AE0"/>
    <w:rsid w:val="00196B9F"/>
    <w:rsid w:val="00196D93"/>
    <w:rsid w:val="00196EA7"/>
    <w:rsid w:val="001972A0"/>
    <w:rsid w:val="001973A2"/>
    <w:rsid w:val="00197469"/>
    <w:rsid w:val="00197743"/>
    <w:rsid w:val="00197951"/>
    <w:rsid w:val="0019798C"/>
    <w:rsid w:val="00197F54"/>
    <w:rsid w:val="0019F31B"/>
    <w:rsid w:val="001A0337"/>
    <w:rsid w:val="001A0366"/>
    <w:rsid w:val="001A071B"/>
    <w:rsid w:val="001A09AA"/>
    <w:rsid w:val="001A0CA5"/>
    <w:rsid w:val="001A0F93"/>
    <w:rsid w:val="001A1025"/>
    <w:rsid w:val="001A1240"/>
    <w:rsid w:val="001A1308"/>
    <w:rsid w:val="001A16DA"/>
    <w:rsid w:val="001A188B"/>
    <w:rsid w:val="001A18AE"/>
    <w:rsid w:val="001A18F5"/>
    <w:rsid w:val="001A1A51"/>
    <w:rsid w:val="001A1B9C"/>
    <w:rsid w:val="001A1E38"/>
    <w:rsid w:val="001A1FF8"/>
    <w:rsid w:val="001A206E"/>
    <w:rsid w:val="001A208A"/>
    <w:rsid w:val="001A21B7"/>
    <w:rsid w:val="001A21EF"/>
    <w:rsid w:val="001A2364"/>
    <w:rsid w:val="001A2459"/>
    <w:rsid w:val="001A2473"/>
    <w:rsid w:val="001A24FC"/>
    <w:rsid w:val="001A26DD"/>
    <w:rsid w:val="001A27D8"/>
    <w:rsid w:val="001A2C7F"/>
    <w:rsid w:val="001A2DFA"/>
    <w:rsid w:val="001A305B"/>
    <w:rsid w:val="001A309B"/>
    <w:rsid w:val="001A3158"/>
    <w:rsid w:val="001A320E"/>
    <w:rsid w:val="001A32C3"/>
    <w:rsid w:val="001A33A9"/>
    <w:rsid w:val="001A33D5"/>
    <w:rsid w:val="001A34E4"/>
    <w:rsid w:val="001A35FD"/>
    <w:rsid w:val="001A3644"/>
    <w:rsid w:val="001A37DA"/>
    <w:rsid w:val="001A37E1"/>
    <w:rsid w:val="001A39F3"/>
    <w:rsid w:val="001A3BB4"/>
    <w:rsid w:val="001A3E38"/>
    <w:rsid w:val="001A3F6B"/>
    <w:rsid w:val="001A402C"/>
    <w:rsid w:val="001A4060"/>
    <w:rsid w:val="001A407F"/>
    <w:rsid w:val="001A4083"/>
    <w:rsid w:val="001A4150"/>
    <w:rsid w:val="001A41C2"/>
    <w:rsid w:val="001A4480"/>
    <w:rsid w:val="001A4BC8"/>
    <w:rsid w:val="001A4CA7"/>
    <w:rsid w:val="001A51C7"/>
    <w:rsid w:val="001A526A"/>
    <w:rsid w:val="001A530C"/>
    <w:rsid w:val="001A593B"/>
    <w:rsid w:val="001A5D9A"/>
    <w:rsid w:val="001A5EB8"/>
    <w:rsid w:val="001A6002"/>
    <w:rsid w:val="001A61CE"/>
    <w:rsid w:val="001A61DD"/>
    <w:rsid w:val="001A6293"/>
    <w:rsid w:val="001A63D6"/>
    <w:rsid w:val="001A660B"/>
    <w:rsid w:val="001A69BE"/>
    <w:rsid w:val="001A6CA4"/>
    <w:rsid w:val="001A6E18"/>
    <w:rsid w:val="001A71C0"/>
    <w:rsid w:val="001A7343"/>
    <w:rsid w:val="001A73DD"/>
    <w:rsid w:val="001A747C"/>
    <w:rsid w:val="001A7A97"/>
    <w:rsid w:val="001A7AB4"/>
    <w:rsid w:val="001A7AEF"/>
    <w:rsid w:val="001A7EBF"/>
    <w:rsid w:val="001B007A"/>
    <w:rsid w:val="001B0554"/>
    <w:rsid w:val="001B07DA"/>
    <w:rsid w:val="001B0A80"/>
    <w:rsid w:val="001B0B01"/>
    <w:rsid w:val="001B0EE0"/>
    <w:rsid w:val="001B0FE7"/>
    <w:rsid w:val="001B10AD"/>
    <w:rsid w:val="001B1141"/>
    <w:rsid w:val="001B13FF"/>
    <w:rsid w:val="001B15D8"/>
    <w:rsid w:val="001B1B5A"/>
    <w:rsid w:val="001B1CF0"/>
    <w:rsid w:val="001B1D86"/>
    <w:rsid w:val="001B1E7B"/>
    <w:rsid w:val="001B1FB7"/>
    <w:rsid w:val="001B210E"/>
    <w:rsid w:val="001B2288"/>
    <w:rsid w:val="001B2291"/>
    <w:rsid w:val="001B2586"/>
    <w:rsid w:val="001B25A6"/>
    <w:rsid w:val="001B2665"/>
    <w:rsid w:val="001B289D"/>
    <w:rsid w:val="001B308E"/>
    <w:rsid w:val="001B3475"/>
    <w:rsid w:val="001B3757"/>
    <w:rsid w:val="001B3AC1"/>
    <w:rsid w:val="001B3AD5"/>
    <w:rsid w:val="001B3B17"/>
    <w:rsid w:val="001B3F2B"/>
    <w:rsid w:val="001B40DF"/>
    <w:rsid w:val="001B4175"/>
    <w:rsid w:val="001B4248"/>
    <w:rsid w:val="001B43FD"/>
    <w:rsid w:val="001B4423"/>
    <w:rsid w:val="001B44B6"/>
    <w:rsid w:val="001B4C64"/>
    <w:rsid w:val="001B4CFA"/>
    <w:rsid w:val="001B4DD9"/>
    <w:rsid w:val="001B4DDE"/>
    <w:rsid w:val="001B4E09"/>
    <w:rsid w:val="001B5261"/>
    <w:rsid w:val="001B52AF"/>
    <w:rsid w:val="001B52E5"/>
    <w:rsid w:val="001B54C9"/>
    <w:rsid w:val="001B5B64"/>
    <w:rsid w:val="001B5CAF"/>
    <w:rsid w:val="001B5DB7"/>
    <w:rsid w:val="001B670B"/>
    <w:rsid w:val="001B6908"/>
    <w:rsid w:val="001B6C55"/>
    <w:rsid w:val="001B6DB2"/>
    <w:rsid w:val="001B70F4"/>
    <w:rsid w:val="001B7199"/>
    <w:rsid w:val="001B757E"/>
    <w:rsid w:val="001B799D"/>
    <w:rsid w:val="001B7DDC"/>
    <w:rsid w:val="001B7F57"/>
    <w:rsid w:val="001B7FB2"/>
    <w:rsid w:val="001C000C"/>
    <w:rsid w:val="001C017C"/>
    <w:rsid w:val="001C0277"/>
    <w:rsid w:val="001C03EF"/>
    <w:rsid w:val="001C062C"/>
    <w:rsid w:val="001C06DD"/>
    <w:rsid w:val="001C0A7D"/>
    <w:rsid w:val="001C0C80"/>
    <w:rsid w:val="001C0DE4"/>
    <w:rsid w:val="001C0FDA"/>
    <w:rsid w:val="001C112A"/>
    <w:rsid w:val="001C168A"/>
    <w:rsid w:val="001C1711"/>
    <w:rsid w:val="001C192B"/>
    <w:rsid w:val="001C1AC0"/>
    <w:rsid w:val="001C1B20"/>
    <w:rsid w:val="001C1E84"/>
    <w:rsid w:val="001C20A1"/>
    <w:rsid w:val="001C21CA"/>
    <w:rsid w:val="001C2344"/>
    <w:rsid w:val="001C259E"/>
    <w:rsid w:val="001C259F"/>
    <w:rsid w:val="001C274C"/>
    <w:rsid w:val="001C28A9"/>
    <w:rsid w:val="001C2993"/>
    <w:rsid w:val="001C2F47"/>
    <w:rsid w:val="001C30DA"/>
    <w:rsid w:val="001C33A8"/>
    <w:rsid w:val="001C3544"/>
    <w:rsid w:val="001C35B2"/>
    <w:rsid w:val="001C3625"/>
    <w:rsid w:val="001C3643"/>
    <w:rsid w:val="001C376D"/>
    <w:rsid w:val="001C3851"/>
    <w:rsid w:val="001C3AF6"/>
    <w:rsid w:val="001C3C3D"/>
    <w:rsid w:val="001C3E54"/>
    <w:rsid w:val="001C3E69"/>
    <w:rsid w:val="001C456D"/>
    <w:rsid w:val="001C4575"/>
    <w:rsid w:val="001C47CE"/>
    <w:rsid w:val="001C48B6"/>
    <w:rsid w:val="001C4A29"/>
    <w:rsid w:val="001C4BB9"/>
    <w:rsid w:val="001C4C6B"/>
    <w:rsid w:val="001C4FC5"/>
    <w:rsid w:val="001C4FD7"/>
    <w:rsid w:val="001C54F5"/>
    <w:rsid w:val="001C551D"/>
    <w:rsid w:val="001C582E"/>
    <w:rsid w:val="001C5918"/>
    <w:rsid w:val="001C5927"/>
    <w:rsid w:val="001C6019"/>
    <w:rsid w:val="001C6157"/>
    <w:rsid w:val="001C62E7"/>
    <w:rsid w:val="001C64C0"/>
    <w:rsid w:val="001C65F7"/>
    <w:rsid w:val="001C6853"/>
    <w:rsid w:val="001C6F6F"/>
    <w:rsid w:val="001C6FA3"/>
    <w:rsid w:val="001C7724"/>
    <w:rsid w:val="001C775E"/>
    <w:rsid w:val="001C790F"/>
    <w:rsid w:val="001C79FA"/>
    <w:rsid w:val="001C7BAE"/>
    <w:rsid w:val="001C7EA3"/>
    <w:rsid w:val="001C7EDB"/>
    <w:rsid w:val="001C7FBA"/>
    <w:rsid w:val="001D008D"/>
    <w:rsid w:val="001D0808"/>
    <w:rsid w:val="001D082D"/>
    <w:rsid w:val="001D0E0E"/>
    <w:rsid w:val="001D0F5B"/>
    <w:rsid w:val="001D1195"/>
    <w:rsid w:val="001D13E6"/>
    <w:rsid w:val="001D1AF3"/>
    <w:rsid w:val="001D1B5B"/>
    <w:rsid w:val="001D1BED"/>
    <w:rsid w:val="001D1D75"/>
    <w:rsid w:val="001D20E6"/>
    <w:rsid w:val="001D2258"/>
    <w:rsid w:val="001D22C1"/>
    <w:rsid w:val="001D2B1B"/>
    <w:rsid w:val="001D2BB3"/>
    <w:rsid w:val="001D2F56"/>
    <w:rsid w:val="001D323D"/>
    <w:rsid w:val="001D3304"/>
    <w:rsid w:val="001D3357"/>
    <w:rsid w:val="001D34C4"/>
    <w:rsid w:val="001D3A41"/>
    <w:rsid w:val="001D4026"/>
    <w:rsid w:val="001D4195"/>
    <w:rsid w:val="001D4348"/>
    <w:rsid w:val="001D43BB"/>
    <w:rsid w:val="001D4CF8"/>
    <w:rsid w:val="001D4D76"/>
    <w:rsid w:val="001D53E3"/>
    <w:rsid w:val="001D54D8"/>
    <w:rsid w:val="001D56A4"/>
    <w:rsid w:val="001D570B"/>
    <w:rsid w:val="001D5836"/>
    <w:rsid w:val="001D58C6"/>
    <w:rsid w:val="001D596A"/>
    <w:rsid w:val="001D59FF"/>
    <w:rsid w:val="001D5BE8"/>
    <w:rsid w:val="001D5E41"/>
    <w:rsid w:val="001D5F6A"/>
    <w:rsid w:val="001D6079"/>
    <w:rsid w:val="001D61CC"/>
    <w:rsid w:val="001D6258"/>
    <w:rsid w:val="001D62CF"/>
    <w:rsid w:val="001D6321"/>
    <w:rsid w:val="001D644D"/>
    <w:rsid w:val="001D67EB"/>
    <w:rsid w:val="001D6830"/>
    <w:rsid w:val="001D6A1C"/>
    <w:rsid w:val="001D6BC6"/>
    <w:rsid w:val="001D6C27"/>
    <w:rsid w:val="001D6CB5"/>
    <w:rsid w:val="001D6E8F"/>
    <w:rsid w:val="001D7162"/>
    <w:rsid w:val="001D7320"/>
    <w:rsid w:val="001D766B"/>
    <w:rsid w:val="001D76CB"/>
    <w:rsid w:val="001D7B82"/>
    <w:rsid w:val="001D7BA5"/>
    <w:rsid w:val="001D7BCB"/>
    <w:rsid w:val="001D7C4C"/>
    <w:rsid w:val="001D7C8A"/>
    <w:rsid w:val="001D7CE9"/>
    <w:rsid w:val="001D7E44"/>
    <w:rsid w:val="001E0130"/>
    <w:rsid w:val="001E01FF"/>
    <w:rsid w:val="001E0622"/>
    <w:rsid w:val="001E0769"/>
    <w:rsid w:val="001E077A"/>
    <w:rsid w:val="001E0871"/>
    <w:rsid w:val="001E08B1"/>
    <w:rsid w:val="001E0B3B"/>
    <w:rsid w:val="001E0B62"/>
    <w:rsid w:val="001E0B83"/>
    <w:rsid w:val="001E0C1F"/>
    <w:rsid w:val="001E0E0B"/>
    <w:rsid w:val="001E0F12"/>
    <w:rsid w:val="001E13EC"/>
    <w:rsid w:val="001E14CE"/>
    <w:rsid w:val="001E16E6"/>
    <w:rsid w:val="001E1782"/>
    <w:rsid w:val="001E1AEA"/>
    <w:rsid w:val="001E1B15"/>
    <w:rsid w:val="001E1C28"/>
    <w:rsid w:val="001E1C6D"/>
    <w:rsid w:val="001E20CC"/>
    <w:rsid w:val="001E2446"/>
    <w:rsid w:val="001E2447"/>
    <w:rsid w:val="001E2852"/>
    <w:rsid w:val="001E28E8"/>
    <w:rsid w:val="001E2A30"/>
    <w:rsid w:val="001E2B45"/>
    <w:rsid w:val="001E2CAC"/>
    <w:rsid w:val="001E2D58"/>
    <w:rsid w:val="001E2E6A"/>
    <w:rsid w:val="001E2EFE"/>
    <w:rsid w:val="001E2F29"/>
    <w:rsid w:val="001E2F62"/>
    <w:rsid w:val="001E3129"/>
    <w:rsid w:val="001E31F6"/>
    <w:rsid w:val="001E31FA"/>
    <w:rsid w:val="001E35D4"/>
    <w:rsid w:val="001E37AE"/>
    <w:rsid w:val="001E3BFC"/>
    <w:rsid w:val="001E3E94"/>
    <w:rsid w:val="001E40C9"/>
    <w:rsid w:val="001E41C2"/>
    <w:rsid w:val="001E41E9"/>
    <w:rsid w:val="001E44DA"/>
    <w:rsid w:val="001E46D5"/>
    <w:rsid w:val="001E48F9"/>
    <w:rsid w:val="001E4B1B"/>
    <w:rsid w:val="001E4B60"/>
    <w:rsid w:val="001E4C10"/>
    <w:rsid w:val="001E4EEE"/>
    <w:rsid w:val="001E505A"/>
    <w:rsid w:val="001E51DE"/>
    <w:rsid w:val="001E5611"/>
    <w:rsid w:val="001E56CA"/>
    <w:rsid w:val="001E56EB"/>
    <w:rsid w:val="001E57DB"/>
    <w:rsid w:val="001E5D21"/>
    <w:rsid w:val="001E5EB2"/>
    <w:rsid w:val="001E5FD2"/>
    <w:rsid w:val="001E609C"/>
    <w:rsid w:val="001E64F0"/>
    <w:rsid w:val="001E64F6"/>
    <w:rsid w:val="001E6609"/>
    <w:rsid w:val="001E67DB"/>
    <w:rsid w:val="001E6A5F"/>
    <w:rsid w:val="001E6AA9"/>
    <w:rsid w:val="001E6BEA"/>
    <w:rsid w:val="001E6CBD"/>
    <w:rsid w:val="001E72D6"/>
    <w:rsid w:val="001E759D"/>
    <w:rsid w:val="001E794E"/>
    <w:rsid w:val="001E79E5"/>
    <w:rsid w:val="001E7ABF"/>
    <w:rsid w:val="001E7AEB"/>
    <w:rsid w:val="001E7BB1"/>
    <w:rsid w:val="001E7D43"/>
    <w:rsid w:val="001E7E61"/>
    <w:rsid w:val="001F0067"/>
    <w:rsid w:val="001F00A4"/>
    <w:rsid w:val="001F00FB"/>
    <w:rsid w:val="001F0496"/>
    <w:rsid w:val="001F04AC"/>
    <w:rsid w:val="001F0635"/>
    <w:rsid w:val="001F07DD"/>
    <w:rsid w:val="001F08B6"/>
    <w:rsid w:val="001F0949"/>
    <w:rsid w:val="001F0DFE"/>
    <w:rsid w:val="001F0E2B"/>
    <w:rsid w:val="001F14FD"/>
    <w:rsid w:val="001F15B3"/>
    <w:rsid w:val="001F1850"/>
    <w:rsid w:val="001F18B1"/>
    <w:rsid w:val="001F1EC2"/>
    <w:rsid w:val="001F22F5"/>
    <w:rsid w:val="001F26F0"/>
    <w:rsid w:val="001F2B3B"/>
    <w:rsid w:val="001F305C"/>
    <w:rsid w:val="001F319C"/>
    <w:rsid w:val="001F3256"/>
    <w:rsid w:val="001F3304"/>
    <w:rsid w:val="001F3854"/>
    <w:rsid w:val="001F385C"/>
    <w:rsid w:val="001F3A8E"/>
    <w:rsid w:val="001F3ADB"/>
    <w:rsid w:val="001F3AE2"/>
    <w:rsid w:val="001F4C1D"/>
    <w:rsid w:val="001F4F53"/>
    <w:rsid w:val="001F4F71"/>
    <w:rsid w:val="001F518A"/>
    <w:rsid w:val="001F51B9"/>
    <w:rsid w:val="001F5382"/>
    <w:rsid w:val="001F5504"/>
    <w:rsid w:val="001F575A"/>
    <w:rsid w:val="001F58AC"/>
    <w:rsid w:val="001F5B5E"/>
    <w:rsid w:val="001F606F"/>
    <w:rsid w:val="001F60BB"/>
    <w:rsid w:val="001F6115"/>
    <w:rsid w:val="001F6129"/>
    <w:rsid w:val="001F6204"/>
    <w:rsid w:val="001F6252"/>
    <w:rsid w:val="001F627E"/>
    <w:rsid w:val="001F632F"/>
    <w:rsid w:val="001F6332"/>
    <w:rsid w:val="001F6610"/>
    <w:rsid w:val="001F679B"/>
    <w:rsid w:val="001F6822"/>
    <w:rsid w:val="001F6862"/>
    <w:rsid w:val="001F6FBA"/>
    <w:rsid w:val="001F7141"/>
    <w:rsid w:val="001F73D7"/>
    <w:rsid w:val="001F74F7"/>
    <w:rsid w:val="001F7668"/>
    <w:rsid w:val="001F795D"/>
    <w:rsid w:val="001F7A53"/>
    <w:rsid w:val="001F7B42"/>
    <w:rsid w:val="001F7C9E"/>
    <w:rsid w:val="001F7DE5"/>
    <w:rsid w:val="001F7F63"/>
    <w:rsid w:val="00200052"/>
    <w:rsid w:val="00200224"/>
    <w:rsid w:val="002002F5"/>
    <w:rsid w:val="00200357"/>
    <w:rsid w:val="00200418"/>
    <w:rsid w:val="0020041B"/>
    <w:rsid w:val="0020041C"/>
    <w:rsid w:val="002008E3"/>
    <w:rsid w:val="00200B35"/>
    <w:rsid w:val="00200D47"/>
    <w:rsid w:val="00200DA1"/>
    <w:rsid w:val="00200DDC"/>
    <w:rsid w:val="00201121"/>
    <w:rsid w:val="00201498"/>
    <w:rsid w:val="002016F2"/>
    <w:rsid w:val="002019F6"/>
    <w:rsid w:val="00201A99"/>
    <w:rsid w:val="00201CCD"/>
    <w:rsid w:val="00202385"/>
    <w:rsid w:val="002024AE"/>
    <w:rsid w:val="00202593"/>
    <w:rsid w:val="00202EA8"/>
    <w:rsid w:val="002030B1"/>
    <w:rsid w:val="0020317B"/>
    <w:rsid w:val="00203364"/>
    <w:rsid w:val="0020347B"/>
    <w:rsid w:val="00203556"/>
    <w:rsid w:val="00203EEA"/>
    <w:rsid w:val="00204366"/>
    <w:rsid w:val="0020442C"/>
    <w:rsid w:val="0020454D"/>
    <w:rsid w:val="0020460D"/>
    <w:rsid w:val="002046D1"/>
    <w:rsid w:val="0020476D"/>
    <w:rsid w:val="00204B82"/>
    <w:rsid w:val="00204F9D"/>
    <w:rsid w:val="002051CB"/>
    <w:rsid w:val="0020575F"/>
    <w:rsid w:val="0020581A"/>
    <w:rsid w:val="002059A5"/>
    <w:rsid w:val="00205B19"/>
    <w:rsid w:val="00205C68"/>
    <w:rsid w:val="00205C7C"/>
    <w:rsid w:val="00205CC6"/>
    <w:rsid w:val="00205D0F"/>
    <w:rsid w:val="0020617F"/>
    <w:rsid w:val="002067E5"/>
    <w:rsid w:val="002068DC"/>
    <w:rsid w:val="00206AD6"/>
    <w:rsid w:val="00206B1E"/>
    <w:rsid w:val="00206EFD"/>
    <w:rsid w:val="00206F2A"/>
    <w:rsid w:val="00207290"/>
    <w:rsid w:val="002077EA"/>
    <w:rsid w:val="00207920"/>
    <w:rsid w:val="00207A6C"/>
    <w:rsid w:val="00207A82"/>
    <w:rsid w:val="00207C59"/>
    <w:rsid w:val="00207CE7"/>
    <w:rsid w:val="00207E0D"/>
    <w:rsid w:val="00207E83"/>
    <w:rsid w:val="002103E7"/>
    <w:rsid w:val="00210755"/>
    <w:rsid w:val="002108C3"/>
    <w:rsid w:val="00210D02"/>
    <w:rsid w:val="00210EC2"/>
    <w:rsid w:val="00210F44"/>
    <w:rsid w:val="002110F1"/>
    <w:rsid w:val="00211567"/>
    <w:rsid w:val="002115EA"/>
    <w:rsid w:val="002117A5"/>
    <w:rsid w:val="002118E9"/>
    <w:rsid w:val="00211E7E"/>
    <w:rsid w:val="00211F8C"/>
    <w:rsid w:val="0021237A"/>
    <w:rsid w:val="0021249C"/>
    <w:rsid w:val="002126BA"/>
    <w:rsid w:val="002126F1"/>
    <w:rsid w:val="00212815"/>
    <w:rsid w:val="00212938"/>
    <w:rsid w:val="00212A48"/>
    <w:rsid w:val="00212AFC"/>
    <w:rsid w:val="00212DE3"/>
    <w:rsid w:val="00213035"/>
    <w:rsid w:val="0021326D"/>
    <w:rsid w:val="002133E4"/>
    <w:rsid w:val="00213409"/>
    <w:rsid w:val="00213B7A"/>
    <w:rsid w:val="002144D6"/>
    <w:rsid w:val="002148A1"/>
    <w:rsid w:val="00214E20"/>
    <w:rsid w:val="00214F14"/>
    <w:rsid w:val="00215186"/>
    <w:rsid w:val="00215302"/>
    <w:rsid w:val="00215A9B"/>
    <w:rsid w:val="00215BBA"/>
    <w:rsid w:val="00215DA8"/>
    <w:rsid w:val="00215FF7"/>
    <w:rsid w:val="00216134"/>
    <w:rsid w:val="002161CA"/>
    <w:rsid w:val="002162E7"/>
    <w:rsid w:val="002166BE"/>
    <w:rsid w:val="002168DD"/>
    <w:rsid w:val="00216D34"/>
    <w:rsid w:val="00216FC9"/>
    <w:rsid w:val="00216FF4"/>
    <w:rsid w:val="002174B2"/>
    <w:rsid w:val="00217533"/>
    <w:rsid w:val="00217855"/>
    <w:rsid w:val="00217880"/>
    <w:rsid w:val="00217ABA"/>
    <w:rsid w:val="00217AD8"/>
    <w:rsid w:val="00220092"/>
    <w:rsid w:val="00220342"/>
    <w:rsid w:val="002203AE"/>
    <w:rsid w:val="00220675"/>
    <w:rsid w:val="00220D59"/>
    <w:rsid w:val="00220FD2"/>
    <w:rsid w:val="0022117A"/>
    <w:rsid w:val="00221259"/>
    <w:rsid w:val="00221303"/>
    <w:rsid w:val="00221354"/>
    <w:rsid w:val="00221403"/>
    <w:rsid w:val="00221862"/>
    <w:rsid w:val="00221A9B"/>
    <w:rsid w:val="00221B30"/>
    <w:rsid w:val="00221BA8"/>
    <w:rsid w:val="00221FF4"/>
    <w:rsid w:val="00221FF7"/>
    <w:rsid w:val="002223C3"/>
    <w:rsid w:val="002223EE"/>
    <w:rsid w:val="002227C6"/>
    <w:rsid w:val="00222B11"/>
    <w:rsid w:val="00222BEB"/>
    <w:rsid w:val="00222D29"/>
    <w:rsid w:val="00222D77"/>
    <w:rsid w:val="00222E8A"/>
    <w:rsid w:val="00222FB1"/>
    <w:rsid w:val="00223217"/>
    <w:rsid w:val="00223229"/>
    <w:rsid w:val="00223453"/>
    <w:rsid w:val="002234C4"/>
    <w:rsid w:val="00223699"/>
    <w:rsid w:val="002237BB"/>
    <w:rsid w:val="00223962"/>
    <w:rsid w:val="00223B2F"/>
    <w:rsid w:val="00223E52"/>
    <w:rsid w:val="00223E70"/>
    <w:rsid w:val="00224161"/>
    <w:rsid w:val="002241CC"/>
    <w:rsid w:val="00224CDB"/>
    <w:rsid w:val="0022506A"/>
    <w:rsid w:val="00225106"/>
    <w:rsid w:val="0022521D"/>
    <w:rsid w:val="00225407"/>
    <w:rsid w:val="002255E5"/>
    <w:rsid w:val="00225782"/>
    <w:rsid w:val="002258F1"/>
    <w:rsid w:val="00225C73"/>
    <w:rsid w:val="00225CB4"/>
    <w:rsid w:val="00225E06"/>
    <w:rsid w:val="00225E60"/>
    <w:rsid w:val="00226069"/>
    <w:rsid w:val="002261BE"/>
    <w:rsid w:val="00226371"/>
    <w:rsid w:val="002265E0"/>
    <w:rsid w:val="00226CB3"/>
    <w:rsid w:val="00226F78"/>
    <w:rsid w:val="00226FC8"/>
    <w:rsid w:val="00226FFA"/>
    <w:rsid w:val="00227B9B"/>
    <w:rsid w:val="00227C2B"/>
    <w:rsid w:val="00227C3C"/>
    <w:rsid w:val="00227D79"/>
    <w:rsid w:val="00227FD1"/>
    <w:rsid w:val="00230289"/>
    <w:rsid w:val="0023085B"/>
    <w:rsid w:val="0023099F"/>
    <w:rsid w:val="00230B43"/>
    <w:rsid w:val="00230BBB"/>
    <w:rsid w:val="00230CFF"/>
    <w:rsid w:val="00230D29"/>
    <w:rsid w:val="00230D3B"/>
    <w:rsid w:val="00230EE6"/>
    <w:rsid w:val="00230FCA"/>
    <w:rsid w:val="002310E9"/>
    <w:rsid w:val="002311F3"/>
    <w:rsid w:val="00231221"/>
    <w:rsid w:val="00231258"/>
    <w:rsid w:val="0023134D"/>
    <w:rsid w:val="0023158C"/>
    <w:rsid w:val="002315E5"/>
    <w:rsid w:val="00231927"/>
    <w:rsid w:val="002319B9"/>
    <w:rsid w:val="00231B96"/>
    <w:rsid w:val="00231BA5"/>
    <w:rsid w:val="0023202C"/>
    <w:rsid w:val="00232267"/>
    <w:rsid w:val="00232325"/>
    <w:rsid w:val="0023234E"/>
    <w:rsid w:val="002324A5"/>
    <w:rsid w:val="0023254D"/>
    <w:rsid w:val="002325B0"/>
    <w:rsid w:val="00232878"/>
    <w:rsid w:val="002328B4"/>
    <w:rsid w:val="002329F2"/>
    <w:rsid w:val="002329F6"/>
    <w:rsid w:val="00232D60"/>
    <w:rsid w:val="00232DA6"/>
    <w:rsid w:val="002331BE"/>
    <w:rsid w:val="00233244"/>
    <w:rsid w:val="0023376E"/>
    <w:rsid w:val="002337BB"/>
    <w:rsid w:val="00233823"/>
    <w:rsid w:val="002339D2"/>
    <w:rsid w:val="002339EC"/>
    <w:rsid w:val="00233F1B"/>
    <w:rsid w:val="00234150"/>
    <w:rsid w:val="00234253"/>
    <w:rsid w:val="0023430A"/>
    <w:rsid w:val="0023438C"/>
    <w:rsid w:val="002343A6"/>
    <w:rsid w:val="00234619"/>
    <w:rsid w:val="00234A60"/>
    <w:rsid w:val="00234B8A"/>
    <w:rsid w:val="00234E5C"/>
    <w:rsid w:val="002350A5"/>
    <w:rsid w:val="00235246"/>
    <w:rsid w:val="0023563A"/>
    <w:rsid w:val="0023564F"/>
    <w:rsid w:val="0023583D"/>
    <w:rsid w:val="00235850"/>
    <w:rsid w:val="00235B62"/>
    <w:rsid w:val="00235B94"/>
    <w:rsid w:val="00235CD4"/>
    <w:rsid w:val="00235E09"/>
    <w:rsid w:val="00235E3F"/>
    <w:rsid w:val="00235FE6"/>
    <w:rsid w:val="0023607E"/>
    <w:rsid w:val="00236352"/>
    <w:rsid w:val="00236AAC"/>
    <w:rsid w:val="00236E84"/>
    <w:rsid w:val="00236EF9"/>
    <w:rsid w:val="002371E4"/>
    <w:rsid w:val="00237282"/>
    <w:rsid w:val="002373CF"/>
    <w:rsid w:val="0023740E"/>
    <w:rsid w:val="00237626"/>
    <w:rsid w:val="00237804"/>
    <w:rsid w:val="00237A09"/>
    <w:rsid w:val="00237A51"/>
    <w:rsid w:val="00237C00"/>
    <w:rsid w:val="00237C8B"/>
    <w:rsid w:val="00237D31"/>
    <w:rsid w:val="00237D3F"/>
    <w:rsid w:val="00240231"/>
    <w:rsid w:val="00240442"/>
    <w:rsid w:val="00240500"/>
    <w:rsid w:val="002408D8"/>
    <w:rsid w:val="00240BF8"/>
    <w:rsid w:val="00240C24"/>
    <w:rsid w:val="00240CF4"/>
    <w:rsid w:val="00240DE8"/>
    <w:rsid w:val="0024142A"/>
    <w:rsid w:val="0024145C"/>
    <w:rsid w:val="002417B0"/>
    <w:rsid w:val="00241973"/>
    <w:rsid w:val="00241A19"/>
    <w:rsid w:val="00241CBC"/>
    <w:rsid w:val="00241F87"/>
    <w:rsid w:val="0024261D"/>
    <w:rsid w:val="0024274C"/>
    <w:rsid w:val="00242AD7"/>
    <w:rsid w:val="00242C48"/>
    <w:rsid w:val="00242F37"/>
    <w:rsid w:val="002430A6"/>
    <w:rsid w:val="002435AC"/>
    <w:rsid w:val="00243CFE"/>
    <w:rsid w:val="00243D66"/>
    <w:rsid w:val="00243F45"/>
    <w:rsid w:val="00244126"/>
    <w:rsid w:val="00244167"/>
    <w:rsid w:val="002442AE"/>
    <w:rsid w:val="002444D4"/>
    <w:rsid w:val="0024469B"/>
    <w:rsid w:val="0024486E"/>
    <w:rsid w:val="0024499C"/>
    <w:rsid w:val="00244B62"/>
    <w:rsid w:val="00244BC3"/>
    <w:rsid w:val="00245043"/>
    <w:rsid w:val="00245522"/>
    <w:rsid w:val="00245AE7"/>
    <w:rsid w:val="00245B67"/>
    <w:rsid w:val="00245C8D"/>
    <w:rsid w:val="002465C6"/>
    <w:rsid w:val="00246736"/>
    <w:rsid w:val="002467E2"/>
    <w:rsid w:val="002469A0"/>
    <w:rsid w:val="00246B20"/>
    <w:rsid w:val="00246E5B"/>
    <w:rsid w:val="00246EA6"/>
    <w:rsid w:val="00246EC8"/>
    <w:rsid w:val="00246F6F"/>
    <w:rsid w:val="0024711A"/>
    <w:rsid w:val="0024735E"/>
    <w:rsid w:val="00247A24"/>
    <w:rsid w:val="00247C69"/>
    <w:rsid w:val="00247CF5"/>
    <w:rsid w:val="00247F66"/>
    <w:rsid w:val="0024A48B"/>
    <w:rsid w:val="00250207"/>
    <w:rsid w:val="002503AA"/>
    <w:rsid w:val="0025075C"/>
    <w:rsid w:val="0025086B"/>
    <w:rsid w:val="00250B68"/>
    <w:rsid w:val="00251013"/>
    <w:rsid w:val="002510A1"/>
    <w:rsid w:val="00251264"/>
    <w:rsid w:val="00251407"/>
    <w:rsid w:val="002516D0"/>
    <w:rsid w:val="00251754"/>
    <w:rsid w:val="0025175B"/>
    <w:rsid w:val="002517D9"/>
    <w:rsid w:val="00251801"/>
    <w:rsid w:val="00251AB4"/>
    <w:rsid w:val="00251C50"/>
    <w:rsid w:val="00251D5D"/>
    <w:rsid w:val="00251D99"/>
    <w:rsid w:val="00251EA9"/>
    <w:rsid w:val="00251FDE"/>
    <w:rsid w:val="00252014"/>
    <w:rsid w:val="002521C2"/>
    <w:rsid w:val="002521F3"/>
    <w:rsid w:val="00252422"/>
    <w:rsid w:val="0025267D"/>
    <w:rsid w:val="002526D6"/>
    <w:rsid w:val="002529D8"/>
    <w:rsid w:val="00252C1C"/>
    <w:rsid w:val="00252C46"/>
    <w:rsid w:val="00252D92"/>
    <w:rsid w:val="00252FF7"/>
    <w:rsid w:val="0025301D"/>
    <w:rsid w:val="0025303E"/>
    <w:rsid w:val="0025337B"/>
    <w:rsid w:val="0025342E"/>
    <w:rsid w:val="002534D2"/>
    <w:rsid w:val="00253602"/>
    <w:rsid w:val="002537AF"/>
    <w:rsid w:val="002538A6"/>
    <w:rsid w:val="00253DA2"/>
    <w:rsid w:val="00253E6C"/>
    <w:rsid w:val="00253F3E"/>
    <w:rsid w:val="002540EB"/>
    <w:rsid w:val="00254131"/>
    <w:rsid w:val="00254185"/>
    <w:rsid w:val="002541CF"/>
    <w:rsid w:val="002545BC"/>
    <w:rsid w:val="002548B4"/>
    <w:rsid w:val="00254937"/>
    <w:rsid w:val="00254ACA"/>
    <w:rsid w:val="00254B38"/>
    <w:rsid w:val="00254B6E"/>
    <w:rsid w:val="00255030"/>
    <w:rsid w:val="0025511C"/>
    <w:rsid w:val="00255516"/>
    <w:rsid w:val="00255596"/>
    <w:rsid w:val="002556BE"/>
    <w:rsid w:val="0025578B"/>
    <w:rsid w:val="002557EF"/>
    <w:rsid w:val="0025589A"/>
    <w:rsid w:val="002559DB"/>
    <w:rsid w:val="00255A3F"/>
    <w:rsid w:val="00255E1E"/>
    <w:rsid w:val="00255EF2"/>
    <w:rsid w:val="00255F57"/>
    <w:rsid w:val="00256047"/>
    <w:rsid w:val="002561E8"/>
    <w:rsid w:val="002563CE"/>
    <w:rsid w:val="0025642C"/>
    <w:rsid w:val="002567AD"/>
    <w:rsid w:val="00256844"/>
    <w:rsid w:val="002568F2"/>
    <w:rsid w:val="00256D17"/>
    <w:rsid w:val="00256F11"/>
    <w:rsid w:val="002570BD"/>
    <w:rsid w:val="002574D3"/>
    <w:rsid w:val="00257712"/>
    <w:rsid w:val="00257721"/>
    <w:rsid w:val="00257806"/>
    <w:rsid w:val="00257999"/>
    <w:rsid w:val="00257A16"/>
    <w:rsid w:val="00257AA6"/>
    <w:rsid w:val="00257CAF"/>
    <w:rsid w:val="00257DC8"/>
    <w:rsid w:val="00257E9B"/>
    <w:rsid w:val="00257F5C"/>
    <w:rsid w:val="0026028E"/>
    <w:rsid w:val="00260823"/>
    <w:rsid w:val="0026092C"/>
    <w:rsid w:val="00260A22"/>
    <w:rsid w:val="00260D35"/>
    <w:rsid w:val="00260DBD"/>
    <w:rsid w:val="00260E25"/>
    <w:rsid w:val="0026121B"/>
    <w:rsid w:val="00261278"/>
    <w:rsid w:val="00261338"/>
    <w:rsid w:val="00261383"/>
    <w:rsid w:val="00261579"/>
    <w:rsid w:val="002615B7"/>
    <w:rsid w:val="0026167E"/>
    <w:rsid w:val="0026177C"/>
    <w:rsid w:val="00261996"/>
    <w:rsid w:val="00261D44"/>
    <w:rsid w:val="00261E65"/>
    <w:rsid w:val="00261FA8"/>
    <w:rsid w:val="002620D6"/>
    <w:rsid w:val="0026215B"/>
    <w:rsid w:val="00262C20"/>
    <w:rsid w:val="00262E6F"/>
    <w:rsid w:val="00262E97"/>
    <w:rsid w:val="00262FE1"/>
    <w:rsid w:val="0026325A"/>
    <w:rsid w:val="00263691"/>
    <w:rsid w:val="002637DC"/>
    <w:rsid w:val="0026397C"/>
    <w:rsid w:val="0026406A"/>
    <w:rsid w:val="002640D7"/>
    <w:rsid w:val="00264402"/>
    <w:rsid w:val="002647B8"/>
    <w:rsid w:val="0026487B"/>
    <w:rsid w:val="002648DB"/>
    <w:rsid w:val="00264F15"/>
    <w:rsid w:val="00264F87"/>
    <w:rsid w:val="00265111"/>
    <w:rsid w:val="0026526D"/>
    <w:rsid w:val="0026526E"/>
    <w:rsid w:val="002656F4"/>
    <w:rsid w:val="00265AAE"/>
    <w:rsid w:val="00265B01"/>
    <w:rsid w:val="00265BB5"/>
    <w:rsid w:val="0026609A"/>
    <w:rsid w:val="002660AF"/>
    <w:rsid w:val="002662EC"/>
    <w:rsid w:val="002665ED"/>
    <w:rsid w:val="0026663B"/>
    <w:rsid w:val="00266893"/>
    <w:rsid w:val="002669EE"/>
    <w:rsid w:val="00266AE0"/>
    <w:rsid w:val="00266DB2"/>
    <w:rsid w:val="002670F4"/>
    <w:rsid w:val="00267384"/>
    <w:rsid w:val="002674E2"/>
    <w:rsid w:val="0026768B"/>
    <w:rsid w:val="00267702"/>
    <w:rsid w:val="00267714"/>
    <w:rsid w:val="002679B6"/>
    <w:rsid w:val="00267AB2"/>
    <w:rsid w:val="00267B9A"/>
    <w:rsid w:val="00267BE9"/>
    <w:rsid w:val="00267D39"/>
    <w:rsid w:val="00267DDD"/>
    <w:rsid w:val="002700E9"/>
    <w:rsid w:val="0027021D"/>
    <w:rsid w:val="00270672"/>
    <w:rsid w:val="00270A47"/>
    <w:rsid w:val="00270A8D"/>
    <w:rsid w:val="00270C08"/>
    <w:rsid w:val="00270E78"/>
    <w:rsid w:val="00270FF8"/>
    <w:rsid w:val="0027101D"/>
    <w:rsid w:val="00271262"/>
    <w:rsid w:val="002714B5"/>
    <w:rsid w:val="002714E2"/>
    <w:rsid w:val="00271588"/>
    <w:rsid w:val="002715BC"/>
    <w:rsid w:val="0027160A"/>
    <w:rsid w:val="002717BF"/>
    <w:rsid w:val="002718D3"/>
    <w:rsid w:val="0027194E"/>
    <w:rsid w:val="00271A3E"/>
    <w:rsid w:val="0027241E"/>
    <w:rsid w:val="0027258B"/>
    <w:rsid w:val="0027267D"/>
    <w:rsid w:val="002729A9"/>
    <w:rsid w:val="00272AEC"/>
    <w:rsid w:val="00272AFC"/>
    <w:rsid w:val="00272B22"/>
    <w:rsid w:val="00272B8E"/>
    <w:rsid w:val="00272E7B"/>
    <w:rsid w:val="00272E90"/>
    <w:rsid w:val="00272EC4"/>
    <w:rsid w:val="00272F7C"/>
    <w:rsid w:val="002731D2"/>
    <w:rsid w:val="0027338B"/>
    <w:rsid w:val="00273513"/>
    <w:rsid w:val="0027373D"/>
    <w:rsid w:val="002737C1"/>
    <w:rsid w:val="002738E3"/>
    <w:rsid w:val="00273B36"/>
    <w:rsid w:val="00273C34"/>
    <w:rsid w:val="00273F3A"/>
    <w:rsid w:val="0027421E"/>
    <w:rsid w:val="002742BA"/>
    <w:rsid w:val="002744F6"/>
    <w:rsid w:val="002747A2"/>
    <w:rsid w:val="0027537D"/>
    <w:rsid w:val="00275461"/>
    <w:rsid w:val="002754E1"/>
    <w:rsid w:val="0027576D"/>
    <w:rsid w:val="0027591A"/>
    <w:rsid w:val="00275950"/>
    <w:rsid w:val="00275CEC"/>
    <w:rsid w:val="00275E93"/>
    <w:rsid w:val="00275ECC"/>
    <w:rsid w:val="00276109"/>
    <w:rsid w:val="0027612F"/>
    <w:rsid w:val="002761A4"/>
    <w:rsid w:val="00276343"/>
    <w:rsid w:val="0027653D"/>
    <w:rsid w:val="00276717"/>
    <w:rsid w:val="002768B7"/>
    <w:rsid w:val="00276AF6"/>
    <w:rsid w:val="00276D2C"/>
    <w:rsid w:val="00276D63"/>
    <w:rsid w:val="00276E74"/>
    <w:rsid w:val="00276FEC"/>
    <w:rsid w:val="002771D1"/>
    <w:rsid w:val="00277261"/>
    <w:rsid w:val="00277347"/>
    <w:rsid w:val="0027738F"/>
    <w:rsid w:val="002773CA"/>
    <w:rsid w:val="00277498"/>
    <w:rsid w:val="00277613"/>
    <w:rsid w:val="00277615"/>
    <w:rsid w:val="0027786F"/>
    <w:rsid w:val="0028042A"/>
    <w:rsid w:val="0028045C"/>
    <w:rsid w:val="002806E5"/>
    <w:rsid w:val="0028072A"/>
    <w:rsid w:val="002807E4"/>
    <w:rsid w:val="00280A7B"/>
    <w:rsid w:val="00280ACF"/>
    <w:rsid w:val="00280CFF"/>
    <w:rsid w:val="00280E9B"/>
    <w:rsid w:val="0028108C"/>
    <w:rsid w:val="00281295"/>
    <w:rsid w:val="00281301"/>
    <w:rsid w:val="002813A2"/>
    <w:rsid w:val="002816E3"/>
    <w:rsid w:val="0028182B"/>
    <w:rsid w:val="00281931"/>
    <w:rsid w:val="00282004"/>
    <w:rsid w:val="0028202E"/>
    <w:rsid w:val="002820C4"/>
    <w:rsid w:val="00282118"/>
    <w:rsid w:val="00282250"/>
    <w:rsid w:val="00282257"/>
    <w:rsid w:val="00282333"/>
    <w:rsid w:val="0028259C"/>
    <w:rsid w:val="00282770"/>
    <w:rsid w:val="0028295F"/>
    <w:rsid w:val="00282B0B"/>
    <w:rsid w:val="002830C8"/>
    <w:rsid w:val="0028314F"/>
    <w:rsid w:val="00283298"/>
    <w:rsid w:val="002833B5"/>
    <w:rsid w:val="00283795"/>
    <w:rsid w:val="00283803"/>
    <w:rsid w:val="00283823"/>
    <w:rsid w:val="002838B8"/>
    <w:rsid w:val="002839A1"/>
    <w:rsid w:val="002839CB"/>
    <w:rsid w:val="00283C03"/>
    <w:rsid w:val="00283EC8"/>
    <w:rsid w:val="00283EDF"/>
    <w:rsid w:val="00283F2D"/>
    <w:rsid w:val="0028418F"/>
    <w:rsid w:val="002842F8"/>
    <w:rsid w:val="0028458B"/>
    <w:rsid w:val="00284629"/>
    <w:rsid w:val="002846C2"/>
    <w:rsid w:val="0028476C"/>
    <w:rsid w:val="00284898"/>
    <w:rsid w:val="00284A69"/>
    <w:rsid w:val="00284AC6"/>
    <w:rsid w:val="00284D06"/>
    <w:rsid w:val="00284FA2"/>
    <w:rsid w:val="00285315"/>
    <w:rsid w:val="00285380"/>
    <w:rsid w:val="002854AC"/>
    <w:rsid w:val="0028551A"/>
    <w:rsid w:val="0028556A"/>
    <w:rsid w:val="0028562E"/>
    <w:rsid w:val="0028566D"/>
    <w:rsid w:val="002858DF"/>
    <w:rsid w:val="00285AD0"/>
    <w:rsid w:val="00285BF5"/>
    <w:rsid w:val="00285DDC"/>
    <w:rsid w:val="00286104"/>
    <w:rsid w:val="00286657"/>
    <w:rsid w:val="0028685C"/>
    <w:rsid w:val="002869FA"/>
    <w:rsid w:val="00286B4B"/>
    <w:rsid w:val="00286E48"/>
    <w:rsid w:val="0028702A"/>
    <w:rsid w:val="00287299"/>
    <w:rsid w:val="00287616"/>
    <w:rsid w:val="002876C4"/>
    <w:rsid w:val="002876EA"/>
    <w:rsid w:val="00287A60"/>
    <w:rsid w:val="00287CAA"/>
    <w:rsid w:val="00287E0A"/>
    <w:rsid w:val="00287F34"/>
    <w:rsid w:val="0029016A"/>
    <w:rsid w:val="0029018A"/>
    <w:rsid w:val="0029025C"/>
    <w:rsid w:val="00290452"/>
    <w:rsid w:val="00290593"/>
    <w:rsid w:val="002905BC"/>
    <w:rsid w:val="0029078C"/>
    <w:rsid w:val="002907A2"/>
    <w:rsid w:val="00290ABF"/>
    <w:rsid w:val="00290C17"/>
    <w:rsid w:val="00290CF7"/>
    <w:rsid w:val="00290D79"/>
    <w:rsid w:val="00290DE7"/>
    <w:rsid w:val="00290FC0"/>
    <w:rsid w:val="002910E4"/>
    <w:rsid w:val="002911DE"/>
    <w:rsid w:val="002914E2"/>
    <w:rsid w:val="002915AC"/>
    <w:rsid w:val="002915F7"/>
    <w:rsid w:val="002916D4"/>
    <w:rsid w:val="00291892"/>
    <w:rsid w:val="00291931"/>
    <w:rsid w:val="00291985"/>
    <w:rsid w:val="00291A25"/>
    <w:rsid w:val="00291ADD"/>
    <w:rsid w:val="00291CD4"/>
    <w:rsid w:val="00292018"/>
    <w:rsid w:val="00292076"/>
    <w:rsid w:val="00292227"/>
    <w:rsid w:val="00292365"/>
    <w:rsid w:val="00292657"/>
    <w:rsid w:val="00292A00"/>
    <w:rsid w:val="00292BDC"/>
    <w:rsid w:val="00292D36"/>
    <w:rsid w:val="00292D53"/>
    <w:rsid w:val="00292D72"/>
    <w:rsid w:val="00292FB7"/>
    <w:rsid w:val="002931D3"/>
    <w:rsid w:val="0029332D"/>
    <w:rsid w:val="002936A2"/>
    <w:rsid w:val="002936E1"/>
    <w:rsid w:val="00293813"/>
    <w:rsid w:val="00293CF5"/>
    <w:rsid w:val="00293E7C"/>
    <w:rsid w:val="00293F69"/>
    <w:rsid w:val="00293F78"/>
    <w:rsid w:val="002940A3"/>
    <w:rsid w:val="002940DD"/>
    <w:rsid w:val="0029417F"/>
    <w:rsid w:val="002941A3"/>
    <w:rsid w:val="00294236"/>
    <w:rsid w:val="00294305"/>
    <w:rsid w:val="002944AA"/>
    <w:rsid w:val="00294785"/>
    <w:rsid w:val="002947FA"/>
    <w:rsid w:val="0029486B"/>
    <w:rsid w:val="002948F2"/>
    <w:rsid w:val="00294936"/>
    <w:rsid w:val="002949DF"/>
    <w:rsid w:val="00294A17"/>
    <w:rsid w:val="00294A5A"/>
    <w:rsid w:val="00294AA9"/>
    <w:rsid w:val="00294F53"/>
    <w:rsid w:val="00294F62"/>
    <w:rsid w:val="002955C6"/>
    <w:rsid w:val="002955DC"/>
    <w:rsid w:val="0029581E"/>
    <w:rsid w:val="0029598C"/>
    <w:rsid w:val="00295CB4"/>
    <w:rsid w:val="00295DA6"/>
    <w:rsid w:val="00295DB7"/>
    <w:rsid w:val="00295EE9"/>
    <w:rsid w:val="00295EF5"/>
    <w:rsid w:val="00295EFF"/>
    <w:rsid w:val="002963A7"/>
    <w:rsid w:val="0029643A"/>
    <w:rsid w:val="00296448"/>
    <w:rsid w:val="0029649E"/>
    <w:rsid w:val="002969B4"/>
    <w:rsid w:val="00296C3A"/>
    <w:rsid w:val="00296C9A"/>
    <w:rsid w:val="00296DF1"/>
    <w:rsid w:val="00296F29"/>
    <w:rsid w:val="002971ED"/>
    <w:rsid w:val="00297281"/>
    <w:rsid w:val="0029729E"/>
    <w:rsid w:val="00297406"/>
    <w:rsid w:val="00297542"/>
    <w:rsid w:val="00297628"/>
    <w:rsid w:val="002976B7"/>
    <w:rsid w:val="00297A47"/>
    <w:rsid w:val="00297A87"/>
    <w:rsid w:val="00297BBC"/>
    <w:rsid w:val="00297BE4"/>
    <w:rsid w:val="00297C12"/>
    <w:rsid w:val="00297C1F"/>
    <w:rsid w:val="00297D68"/>
    <w:rsid w:val="00297E11"/>
    <w:rsid w:val="00297EBC"/>
    <w:rsid w:val="002A0143"/>
    <w:rsid w:val="002A016A"/>
    <w:rsid w:val="002A01E1"/>
    <w:rsid w:val="002A025E"/>
    <w:rsid w:val="002A0571"/>
    <w:rsid w:val="002A06E5"/>
    <w:rsid w:val="002A0A9E"/>
    <w:rsid w:val="002A0AA5"/>
    <w:rsid w:val="002A0ADD"/>
    <w:rsid w:val="002A0B7D"/>
    <w:rsid w:val="002A0DC6"/>
    <w:rsid w:val="002A0E18"/>
    <w:rsid w:val="002A0E21"/>
    <w:rsid w:val="002A1091"/>
    <w:rsid w:val="002A1206"/>
    <w:rsid w:val="002A1A80"/>
    <w:rsid w:val="002A1D84"/>
    <w:rsid w:val="002A1F17"/>
    <w:rsid w:val="002A2709"/>
    <w:rsid w:val="002A2A02"/>
    <w:rsid w:val="002A2A28"/>
    <w:rsid w:val="002A2A5B"/>
    <w:rsid w:val="002A2BF0"/>
    <w:rsid w:val="002A2C6F"/>
    <w:rsid w:val="002A2E63"/>
    <w:rsid w:val="002A2FC0"/>
    <w:rsid w:val="002A3050"/>
    <w:rsid w:val="002A3362"/>
    <w:rsid w:val="002A33C8"/>
    <w:rsid w:val="002A359A"/>
    <w:rsid w:val="002A363D"/>
    <w:rsid w:val="002A367A"/>
    <w:rsid w:val="002A3ABE"/>
    <w:rsid w:val="002A3BDC"/>
    <w:rsid w:val="002A3E6A"/>
    <w:rsid w:val="002A3E6C"/>
    <w:rsid w:val="002A409B"/>
    <w:rsid w:val="002A425C"/>
    <w:rsid w:val="002A454B"/>
    <w:rsid w:val="002A4576"/>
    <w:rsid w:val="002A45D5"/>
    <w:rsid w:val="002A469F"/>
    <w:rsid w:val="002A48E0"/>
    <w:rsid w:val="002A49B9"/>
    <w:rsid w:val="002A4AD5"/>
    <w:rsid w:val="002A4BF7"/>
    <w:rsid w:val="002A5079"/>
    <w:rsid w:val="002A54B2"/>
    <w:rsid w:val="002A57A6"/>
    <w:rsid w:val="002A5891"/>
    <w:rsid w:val="002A5A46"/>
    <w:rsid w:val="002A5A52"/>
    <w:rsid w:val="002A5AFB"/>
    <w:rsid w:val="002A5D46"/>
    <w:rsid w:val="002A62A6"/>
    <w:rsid w:val="002A68F5"/>
    <w:rsid w:val="002A6C0D"/>
    <w:rsid w:val="002A6DD9"/>
    <w:rsid w:val="002A6EBB"/>
    <w:rsid w:val="002A71CC"/>
    <w:rsid w:val="002A7400"/>
    <w:rsid w:val="002A7422"/>
    <w:rsid w:val="002A7698"/>
    <w:rsid w:val="002A7823"/>
    <w:rsid w:val="002A7C8B"/>
    <w:rsid w:val="002A7CFE"/>
    <w:rsid w:val="002A7D59"/>
    <w:rsid w:val="002A7EBB"/>
    <w:rsid w:val="002B014C"/>
    <w:rsid w:val="002B03E5"/>
    <w:rsid w:val="002B03F1"/>
    <w:rsid w:val="002B0690"/>
    <w:rsid w:val="002B0844"/>
    <w:rsid w:val="002B0D87"/>
    <w:rsid w:val="002B0E17"/>
    <w:rsid w:val="002B1061"/>
    <w:rsid w:val="002B16AE"/>
    <w:rsid w:val="002B1989"/>
    <w:rsid w:val="002B1EE6"/>
    <w:rsid w:val="002B2313"/>
    <w:rsid w:val="002B289B"/>
    <w:rsid w:val="002B2CD6"/>
    <w:rsid w:val="002B32B7"/>
    <w:rsid w:val="002B3386"/>
    <w:rsid w:val="002B339B"/>
    <w:rsid w:val="002B3795"/>
    <w:rsid w:val="002B3BF4"/>
    <w:rsid w:val="002B40B4"/>
    <w:rsid w:val="002B4300"/>
    <w:rsid w:val="002B4707"/>
    <w:rsid w:val="002B4740"/>
    <w:rsid w:val="002B4ADD"/>
    <w:rsid w:val="002B4F23"/>
    <w:rsid w:val="002B5082"/>
    <w:rsid w:val="002B52B0"/>
    <w:rsid w:val="002B5410"/>
    <w:rsid w:val="002B54BC"/>
    <w:rsid w:val="002B550A"/>
    <w:rsid w:val="002B55A8"/>
    <w:rsid w:val="002B5926"/>
    <w:rsid w:val="002B5BA6"/>
    <w:rsid w:val="002B5BE6"/>
    <w:rsid w:val="002B5BFF"/>
    <w:rsid w:val="002B5D01"/>
    <w:rsid w:val="002B5E2B"/>
    <w:rsid w:val="002B5F3B"/>
    <w:rsid w:val="002B5F78"/>
    <w:rsid w:val="002B62A0"/>
    <w:rsid w:val="002B639A"/>
    <w:rsid w:val="002B643D"/>
    <w:rsid w:val="002B665D"/>
    <w:rsid w:val="002B6DAA"/>
    <w:rsid w:val="002B6EB4"/>
    <w:rsid w:val="002B6F3A"/>
    <w:rsid w:val="002B73F8"/>
    <w:rsid w:val="002B7617"/>
    <w:rsid w:val="002B7695"/>
    <w:rsid w:val="002B771A"/>
    <w:rsid w:val="002B7736"/>
    <w:rsid w:val="002B79FC"/>
    <w:rsid w:val="002B7BBC"/>
    <w:rsid w:val="002B7E11"/>
    <w:rsid w:val="002B7EBE"/>
    <w:rsid w:val="002B7F4E"/>
    <w:rsid w:val="002B7FBA"/>
    <w:rsid w:val="002C09E8"/>
    <w:rsid w:val="002C0A7B"/>
    <w:rsid w:val="002C0E44"/>
    <w:rsid w:val="002C12A7"/>
    <w:rsid w:val="002C12D9"/>
    <w:rsid w:val="002C12FF"/>
    <w:rsid w:val="002C15AE"/>
    <w:rsid w:val="002C1688"/>
    <w:rsid w:val="002C18B3"/>
    <w:rsid w:val="002C1F25"/>
    <w:rsid w:val="002C2329"/>
    <w:rsid w:val="002C2565"/>
    <w:rsid w:val="002C2707"/>
    <w:rsid w:val="002C2799"/>
    <w:rsid w:val="002C280E"/>
    <w:rsid w:val="002C28CA"/>
    <w:rsid w:val="002C2D08"/>
    <w:rsid w:val="002C2D33"/>
    <w:rsid w:val="002C2FD6"/>
    <w:rsid w:val="002C30CE"/>
    <w:rsid w:val="002C30D4"/>
    <w:rsid w:val="002C3109"/>
    <w:rsid w:val="002C34D5"/>
    <w:rsid w:val="002C38B1"/>
    <w:rsid w:val="002C3A45"/>
    <w:rsid w:val="002C43B8"/>
    <w:rsid w:val="002C4484"/>
    <w:rsid w:val="002C49AC"/>
    <w:rsid w:val="002C4BB2"/>
    <w:rsid w:val="002C4CF3"/>
    <w:rsid w:val="002C4FEA"/>
    <w:rsid w:val="002C5154"/>
    <w:rsid w:val="002C51EF"/>
    <w:rsid w:val="002C539E"/>
    <w:rsid w:val="002C5422"/>
    <w:rsid w:val="002C54D6"/>
    <w:rsid w:val="002C551E"/>
    <w:rsid w:val="002C5640"/>
    <w:rsid w:val="002C56B3"/>
    <w:rsid w:val="002C588B"/>
    <w:rsid w:val="002C598F"/>
    <w:rsid w:val="002C5B25"/>
    <w:rsid w:val="002C5C32"/>
    <w:rsid w:val="002C5D10"/>
    <w:rsid w:val="002C5F1C"/>
    <w:rsid w:val="002C6165"/>
    <w:rsid w:val="002C6535"/>
    <w:rsid w:val="002C6972"/>
    <w:rsid w:val="002C69B1"/>
    <w:rsid w:val="002C6A9D"/>
    <w:rsid w:val="002C6C48"/>
    <w:rsid w:val="002C6DB4"/>
    <w:rsid w:val="002C6E09"/>
    <w:rsid w:val="002C7058"/>
    <w:rsid w:val="002C71C3"/>
    <w:rsid w:val="002C7300"/>
    <w:rsid w:val="002C73CC"/>
    <w:rsid w:val="002C7992"/>
    <w:rsid w:val="002C7A56"/>
    <w:rsid w:val="002C7F00"/>
    <w:rsid w:val="002D01D1"/>
    <w:rsid w:val="002D0265"/>
    <w:rsid w:val="002D037A"/>
    <w:rsid w:val="002D0391"/>
    <w:rsid w:val="002D0432"/>
    <w:rsid w:val="002D0442"/>
    <w:rsid w:val="002D0848"/>
    <w:rsid w:val="002D14D4"/>
    <w:rsid w:val="002D1508"/>
    <w:rsid w:val="002D1522"/>
    <w:rsid w:val="002D15F8"/>
    <w:rsid w:val="002D167D"/>
    <w:rsid w:val="002D17E2"/>
    <w:rsid w:val="002D17E9"/>
    <w:rsid w:val="002D1972"/>
    <w:rsid w:val="002D19F9"/>
    <w:rsid w:val="002D1A4A"/>
    <w:rsid w:val="002D1EAD"/>
    <w:rsid w:val="002D1F30"/>
    <w:rsid w:val="002D200F"/>
    <w:rsid w:val="002D2080"/>
    <w:rsid w:val="002D22E4"/>
    <w:rsid w:val="002D2660"/>
    <w:rsid w:val="002D2833"/>
    <w:rsid w:val="002D2AC5"/>
    <w:rsid w:val="002D2C3C"/>
    <w:rsid w:val="002D2E96"/>
    <w:rsid w:val="002D3092"/>
    <w:rsid w:val="002D3225"/>
    <w:rsid w:val="002D3458"/>
    <w:rsid w:val="002D34F4"/>
    <w:rsid w:val="002D3C24"/>
    <w:rsid w:val="002D3CD7"/>
    <w:rsid w:val="002D3E97"/>
    <w:rsid w:val="002D3FDF"/>
    <w:rsid w:val="002D43C7"/>
    <w:rsid w:val="002D43C8"/>
    <w:rsid w:val="002D459B"/>
    <w:rsid w:val="002D45C7"/>
    <w:rsid w:val="002D4789"/>
    <w:rsid w:val="002D4C4F"/>
    <w:rsid w:val="002D4C55"/>
    <w:rsid w:val="002D4CA1"/>
    <w:rsid w:val="002D5468"/>
    <w:rsid w:val="002D5553"/>
    <w:rsid w:val="002D563D"/>
    <w:rsid w:val="002D58A5"/>
    <w:rsid w:val="002D5A31"/>
    <w:rsid w:val="002D5A54"/>
    <w:rsid w:val="002D5A6B"/>
    <w:rsid w:val="002D5B73"/>
    <w:rsid w:val="002D5D12"/>
    <w:rsid w:val="002D5F90"/>
    <w:rsid w:val="002D6091"/>
    <w:rsid w:val="002D60F7"/>
    <w:rsid w:val="002D62AE"/>
    <w:rsid w:val="002D648A"/>
    <w:rsid w:val="002D64EC"/>
    <w:rsid w:val="002D6609"/>
    <w:rsid w:val="002D6CE9"/>
    <w:rsid w:val="002D6D33"/>
    <w:rsid w:val="002D6F3C"/>
    <w:rsid w:val="002D7079"/>
    <w:rsid w:val="002D70F7"/>
    <w:rsid w:val="002D710E"/>
    <w:rsid w:val="002D711A"/>
    <w:rsid w:val="002D7157"/>
    <w:rsid w:val="002D7336"/>
    <w:rsid w:val="002D739E"/>
    <w:rsid w:val="002D742F"/>
    <w:rsid w:val="002D7732"/>
    <w:rsid w:val="002D7AFD"/>
    <w:rsid w:val="002D7B06"/>
    <w:rsid w:val="002D7B8A"/>
    <w:rsid w:val="002D7BEC"/>
    <w:rsid w:val="002D7CDE"/>
    <w:rsid w:val="002D7E76"/>
    <w:rsid w:val="002D7FD2"/>
    <w:rsid w:val="002E001E"/>
    <w:rsid w:val="002E0078"/>
    <w:rsid w:val="002E0285"/>
    <w:rsid w:val="002E04D2"/>
    <w:rsid w:val="002E04EE"/>
    <w:rsid w:val="002E05DB"/>
    <w:rsid w:val="002E0A13"/>
    <w:rsid w:val="002E0BE3"/>
    <w:rsid w:val="002E0D2B"/>
    <w:rsid w:val="002E1120"/>
    <w:rsid w:val="002E145C"/>
    <w:rsid w:val="002E1670"/>
    <w:rsid w:val="002E180B"/>
    <w:rsid w:val="002E1A86"/>
    <w:rsid w:val="002E1AF4"/>
    <w:rsid w:val="002E2099"/>
    <w:rsid w:val="002E2485"/>
    <w:rsid w:val="002E2839"/>
    <w:rsid w:val="002E2865"/>
    <w:rsid w:val="002E2AA6"/>
    <w:rsid w:val="002E2CFD"/>
    <w:rsid w:val="002E2DEF"/>
    <w:rsid w:val="002E2E1B"/>
    <w:rsid w:val="002E3059"/>
    <w:rsid w:val="002E3396"/>
    <w:rsid w:val="002E340C"/>
    <w:rsid w:val="002E3464"/>
    <w:rsid w:val="002E35C2"/>
    <w:rsid w:val="002E36BA"/>
    <w:rsid w:val="002E3B36"/>
    <w:rsid w:val="002E3BD0"/>
    <w:rsid w:val="002E3C0E"/>
    <w:rsid w:val="002E3D79"/>
    <w:rsid w:val="002E3D9F"/>
    <w:rsid w:val="002E3DB7"/>
    <w:rsid w:val="002E3F76"/>
    <w:rsid w:val="002E4464"/>
    <w:rsid w:val="002E47C6"/>
    <w:rsid w:val="002E49B0"/>
    <w:rsid w:val="002E4A8E"/>
    <w:rsid w:val="002E4AE1"/>
    <w:rsid w:val="002E4E14"/>
    <w:rsid w:val="002E5A0D"/>
    <w:rsid w:val="002E5A1C"/>
    <w:rsid w:val="002E5AC5"/>
    <w:rsid w:val="002E5C00"/>
    <w:rsid w:val="002E5C65"/>
    <w:rsid w:val="002E5CDF"/>
    <w:rsid w:val="002E5D1A"/>
    <w:rsid w:val="002E5DE4"/>
    <w:rsid w:val="002E5DF0"/>
    <w:rsid w:val="002E5E86"/>
    <w:rsid w:val="002E6159"/>
    <w:rsid w:val="002E630B"/>
    <w:rsid w:val="002E6526"/>
    <w:rsid w:val="002E6B42"/>
    <w:rsid w:val="002E6B91"/>
    <w:rsid w:val="002E6E0E"/>
    <w:rsid w:val="002E700E"/>
    <w:rsid w:val="002E70A2"/>
    <w:rsid w:val="002E7148"/>
    <w:rsid w:val="002E72E2"/>
    <w:rsid w:val="002E75E4"/>
    <w:rsid w:val="002E76A2"/>
    <w:rsid w:val="002E7739"/>
    <w:rsid w:val="002E77BE"/>
    <w:rsid w:val="002E7986"/>
    <w:rsid w:val="002E7BE2"/>
    <w:rsid w:val="002E7DEF"/>
    <w:rsid w:val="002F0170"/>
    <w:rsid w:val="002F04D0"/>
    <w:rsid w:val="002F0729"/>
    <w:rsid w:val="002F0ACD"/>
    <w:rsid w:val="002F1092"/>
    <w:rsid w:val="002F1147"/>
    <w:rsid w:val="002F125B"/>
    <w:rsid w:val="002F15A9"/>
    <w:rsid w:val="002F18A7"/>
    <w:rsid w:val="002F1908"/>
    <w:rsid w:val="002F1996"/>
    <w:rsid w:val="002F1A05"/>
    <w:rsid w:val="002F1A9B"/>
    <w:rsid w:val="002F1C7F"/>
    <w:rsid w:val="002F1F31"/>
    <w:rsid w:val="002F2295"/>
    <w:rsid w:val="002F2425"/>
    <w:rsid w:val="002F242D"/>
    <w:rsid w:val="002F24A2"/>
    <w:rsid w:val="002F24C7"/>
    <w:rsid w:val="002F2610"/>
    <w:rsid w:val="002F278E"/>
    <w:rsid w:val="002F2953"/>
    <w:rsid w:val="002F2AA4"/>
    <w:rsid w:val="002F2C06"/>
    <w:rsid w:val="002F312C"/>
    <w:rsid w:val="002F35B8"/>
    <w:rsid w:val="002F37B3"/>
    <w:rsid w:val="002F3B57"/>
    <w:rsid w:val="002F3B5C"/>
    <w:rsid w:val="002F3B6B"/>
    <w:rsid w:val="002F3B77"/>
    <w:rsid w:val="002F3E34"/>
    <w:rsid w:val="002F3E86"/>
    <w:rsid w:val="002F4173"/>
    <w:rsid w:val="002F4637"/>
    <w:rsid w:val="002F467B"/>
    <w:rsid w:val="002F4A67"/>
    <w:rsid w:val="002F4DFE"/>
    <w:rsid w:val="002F4EC0"/>
    <w:rsid w:val="002F5075"/>
    <w:rsid w:val="002F53A5"/>
    <w:rsid w:val="002F53EB"/>
    <w:rsid w:val="002F5C74"/>
    <w:rsid w:val="002F5DC1"/>
    <w:rsid w:val="002F6111"/>
    <w:rsid w:val="002F617A"/>
    <w:rsid w:val="002F65E7"/>
    <w:rsid w:val="002F6687"/>
    <w:rsid w:val="002F6756"/>
    <w:rsid w:val="002F6762"/>
    <w:rsid w:val="002F701B"/>
    <w:rsid w:val="002F70C8"/>
    <w:rsid w:val="002F72C7"/>
    <w:rsid w:val="002F756A"/>
    <w:rsid w:val="002F7637"/>
    <w:rsid w:val="002F7667"/>
    <w:rsid w:val="002F7674"/>
    <w:rsid w:val="002F7872"/>
    <w:rsid w:val="002F799C"/>
    <w:rsid w:val="002F79A1"/>
    <w:rsid w:val="002F7B73"/>
    <w:rsid w:val="002F7B85"/>
    <w:rsid w:val="002F7BCC"/>
    <w:rsid w:val="002F7D78"/>
    <w:rsid w:val="002F7ECE"/>
    <w:rsid w:val="002F7FAB"/>
    <w:rsid w:val="003000AC"/>
    <w:rsid w:val="00300378"/>
    <w:rsid w:val="00300440"/>
    <w:rsid w:val="003005D3"/>
    <w:rsid w:val="00300924"/>
    <w:rsid w:val="00300B93"/>
    <w:rsid w:val="00300F3F"/>
    <w:rsid w:val="003019F5"/>
    <w:rsid w:val="00301F41"/>
    <w:rsid w:val="00301F5D"/>
    <w:rsid w:val="0030209C"/>
    <w:rsid w:val="00302190"/>
    <w:rsid w:val="0030220A"/>
    <w:rsid w:val="003024CB"/>
    <w:rsid w:val="003024DD"/>
    <w:rsid w:val="0030264E"/>
    <w:rsid w:val="003027E1"/>
    <w:rsid w:val="00302D25"/>
    <w:rsid w:val="00302D4D"/>
    <w:rsid w:val="003031BA"/>
    <w:rsid w:val="003031D9"/>
    <w:rsid w:val="003031DC"/>
    <w:rsid w:val="0030345C"/>
    <w:rsid w:val="003035C1"/>
    <w:rsid w:val="003036E1"/>
    <w:rsid w:val="0030385F"/>
    <w:rsid w:val="0030389A"/>
    <w:rsid w:val="003039D3"/>
    <w:rsid w:val="003039EE"/>
    <w:rsid w:val="00303CA3"/>
    <w:rsid w:val="00303E37"/>
    <w:rsid w:val="00303E66"/>
    <w:rsid w:val="00304192"/>
    <w:rsid w:val="003041BA"/>
    <w:rsid w:val="00304297"/>
    <w:rsid w:val="00304427"/>
    <w:rsid w:val="003047F3"/>
    <w:rsid w:val="00305090"/>
    <w:rsid w:val="00305138"/>
    <w:rsid w:val="00305286"/>
    <w:rsid w:val="003054FC"/>
    <w:rsid w:val="003055F7"/>
    <w:rsid w:val="0030593F"/>
    <w:rsid w:val="00305DD4"/>
    <w:rsid w:val="003061D7"/>
    <w:rsid w:val="003063C1"/>
    <w:rsid w:val="00306419"/>
    <w:rsid w:val="00306497"/>
    <w:rsid w:val="0030654A"/>
    <w:rsid w:val="003068F6"/>
    <w:rsid w:val="003069CF"/>
    <w:rsid w:val="00306B90"/>
    <w:rsid w:val="00306DBD"/>
    <w:rsid w:val="00306DCB"/>
    <w:rsid w:val="00306E30"/>
    <w:rsid w:val="00306E34"/>
    <w:rsid w:val="003072EF"/>
    <w:rsid w:val="0030755E"/>
    <w:rsid w:val="00307839"/>
    <w:rsid w:val="0030788D"/>
    <w:rsid w:val="00307AC2"/>
    <w:rsid w:val="00307CC1"/>
    <w:rsid w:val="003102B3"/>
    <w:rsid w:val="0031054D"/>
    <w:rsid w:val="0031065F"/>
    <w:rsid w:val="00310717"/>
    <w:rsid w:val="00310828"/>
    <w:rsid w:val="00310867"/>
    <w:rsid w:val="00310C65"/>
    <w:rsid w:val="003112A4"/>
    <w:rsid w:val="003112D3"/>
    <w:rsid w:val="003113A7"/>
    <w:rsid w:val="0031149C"/>
    <w:rsid w:val="003114A2"/>
    <w:rsid w:val="003114C2"/>
    <w:rsid w:val="00311572"/>
    <w:rsid w:val="00311A01"/>
    <w:rsid w:val="00311C4A"/>
    <w:rsid w:val="00311F5C"/>
    <w:rsid w:val="003122A7"/>
    <w:rsid w:val="003123E0"/>
    <w:rsid w:val="0031251D"/>
    <w:rsid w:val="00312636"/>
    <w:rsid w:val="003126F6"/>
    <w:rsid w:val="003129DA"/>
    <w:rsid w:val="00312DCC"/>
    <w:rsid w:val="00312DD0"/>
    <w:rsid w:val="00312F85"/>
    <w:rsid w:val="003130B6"/>
    <w:rsid w:val="00313217"/>
    <w:rsid w:val="003133E9"/>
    <w:rsid w:val="003133EF"/>
    <w:rsid w:val="0031359F"/>
    <w:rsid w:val="00313811"/>
    <w:rsid w:val="00313B4B"/>
    <w:rsid w:val="00313D5D"/>
    <w:rsid w:val="00313D66"/>
    <w:rsid w:val="00313DAA"/>
    <w:rsid w:val="00313E36"/>
    <w:rsid w:val="00313E56"/>
    <w:rsid w:val="00313F2F"/>
    <w:rsid w:val="00313FC4"/>
    <w:rsid w:val="00314296"/>
    <w:rsid w:val="00314CF1"/>
    <w:rsid w:val="00314D07"/>
    <w:rsid w:val="00314E09"/>
    <w:rsid w:val="00314FB0"/>
    <w:rsid w:val="00315085"/>
    <w:rsid w:val="00315173"/>
    <w:rsid w:val="0031522B"/>
    <w:rsid w:val="0031568E"/>
    <w:rsid w:val="00315897"/>
    <w:rsid w:val="00315A44"/>
    <w:rsid w:val="00315A5E"/>
    <w:rsid w:val="00315ACD"/>
    <w:rsid w:val="00315B8F"/>
    <w:rsid w:val="00315BE4"/>
    <w:rsid w:val="00315F14"/>
    <w:rsid w:val="003162F8"/>
    <w:rsid w:val="00316462"/>
    <w:rsid w:val="00316483"/>
    <w:rsid w:val="00316682"/>
    <w:rsid w:val="0031677C"/>
    <w:rsid w:val="00316879"/>
    <w:rsid w:val="00316956"/>
    <w:rsid w:val="00316981"/>
    <w:rsid w:val="00316AA4"/>
    <w:rsid w:val="00316FC9"/>
    <w:rsid w:val="003174A9"/>
    <w:rsid w:val="00317519"/>
    <w:rsid w:val="00317550"/>
    <w:rsid w:val="00317655"/>
    <w:rsid w:val="00317679"/>
    <w:rsid w:val="00317797"/>
    <w:rsid w:val="00317950"/>
    <w:rsid w:val="003179F1"/>
    <w:rsid w:val="00317B5F"/>
    <w:rsid w:val="00317D5F"/>
    <w:rsid w:val="00317F17"/>
    <w:rsid w:val="0032046F"/>
    <w:rsid w:val="00320481"/>
    <w:rsid w:val="00320761"/>
    <w:rsid w:val="003209FF"/>
    <w:rsid w:val="00320A21"/>
    <w:rsid w:val="00320A8B"/>
    <w:rsid w:val="00320BD4"/>
    <w:rsid w:val="00320C84"/>
    <w:rsid w:val="00320E69"/>
    <w:rsid w:val="00320EE6"/>
    <w:rsid w:val="0032107C"/>
    <w:rsid w:val="0032112A"/>
    <w:rsid w:val="0032125E"/>
    <w:rsid w:val="0032151B"/>
    <w:rsid w:val="0032156E"/>
    <w:rsid w:val="00321596"/>
    <w:rsid w:val="00321C15"/>
    <w:rsid w:val="00321FAE"/>
    <w:rsid w:val="003220D6"/>
    <w:rsid w:val="003221F8"/>
    <w:rsid w:val="00322313"/>
    <w:rsid w:val="0032243E"/>
    <w:rsid w:val="00322656"/>
    <w:rsid w:val="00322B73"/>
    <w:rsid w:val="00322E80"/>
    <w:rsid w:val="003230C0"/>
    <w:rsid w:val="003233AC"/>
    <w:rsid w:val="003238FD"/>
    <w:rsid w:val="003238FF"/>
    <w:rsid w:val="00323CB9"/>
    <w:rsid w:val="00323D10"/>
    <w:rsid w:val="00323E9A"/>
    <w:rsid w:val="0032463F"/>
    <w:rsid w:val="00324670"/>
    <w:rsid w:val="00324874"/>
    <w:rsid w:val="0032493F"/>
    <w:rsid w:val="00324A10"/>
    <w:rsid w:val="00324ACD"/>
    <w:rsid w:val="003253DE"/>
    <w:rsid w:val="00325597"/>
    <w:rsid w:val="00325A9F"/>
    <w:rsid w:val="00325CD8"/>
    <w:rsid w:val="00325DBD"/>
    <w:rsid w:val="00325E21"/>
    <w:rsid w:val="0032611B"/>
    <w:rsid w:val="00326552"/>
    <w:rsid w:val="0032680C"/>
    <w:rsid w:val="00326811"/>
    <w:rsid w:val="00326A2A"/>
    <w:rsid w:val="00326C58"/>
    <w:rsid w:val="00326D26"/>
    <w:rsid w:val="00326D7A"/>
    <w:rsid w:val="003272A5"/>
    <w:rsid w:val="00327666"/>
    <w:rsid w:val="00327B65"/>
    <w:rsid w:val="00327CD1"/>
    <w:rsid w:val="00327DC1"/>
    <w:rsid w:val="00327EBB"/>
    <w:rsid w:val="00327F0F"/>
    <w:rsid w:val="0033010C"/>
    <w:rsid w:val="003304A7"/>
    <w:rsid w:val="0033066F"/>
    <w:rsid w:val="00330932"/>
    <w:rsid w:val="00330A2E"/>
    <w:rsid w:val="00330A36"/>
    <w:rsid w:val="00330A83"/>
    <w:rsid w:val="00330C28"/>
    <w:rsid w:val="00330D7B"/>
    <w:rsid w:val="00330F36"/>
    <w:rsid w:val="003310A5"/>
    <w:rsid w:val="00331277"/>
    <w:rsid w:val="0033128C"/>
    <w:rsid w:val="003314A5"/>
    <w:rsid w:val="003314BF"/>
    <w:rsid w:val="00331500"/>
    <w:rsid w:val="0033154F"/>
    <w:rsid w:val="003315E7"/>
    <w:rsid w:val="003316C4"/>
    <w:rsid w:val="00331700"/>
    <w:rsid w:val="00331C48"/>
    <w:rsid w:val="00331C80"/>
    <w:rsid w:val="00331E7F"/>
    <w:rsid w:val="00331F2B"/>
    <w:rsid w:val="00331FB1"/>
    <w:rsid w:val="003320D9"/>
    <w:rsid w:val="00332148"/>
    <w:rsid w:val="003321E7"/>
    <w:rsid w:val="003324F2"/>
    <w:rsid w:val="0033257F"/>
    <w:rsid w:val="003328D6"/>
    <w:rsid w:val="00332D3F"/>
    <w:rsid w:val="00332DDF"/>
    <w:rsid w:val="003330D9"/>
    <w:rsid w:val="00333114"/>
    <w:rsid w:val="0033363B"/>
    <w:rsid w:val="00333671"/>
    <w:rsid w:val="00333812"/>
    <w:rsid w:val="0033397F"/>
    <w:rsid w:val="003339FF"/>
    <w:rsid w:val="00333DA4"/>
    <w:rsid w:val="0033409A"/>
    <w:rsid w:val="003340E1"/>
    <w:rsid w:val="0033433D"/>
    <w:rsid w:val="003348B3"/>
    <w:rsid w:val="00334DD5"/>
    <w:rsid w:val="00334EB4"/>
    <w:rsid w:val="0033507D"/>
    <w:rsid w:val="00335163"/>
    <w:rsid w:val="003351BA"/>
    <w:rsid w:val="0033525F"/>
    <w:rsid w:val="003358B6"/>
    <w:rsid w:val="00335AE6"/>
    <w:rsid w:val="00335BF7"/>
    <w:rsid w:val="00335C01"/>
    <w:rsid w:val="00335E9B"/>
    <w:rsid w:val="00335F34"/>
    <w:rsid w:val="00336028"/>
    <w:rsid w:val="00336461"/>
    <w:rsid w:val="003365D0"/>
    <w:rsid w:val="003366AD"/>
    <w:rsid w:val="003368E2"/>
    <w:rsid w:val="00336A23"/>
    <w:rsid w:val="00336A36"/>
    <w:rsid w:val="00336B49"/>
    <w:rsid w:val="00336D35"/>
    <w:rsid w:val="00336DEB"/>
    <w:rsid w:val="00336E44"/>
    <w:rsid w:val="00336F20"/>
    <w:rsid w:val="00337003"/>
    <w:rsid w:val="0033730B"/>
    <w:rsid w:val="003373D9"/>
    <w:rsid w:val="003374E1"/>
    <w:rsid w:val="003376A1"/>
    <w:rsid w:val="00337939"/>
    <w:rsid w:val="003379EC"/>
    <w:rsid w:val="00337E31"/>
    <w:rsid w:val="00337EDD"/>
    <w:rsid w:val="00337EDE"/>
    <w:rsid w:val="00340060"/>
    <w:rsid w:val="00340416"/>
    <w:rsid w:val="003404A8"/>
    <w:rsid w:val="00340552"/>
    <w:rsid w:val="00340626"/>
    <w:rsid w:val="003406FD"/>
    <w:rsid w:val="003409F2"/>
    <w:rsid w:val="00340A27"/>
    <w:rsid w:val="00340A37"/>
    <w:rsid w:val="00340E7A"/>
    <w:rsid w:val="00341172"/>
    <w:rsid w:val="003413C0"/>
    <w:rsid w:val="003417A0"/>
    <w:rsid w:val="003419C9"/>
    <w:rsid w:val="00341C6E"/>
    <w:rsid w:val="00341D1A"/>
    <w:rsid w:val="00342200"/>
    <w:rsid w:val="0034230B"/>
    <w:rsid w:val="0034230D"/>
    <w:rsid w:val="00342422"/>
    <w:rsid w:val="00342714"/>
    <w:rsid w:val="00342969"/>
    <w:rsid w:val="00342C86"/>
    <w:rsid w:val="00342CDA"/>
    <w:rsid w:val="00342D7E"/>
    <w:rsid w:val="003432A8"/>
    <w:rsid w:val="003432C2"/>
    <w:rsid w:val="003435AB"/>
    <w:rsid w:val="00343955"/>
    <w:rsid w:val="00343A77"/>
    <w:rsid w:val="00343BAD"/>
    <w:rsid w:val="00343CB4"/>
    <w:rsid w:val="00343E72"/>
    <w:rsid w:val="00343EA9"/>
    <w:rsid w:val="00343EF5"/>
    <w:rsid w:val="00343F70"/>
    <w:rsid w:val="0034404D"/>
    <w:rsid w:val="003441D3"/>
    <w:rsid w:val="003443AF"/>
    <w:rsid w:val="00344776"/>
    <w:rsid w:val="00344C6C"/>
    <w:rsid w:val="00344C9B"/>
    <w:rsid w:val="00344F1A"/>
    <w:rsid w:val="00345024"/>
    <w:rsid w:val="0034519B"/>
    <w:rsid w:val="00345373"/>
    <w:rsid w:val="0034554E"/>
    <w:rsid w:val="00345A56"/>
    <w:rsid w:val="00345B45"/>
    <w:rsid w:val="00345CA4"/>
    <w:rsid w:val="00345D48"/>
    <w:rsid w:val="00345F0B"/>
    <w:rsid w:val="003460DC"/>
    <w:rsid w:val="0034625F"/>
    <w:rsid w:val="003462B4"/>
    <w:rsid w:val="003463FB"/>
    <w:rsid w:val="00346B4A"/>
    <w:rsid w:val="00347122"/>
    <w:rsid w:val="00347676"/>
    <w:rsid w:val="00347821"/>
    <w:rsid w:val="00350119"/>
    <w:rsid w:val="00350441"/>
    <w:rsid w:val="00350543"/>
    <w:rsid w:val="003506CB"/>
    <w:rsid w:val="0035079E"/>
    <w:rsid w:val="0035083A"/>
    <w:rsid w:val="0035086B"/>
    <w:rsid w:val="00350B52"/>
    <w:rsid w:val="00351005"/>
    <w:rsid w:val="00351042"/>
    <w:rsid w:val="0035118B"/>
    <w:rsid w:val="003512D9"/>
    <w:rsid w:val="00351333"/>
    <w:rsid w:val="00351340"/>
    <w:rsid w:val="003514E1"/>
    <w:rsid w:val="003517CB"/>
    <w:rsid w:val="003518B9"/>
    <w:rsid w:val="003518D5"/>
    <w:rsid w:val="00351A27"/>
    <w:rsid w:val="00351B78"/>
    <w:rsid w:val="00351C35"/>
    <w:rsid w:val="00351E66"/>
    <w:rsid w:val="003521AA"/>
    <w:rsid w:val="0035237C"/>
    <w:rsid w:val="00352819"/>
    <w:rsid w:val="00352AD2"/>
    <w:rsid w:val="00353377"/>
    <w:rsid w:val="003534AB"/>
    <w:rsid w:val="0035357F"/>
    <w:rsid w:val="003535B6"/>
    <w:rsid w:val="00353708"/>
    <w:rsid w:val="00353798"/>
    <w:rsid w:val="00353879"/>
    <w:rsid w:val="00353BBC"/>
    <w:rsid w:val="00353CEB"/>
    <w:rsid w:val="0035418C"/>
    <w:rsid w:val="0035466F"/>
    <w:rsid w:val="003546C6"/>
    <w:rsid w:val="00354820"/>
    <w:rsid w:val="0035494A"/>
    <w:rsid w:val="00354A61"/>
    <w:rsid w:val="00354BF8"/>
    <w:rsid w:val="00354CC4"/>
    <w:rsid w:val="00354D98"/>
    <w:rsid w:val="00354F24"/>
    <w:rsid w:val="0035504F"/>
    <w:rsid w:val="003556AF"/>
    <w:rsid w:val="00355AF5"/>
    <w:rsid w:val="00355BE8"/>
    <w:rsid w:val="00355C27"/>
    <w:rsid w:val="00355D8F"/>
    <w:rsid w:val="00355ED3"/>
    <w:rsid w:val="00356066"/>
    <w:rsid w:val="0035608E"/>
    <w:rsid w:val="0035615B"/>
    <w:rsid w:val="00356265"/>
    <w:rsid w:val="003562E2"/>
    <w:rsid w:val="003567AA"/>
    <w:rsid w:val="0035689D"/>
    <w:rsid w:val="00356B89"/>
    <w:rsid w:val="00356C8B"/>
    <w:rsid w:val="0035736D"/>
    <w:rsid w:val="0035746B"/>
    <w:rsid w:val="00357902"/>
    <w:rsid w:val="003579FA"/>
    <w:rsid w:val="00357AFB"/>
    <w:rsid w:val="00357CCB"/>
    <w:rsid w:val="00357CF0"/>
    <w:rsid w:val="00357D6C"/>
    <w:rsid w:val="00357FA1"/>
    <w:rsid w:val="00360118"/>
    <w:rsid w:val="00360261"/>
    <w:rsid w:val="0036067C"/>
    <w:rsid w:val="003608E0"/>
    <w:rsid w:val="00360AD2"/>
    <w:rsid w:val="003614DB"/>
    <w:rsid w:val="0036172D"/>
    <w:rsid w:val="00361A43"/>
    <w:rsid w:val="00361D79"/>
    <w:rsid w:val="00362129"/>
    <w:rsid w:val="00362160"/>
    <w:rsid w:val="0036219E"/>
    <w:rsid w:val="003623A2"/>
    <w:rsid w:val="003623DB"/>
    <w:rsid w:val="00362625"/>
    <w:rsid w:val="00362655"/>
    <w:rsid w:val="003626D6"/>
    <w:rsid w:val="0036272F"/>
    <w:rsid w:val="003627DC"/>
    <w:rsid w:val="00362A2F"/>
    <w:rsid w:val="00362B97"/>
    <w:rsid w:val="00362BE4"/>
    <w:rsid w:val="00362C40"/>
    <w:rsid w:val="00362CAA"/>
    <w:rsid w:val="00362D87"/>
    <w:rsid w:val="00363030"/>
    <w:rsid w:val="0036306B"/>
    <w:rsid w:val="00363208"/>
    <w:rsid w:val="003633D1"/>
    <w:rsid w:val="003633FC"/>
    <w:rsid w:val="0036340E"/>
    <w:rsid w:val="00363B05"/>
    <w:rsid w:val="0036405D"/>
    <w:rsid w:val="0036407B"/>
    <w:rsid w:val="00364197"/>
    <w:rsid w:val="003642A9"/>
    <w:rsid w:val="0036430A"/>
    <w:rsid w:val="00364540"/>
    <w:rsid w:val="00364581"/>
    <w:rsid w:val="0036471E"/>
    <w:rsid w:val="00364A27"/>
    <w:rsid w:val="00364A5B"/>
    <w:rsid w:val="00364E5F"/>
    <w:rsid w:val="00364FC5"/>
    <w:rsid w:val="0036509B"/>
    <w:rsid w:val="00365177"/>
    <w:rsid w:val="003651EE"/>
    <w:rsid w:val="00365294"/>
    <w:rsid w:val="00365306"/>
    <w:rsid w:val="00365333"/>
    <w:rsid w:val="003655E9"/>
    <w:rsid w:val="00365993"/>
    <w:rsid w:val="00365A6A"/>
    <w:rsid w:val="00365F0F"/>
    <w:rsid w:val="00365F8D"/>
    <w:rsid w:val="00366028"/>
    <w:rsid w:val="003660C2"/>
    <w:rsid w:val="0036635B"/>
    <w:rsid w:val="0036640B"/>
    <w:rsid w:val="003664CC"/>
    <w:rsid w:val="0036655D"/>
    <w:rsid w:val="003668F7"/>
    <w:rsid w:val="00366CFC"/>
    <w:rsid w:val="00367076"/>
    <w:rsid w:val="003670E9"/>
    <w:rsid w:val="0036712E"/>
    <w:rsid w:val="0036714F"/>
    <w:rsid w:val="00367320"/>
    <w:rsid w:val="00367473"/>
    <w:rsid w:val="00367504"/>
    <w:rsid w:val="003676F5"/>
    <w:rsid w:val="0036778F"/>
    <w:rsid w:val="003677C6"/>
    <w:rsid w:val="00367838"/>
    <w:rsid w:val="00367924"/>
    <w:rsid w:val="00367A65"/>
    <w:rsid w:val="00367C4B"/>
    <w:rsid w:val="00367C57"/>
    <w:rsid w:val="00367E65"/>
    <w:rsid w:val="00367EFF"/>
    <w:rsid w:val="00370103"/>
    <w:rsid w:val="0037035F"/>
    <w:rsid w:val="00370426"/>
    <w:rsid w:val="0037053C"/>
    <w:rsid w:val="003707EA"/>
    <w:rsid w:val="003707F1"/>
    <w:rsid w:val="00370E50"/>
    <w:rsid w:val="00370EEE"/>
    <w:rsid w:val="00370F49"/>
    <w:rsid w:val="00370FD3"/>
    <w:rsid w:val="00371305"/>
    <w:rsid w:val="00371627"/>
    <w:rsid w:val="0037168F"/>
    <w:rsid w:val="003716BD"/>
    <w:rsid w:val="00371D28"/>
    <w:rsid w:val="00372001"/>
    <w:rsid w:val="003720BB"/>
    <w:rsid w:val="00372227"/>
    <w:rsid w:val="00372252"/>
    <w:rsid w:val="003724CE"/>
    <w:rsid w:val="0037287C"/>
    <w:rsid w:val="003728E8"/>
    <w:rsid w:val="00372A79"/>
    <w:rsid w:val="00372C32"/>
    <w:rsid w:val="00372D70"/>
    <w:rsid w:val="00372E4E"/>
    <w:rsid w:val="0037309E"/>
    <w:rsid w:val="003730E5"/>
    <w:rsid w:val="00373183"/>
    <w:rsid w:val="00373674"/>
    <w:rsid w:val="003737CC"/>
    <w:rsid w:val="003738C1"/>
    <w:rsid w:val="003739CC"/>
    <w:rsid w:val="00373A54"/>
    <w:rsid w:val="00373D50"/>
    <w:rsid w:val="00373F17"/>
    <w:rsid w:val="0037407F"/>
    <w:rsid w:val="003745B5"/>
    <w:rsid w:val="003748EB"/>
    <w:rsid w:val="00374995"/>
    <w:rsid w:val="00374A89"/>
    <w:rsid w:val="00374B48"/>
    <w:rsid w:val="00374B5F"/>
    <w:rsid w:val="00374DED"/>
    <w:rsid w:val="0037529C"/>
    <w:rsid w:val="0037542C"/>
    <w:rsid w:val="00375675"/>
    <w:rsid w:val="0037587D"/>
    <w:rsid w:val="0037596A"/>
    <w:rsid w:val="003759E1"/>
    <w:rsid w:val="00375AED"/>
    <w:rsid w:val="00375CBA"/>
    <w:rsid w:val="00375EA8"/>
    <w:rsid w:val="00375EC2"/>
    <w:rsid w:val="00375F50"/>
    <w:rsid w:val="00376013"/>
    <w:rsid w:val="00376153"/>
    <w:rsid w:val="003761AC"/>
    <w:rsid w:val="00376441"/>
    <w:rsid w:val="00376509"/>
    <w:rsid w:val="0037654F"/>
    <w:rsid w:val="003766E7"/>
    <w:rsid w:val="003766F7"/>
    <w:rsid w:val="0037672D"/>
    <w:rsid w:val="00377070"/>
    <w:rsid w:val="0037721D"/>
    <w:rsid w:val="0037726E"/>
    <w:rsid w:val="003772DA"/>
    <w:rsid w:val="00377340"/>
    <w:rsid w:val="00377620"/>
    <w:rsid w:val="00377835"/>
    <w:rsid w:val="00377943"/>
    <w:rsid w:val="003779A9"/>
    <w:rsid w:val="00377A1F"/>
    <w:rsid w:val="00377DBF"/>
    <w:rsid w:val="00377EB2"/>
    <w:rsid w:val="00378B8E"/>
    <w:rsid w:val="0038003C"/>
    <w:rsid w:val="00380403"/>
    <w:rsid w:val="0038044B"/>
    <w:rsid w:val="00380773"/>
    <w:rsid w:val="003808B6"/>
    <w:rsid w:val="003809BE"/>
    <w:rsid w:val="003809CA"/>
    <w:rsid w:val="00380AB3"/>
    <w:rsid w:val="00380B23"/>
    <w:rsid w:val="00380E16"/>
    <w:rsid w:val="00380F31"/>
    <w:rsid w:val="0038107C"/>
    <w:rsid w:val="00381445"/>
    <w:rsid w:val="00381474"/>
    <w:rsid w:val="00381511"/>
    <w:rsid w:val="00381635"/>
    <w:rsid w:val="00381788"/>
    <w:rsid w:val="003818DC"/>
    <w:rsid w:val="00381A25"/>
    <w:rsid w:val="00381B85"/>
    <w:rsid w:val="00381C94"/>
    <w:rsid w:val="00381ECF"/>
    <w:rsid w:val="00382166"/>
    <w:rsid w:val="0038217B"/>
    <w:rsid w:val="00382520"/>
    <w:rsid w:val="0038272F"/>
    <w:rsid w:val="003827C7"/>
    <w:rsid w:val="0038282F"/>
    <w:rsid w:val="00382A3B"/>
    <w:rsid w:val="00382AB9"/>
    <w:rsid w:val="00382C30"/>
    <w:rsid w:val="00382D64"/>
    <w:rsid w:val="00382FFC"/>
    <w:rsid w:val="003830B6"/>
    <w:rsid w:val="00383365"/>
    <w:rsid w:val="00383777"/>
    <w:rsid w:val="00383958"/>
    <w:rsid w:val="00383D4F"/>
    <w:rsid w:val="003845BE"/>
    <w:rsid w:val="0038486C"/>
    <w:rsid w:val="00384B20"/>
    <w:rsid w:val="00385021"/>
    <w:rsid w:val="00385174"/>
    <w:rsid w:val="00385363"/>
    <w:rsid w:val="00385494"/>
    <w:rsid w:val="003856BA"/>
    <w:rsid w:val="003856CC"/>
    <w:rsid w:val="00385AA1"/>
    <w:rsid w:val="00385B14"/>
    <w:rsid w:val="00385CEC"/>
    <w:rsid w:val="00385D50"/>
    <w:rsid w:val="003860A8"/>
    <w:rsid w:val="003860E9"/>
    <w:rsid w:val="00386189"/>
    <w:rsid w:val="0038648F"/>
    <w:rsid w:val="003867BB"/>
    <w:rsid w:val="00386815"/>
    <w:rsid w:val="0038689C"/>
    <w:rsid w:val="00386979"/>
    <w:rsid w:val="00386A84"/>
    <w:rsid w:val="00386EA1"/>
    <w:rsid w:val="00386EE4"/>
    <w:rsid w:val="00387383"/>
    <w:rsid w:val="003876D8"/>
    <w:rsid w:val="0038771C"/>
    <w:rsid w:val="003879DC"/>
    <w:rsid w:val="00387A4F"/>
    <w:rsid w:val="00387AAA"/>
    <w:rsid w:val="00387D3F"/>
    <w:rsid w:val="00387DA8"/>
    <w:rsid w:val="00387E21"/>
    <w:rsid w:val="00387E48"/>
    <w:rsid w:val="00390080"/>
    <w:rsid w:val="0039009D"/>
    <w:rsid w:val="003902ED"/>
    <w:rsid w:val="003903A9"/>
    <w:rsid w:val="00390737"/>
    <w:rsid w:val="0039082F"/>
    <w:rsid w:val="00390AD8"/>
    <w:rsid w:val="00390F4C"/>
    <w:rsid w:val="003910AF"/>
    <w:rsid w:val="003911A3"/>
    <w:rsid w:val="0039129D"/>
    <w:rsid w:val="00391361"/>
    <w:rsid w:val="0039147D"/>
    <w:rsid w:val="00391555"/>
    <w:rsid w:val="0039164C"/>
    <w:rsid w:val="003918E3"/>
    <w:rsid w:val="00391A4C"/>
    <w:rsid w:val="00391D9F"/>
    <w:rsid w:val="00391F1D"/>
    <w:rsid w:val="00391F53"/>
    <w:rsid w:val="00391F91"/>
    <w:rsid w:val="00392014"/>
    <w:rsid w:val="0039205C"/>
    <w:rsid w:val="003925A4"/>
    <w:rsid w:val="003927CB"/>
    <w:rsid w:val="003927F9"/>
    <w:rsid w:val="0039281D"/>
    <w:rsid w:val="003929EA"/>
    <w:rsid w:val="00392A48"/>
    <w:rsid w:val="00392DC2"/>
    <w:rsid w:val="00392E28"/>
    <w:rsid w:val="00393194"/>
    <w:rsid w:val="003933BF"/>
    <w:rsid w:val="003934AD"/>
    <w:rsid w:val="003935C7"/>
    <w:rsid w:val="00393668"/>
    <w:rsid w:val="003936E0"/>
    <w:rsid w:val="003937F3"/>
    <w:rsid w:val="00393804"/>
    <w:rsid w:val="0039393F"/>
    <w:rsid w:val="003939FE"/>
    <w:rsid w:val="00393ED9"/>
    <w:rsid w:val="00394152"/>
    <w:rsid w:val="0039423C"/>
    <w:rsid w:val="00394503"/>
    <w:rsid w:val="003945BA"/>
    <w:rsid w:val="003946F7"/>
    <w:rsid w:val="00394739"/>
    <w:rsid w:val="00394B26"/>
    <w:rsid w:val="00394F43"/>
    <w:rsid w:val="00394FB8"/>
    <w:rsid w:val="00395075"/>
    <w:rsid w:val="003954F1"/>
    <w:rsid w:val="0039558F"/>
    <w:rsid w:val="003955B5"/>
    <w:rsid w:val="0039565E"/>
    <w:rsid w:val="00395776"/>
    <w:rsid w:val="0039578C"/>
    <w:rsid w:val="00395792"/>
    <w:rsid w:val="0039591C"/>
    <w:rsid w:val="00395AD6"/>
    <w:rsid w:val="00395B17"/>
    <w:rsid w:val="00395B51"/>
    <w:rsid w:val="00395D04"/>
    <w:rsid w:val="00395D91"/>
    <w:rsid w:val="00395ED0"/>
    <w:rsid w:val="00396320"/>
    <w:rsid w:val="00396322"/>
    <w:rsid w:val="003965B2"/>
    <w:rsid w:val="00396AAA"/>
    <w:rsid w:val="00396C0F"/>
    <w:rsid w:val="00396C58"/>
    <w:rsid w:val="00396EEF"/>
    <w:rsid w:val="003971A6"/>
    <w:rsid w:val="003973D6"/>
    <w:rsid w:val="00397403"/>
    <w:rsid w:val="003974A5"/>
    <w:rsid w:val="0039774C"/>
    <w:rsid w:val="0039792A"/>
    <w:rsid w:val="00397990"/>
    <w:rsid w:val="00397B14"/>
    <w:rsid w:val="00397E0F"/>
    <w:rsid w:val="003A0181"/>
    <w:rsid w:val="003A0201"/>
    <w:rsid w:val="003A0698"/>
    <w:rsid w:val="003A07DE"/>
    <w:rsid w:val="003A0863"/>
    <w:rsid w:val="003A08C5"/>
    <w:rsid w:val="003A0C70"/>
    <w:rsid w:val="003A0CA1"/>
    <w:rsid w:val="003A0E47"/>
    <w:rsid w:val="003A103A"/>
    <w:rsid w:val="003A106A"/>
    <w:rsid w:val="003A10DD"/>
    <w:rsid w:val="003A1353"/>
    <w:rsid w:val="003A1560"/>
    <w:rsid w:val="003A18E9"/>
    <w:rsid w:val="003A1B1F"/>
    <w:rsid w:val="003A1B33"/>
    <w:rsid w:val="003A1D81"/>
    <w:rsid w:val="003A1E03"/>
    <w:rsid w:val="003A1E28"/>
    <w:rsid w:val="003A1F84"/>
    <w:rsid w:val="003A204F"/>
    <w:rsid w:val="003A21FF"/>
    <w:rsid w:val="003A2237"/>
    <w:rsid w:val="003A22DE"/>
    <w:rsid w:val="003A24F9"/>
    <w:rsid w:val="003A25F9"/>
    <w:rsid w:val="003A265D"/>
    <w:rsid w:val="003A26A3"/>
    <w:rsid w:val="003A28FE"/>
    <w:rsid w:val="003A29F8"/>
    <w:rsid w:val="003A29FB"/>
    <w:rsid w:val="003A2B6E"/>
    <w:rsid w:val="003A2C58"/>
    <w:rsid w:val="003A32B8"/>
    <w:rsid w:val="003A332D"/>
    <w:rsid w:val="003A380D"/>
    <w:rsid w:val="003A39F3"/>
    <w:rsid w:val="003A3C47"/>
    <w:rsid w:val="003A3CD2"/>
    <w:rsid w:val="003A3CDA"/>
    <w:rsid w:val="003A3D93"/>
    <w:rsid w:val="003A3EE7"/>
    <w:rsid w:val="003A3F92"/>
    <w:rsid w:val="003A403F"/>
    <w:rsid w:val="003A430B"/>
    <w:rsid w:val="003A4315"/>
    <w:rsid w:val="003A4517"/>
    <w:rsid w:val="003A458F"/>
    <w:rsid w:val="003A45C0"/>
    <w:rsid w:val="003A4678"/>
    <w:rsid w:val="003A487D"/>
    <w:rsid w:val="003A4D98"/>
    <w:rsid w:val="003A4DB9"/>
    <w:rsid w:val="003A4DE3"/>
    <w:rsid w:val="003A4FFA"/>
    <w:rsid w:val="003A541A"/>
    <w:rsid w:val="003A55E6"/>
    <w:rsid w:val="003A5655"/>
    <w:rsid w:val="003A5910"/>
    <w:rsid w:val="003A598A"/>
    <w:rsid w:val="003A5AFA"/>
    <w:rsid w:val="003A5D90"/>
    <w:rsid w:val="003A5E41"/>
    <w:rsid w:val="003A5E8F"/>
    <w:rsid w:val="003A5FEF"/>
    <w:rsid w:val="003A615C"/>
    <w:rsid w:val="003A66A2"/>
    <w:rsid w:val="003A6830"/>
    <w:rsid w:val="003A688B"/>
    <w:rsid w:val="003A6923"/>
    <w:rsid w:val="003A6B16"/>
    <w:rsid w:val="003A6E18"/>
    <w:rsid w:val="003A6E94"/>
    <w:rsid w:val="003A716A"/>
    <w:rsid w:val="003A71D1"/>
    <w:rsid w:val="003A73BF"/>
    <w:rsid w:val="003A7729"/>
    <w:rsid w:val="003A7AA6"/>
    <w:rsid w:val="003AD7D7"/>
    <w:rsid w:val="003B00A3"/>
    <w:rsid w:val="003B00E1"/>
    <w:rsid w:val="003B0203"/>
    <w:rsid w:val="003B042B"/>
    <w:rsid w:val="003B049D"/>
    <w:rsid w:val="003B08AC"/>
    <w:rsid w:val="003B0A1C"/>
    <w:rsid w:val="003B0B60"/>
    <w:rsid w:val="003B0DCE"/>
    <w:rsid w:val="003B0EDA"/>
    <w:rsid w:val="003B0FD0"/>
    <w:rsid w:val="003B1131"/>
    <w:rsid w:val="003B1148"/>
    <w:rsid w:val="003B1408"/>
    <w:rsid w:val="003B167C"/>
    <w:rsid w:val="003B182E"/>
    <w:rsid w:val="003B1A33"/>
    <w:rsid w:val="003B22AA"/>
    <w:rsid w:val="003B2342"/>
    <w:rsid w:val="003B23C3"/>
    <w:rsid w:val="003B2472"/>
    <w:rsid w:val="003B24A3"/>
    <w:rsid w:val="003B2C51"/>
    <w:rsid w:val="003B2DA0"/>
    <w:rsid w:val="003B3087"/>
    <w:rsid w:val="003B3563"/>
    <w:rsid w:val="003B37E4"/>
    <w:rsid w:val="003B3970"/>
    <w:rsid w:val="003B3B5B"/>
    <w:rsid w:val="003B4013"/>
    <w:rsid w:val="003B42F7"/>
    <w:rsid w:val="003B447F"/>
    <w:rsid w:val="003B4491"/>
    <w:rsid w:val="003B44E4"/>
    <w:rsid w:val="003B44F7"/>
    <w:rsid w:val="003B44FB"/>
    <w:rsid w:val="003B45E0"/>
    <w:rsid w:val="003B4A0B"/>
    <w:rsid w:val="003B4DF5"/>
    <w:rsid w:val="003B4F5B"/>
    <w:rsid w:val="003B4F72"/>
    <w:rsid w:val="003B5094"/>
    <w:rsid w:val="003B5155"/>
    <w:rsid w:val="003B5503"/>
    <w:rsid w:val="003B5515"/>
    <w:rsid w:val="003B5867"/>
    <w:rsid w:val="003B5883"/>
    <w:rsid w:val="003B601C"/>
    <w:rsid w:val="003B6100"/>
    <w:rsid w:val="003B62FF"/>
    <w:rsid w:val="003B664F"/>
    <w:rsid w:val="003B6662"/>
    <w:rsid w:val="003B66DC"/>
    <w:rsid w:val="003B6763"/>
    <w:rsid w:val="003B696D"/>
    <w:rsid w:val="003B6AC4"/>
    <w:rsid w:val="003B6AED"/>
    <w:rsid w:val="003B6C2D"/>
    <w:rsid w:val="003B6C51"/>
    <w:rsid w:val="003B6CB5"/>
    <w:rsid w:val="003B702C"/>
    <w:rsid w:val="003B7084"/>
    <w:rsid w:val="003B71A7"/>
    <w:rsid w:val="003B71BF"/>
    <w:rsid w:val="003B7206"/>
    <w:rsid w:val="003B720E"/>
    <w:rsid w:val="003B7311"/>
    <w:rsid w:val="003B7360"/>
    <w:rsid w:val="003B76F1"/>
    <w:rsid w:val="003B7A85"/>
    <w:rsid w:val="003B7FB1"/>
    <w:rsid w:val="003C0077"/>
    <w:rsid w:val="003C00BD"/>
    <w:rsid w:val="003C02B8"/>
    <w:rsid w:val="003C031B"/>
    <w:rsid w:val="003C0471"/>
    <w:rsid w:val="003C05DA"/>
    <w:rsid w:val="003C0EAB"/>
    <w:rsid w:val="003C0EF3"/>
    <w:rsid w:val="003C102A"/>
    <w:rsid w:val="003C103F"/>
    <w:rsid w:val="003C10B9"/>
    <w:rsid w:val="003C115F"/>
    <w:rsid w:val="003C11D7"/>
    <w:rsid w:val="003C12B6"/>
    <w:rsid w:val="003C144E"/>
    <w:rsid w:val="003C16B6"/>
    <w:rsid w:val="003C17A2"/>
    <w:rsid w:val="003C1988"/>
    <w:rsid w:val="003C19AE"/>
    <w:rsid w:val="003C1A02"/>
    <w:rsid w:val="003C1C01"/>
    <w:rsid w:val="003C1ECE"/>
    <w:rsid w:val="003C2223"/>
    <w:rsid w:val="003C2453"/>
    <w:rsid w:val="003C2687"/>
    <w:rsid w:val="003C269F"/>
    <w:rsid w:val="003C2BB7"/>
    <w:rsid w:val="003C2BE1"/>
    <w:rsid w:val="003C2C67"/>
    <w:rsid w:val="003C2D4C"/>
    <w:rsid w:val="003C3174"/>
    <w:rsid w:val="003C3251"/>
    <w:rsid w:val="003C332C"/>
    <w:rsid w:val="003C34B0"/>
    <w:rsid w:val="003C3960"/>
    <w:rsid w:val="003C39E9"/>
    <w:rsid w:val="003C39FC"/>
    <w:rsid w:val="003C3B3A"/>
    <w:rsid w:val="003C3BC2"/>
    <w:rsid w:val="003C3D34"/>
    <w:rsid w:val="003C3F43"/>
    <w:rsid w:val="003C3FA2"/>
    <w:rsid w:val="003C421F"/>
    <w:rsid w:val="003C4A18"/>
    <w:rsid w:val="003C4D44"/>
    <w:rsid w:val="003C4E1A"/>
    <w:rsid w:val="003C4F82"/>
    <w:rsid w:val="003C4F97"/>
    <w:rsid w:val="003C537D"/>
    <w:rsid w:val="003C5516"/>
    <w:rsid w:val="003C5604"/>
    <w:rsid w:val="003C59E5"/>
    <w:rsid w:val="003C5A49"/>
    <w:rsid w:val="003C5AB1"/>
    <w:rsid w:val="003C5BA4"/>
    <w:rsid w:val="003C5E41"/>
    <w:rsid w:val="003C619A"/>
    <w:rsid w:val="003C61DC"/>
    <w:rsid w:val="003C6271"/>
    <w:rsid w:val="003C63C8"/>
    <w:rsid w:val="003C63EF"/>
    <w:rsid w:val="003C64D5"/>
    <w:rsid w:val="003C64F2"/>
    <w:rsid w:val="003C655D"/>
    <w:rsid w:val="003C6609"/>
    <w:rsid w:val="003C6646"/>
    <w:rsid w:val="003C66CC"/>
    <w:rsid w:val="003C6877"/>
    <w:rsid w:val="003C6994"/>
    <w:rsid w:val="003C6B6C"/>
    <w:rsid w:val="003C6EE6"/>
    <w:rsid w:val="003C734F"/>
    <w:rsid w:val="003C7491"/>
    <w:rsid w:val="003C74CD"/>
    <w:rsid w:val="003C7768"/>
    <w:rsid w:val="003C77C9"/>
    <w:rsid w:val="003C7A1B"/>
    <w:rsid w:val="003C7B81"/>
    <w:rsid w:val="003C7E4A"/>
    <w:rsid w:val="003D009C"/>
    <w:rsid w:val="003D012D"/>
    <w:rsid w:val="003D02BA"/>
    <w:rsid w:val="003D05C7"/>
    <w:rsid w:val="003D0BD0"/>
    <w:rsid w:val="003D0EC8"/>
    <w:rsid w:val="003D0F6E"/>
    <w:rsid w:val="003D0F6F"/>
    <w:rsid w:val="003D121F"/>
    <w:rsid w:val="003D1357"/>
    <w:rsid w:val="003D16BF"/>
    <w:rsid w:val="003D17F9"/>
    <w:rsid w:val="003D19DF"/>
    <w:rsid w:val="003D1BD4"/>
    <w:rsid w:val="003D1C5D"/>
    <w:rsid w:val="003D2249"/>
    <w:rsid w:val="003D2471"/>
    <w:rsid w:val="003D25C6"/>
    <w:rsid w:val="003D27D0"/>
    <w:rsid w:val="003D2829"/>
    <w:rsid w:val="003D2A6A"/>
    <w:rsid w:val="003D2C3F"/>
    <w:rsid w:val="003D2D58"/>
    <w:rsid w:val="003D2F70"/>
    <w:rsid w:val="003D322D"/>
    <w:rsid w:val="003D32D5"/>
    <w:rsid w:val="003D3919"/>
    <w:rsid w:val="003D3BC0"/>
    <w:rsid w:val="003D3D04"/>
    <w:rsid w:val="003D3EA4"/>
    <w:rsid w:val="003D3FA2"/>
    <w:rsid w:val="003D3FE3"/>
    <w:rsid w:val="003D4001"/>
    <w:rsid w:val="003D40C5"/>
    <w:rsid w:val="003D4179"/>
    <w:rsid w:val="003D42E1"/>
    <w:rsid w:val="003D431C"/>
    <w:rsid w:val="003D4337"/>
    <w:rsid w:val="003D44A4"/>
    <w:rsid w:val="003D45FB"/>
    <w:rsid w:val="003D4738"/>
    <w:rsid w:val="003D4784"/>
    <w:rsid w:val="003D48AC"/>
    <w:rsid w:val="003D48B8"/>
    <w:rsid w:val="003D4904"/>
    <w:rsid w:val="003D4918"/>
    <w:rsid w:val="003D4DF2"/>
    <w:rsid w:val="003D55CB"/>
    <w:rsid w:val="003D57AA"/>
    <w:rsid w:val="003D59E8"/>
    <w:rsid w:val="003D5CDF"/>
    <w:rsid w:val="003D6004"/>
    <w:rsid w:val="003D600B"/>
    <w:rsid w:val="003D63BB"/>
    <w:rsid w:val="003D64BA"/>
    <w:rsid w:val="003D66F9"/>
    <w:rsid w:val="003D6AC1"/>
    <w:rsid w:val="003D71CE"/>
    <w:rsid w:val="003D7273"/>
    <w:rsid w:val="003D7315"/>
    <w:rsid w:val="003D7467"/>
    <w:rsid w:val="003D7645"/>
    <w:rsid w:val="003D76A5"/>
    <w:rsid w:val="003D76E5"/>
    <w:rsid w:val="003D7948"/>
    <w:rsid w:val="003D7DD2"/>
    <w:rsid w:val="003D7F94"/>
    <w:rsid w:val="003E001D"/>
    <w:rsid w:val="003E022D"/>
    <w:rsid w:val="003E02BA"/>
    <w:rsid w:val="003E03CD"/>
    <w:rsid w:val="003E04C0"/>
    <w:rsid w:val="003E0C6F"/>
    <w:rsid w:val="003E0E76"/>
    <w:rsid w:val="003E12BD"/>
    <w:rsid w:val="003E12F4"/>
    <w:rsid w:val="003E1334"/>
    <w:rsid w:val="003E1511"/>
    <w:rsid w:val="003E18D9"/>
    <w:rsid w:val="003E1A98"/>
    <w:rsid w:val="003E1B4B"/>
    <w:rsid w:val="003E1BB5"/>
    <w:rsid w:val="003E1F62"/>
    <w:rsid w:val="003E1F73"/>
    <w:rsid w:val="003E20F9"/>
    <w:rsid w:val="003E2146"/>
    <w:rsid w:val="003E237F"/>
    <w:rsid w:val="003E23C8"/>
    <w:rsid w:val="003E24A4"/>
    <w:rsid w:val="003E25F8"/>
    <w:rsid w:val="003E2620"/>
    <w:rsid w:val="003E27B4"/>
    <w:rsid w:val="003E2A50"/>
    <w:rsid w:val="003E2D8F"/>
    <w:rsid w:val="003E2DF3"/>
    <w:rsid w:val="003E2E3C"/>
    <w:rsid w:val="003E2E91"/>
    <w:rsid w:val="003E3088"/>
    <w:rsid w:val="003E30A8"/>
    <w:rsid w:val="003E30C6"/>
    <w:rsid w:val="003E3224"/>
    <w:rsid w:val="003E3A02"/>
    <w:rsid w:val="003E3B5D"/>
    <w:rsid w:val="003E3E26"/>
    <w:rsid w:val="003E3F58"/>
    <w:rsid w:val="003E4115"/>
    <w:rsid w:val="003E4132"/>
    <w:rsid w:val="003E41F9"/>
    <w:rsid w:val="003E434E"/>
    <w:rsid w:val="003E440F"/>
    <w:rsid w:val="003E4447"/>
    <w:rsid w:val="003E45F7"/>
    <w:rsid w:val="003E4900"/>
    <w:rsid w:val="003E4996"/>
    <w:rsid w:val="003E4B60"/>
    <w:rsid w:val="003E4B6F"/>
    <w:rsid w:val="003E4C6A"/>
    <w:rsid w:val="003E4E99"/>
    <w:rsid w:val="003E5047"/>
    <w:rsid w:val="003E53C9"/>
    <w:rsid w:val="003E547D"/>
    <w:rsid w:val="003E550E"/>
    <w:rsid w:val="003E553A"/>
    <w:rsid w:val="003E55A4"/>
    <w:rsid w:val="003E58AF"/>
    <w:rsid w:val="003E5ABA"/>
    <w:rsid w:val="003E5D08"/>
    <w:rsid w:val="003E5F25"/>
    <w:rsid w:val="003E5F32"/>
    <w:rsid w:val="003E60DF"/>
    <w:rsid w:val="003E6516"/>
    <w:rsid w:val="003E678E"/>
    <w:rsid w:val="003E68C6"/>
    <w:rsid w:val="003E6A33"/>
    <w:rsid w:val="003E6AE8"/>
    <w:rsid w:val="003E6B7D"/>
    <w:rsid w:val="003E6CEC"/>
    <w:rsid w:val="003E6D78"/>
    <w:rsid w:val="003E6EC3"/>
    <w:rsid w:val="003E6F22"/>
    <w:rsid w:val="003E723B"/>
    <w:rsid w:val="003E7476"/>
    <w:rsid w:val="003E781A"/>
    <w:rsid w:val="003E78B0"/>
    <w:rsid w:val="003E79B4"/>
    <w:rsid w:val="003E7B4C"/>
    <w:rsid w:val="003E7E8D"/>
    <w:rsid w:val="003E7EDB"/>
    <w:rsid w:val="003F0433"/>
    <w:rsid w:val="003F0481"/>
    <w:rsid w:val="003F04F3"/>
    <w:rsid w:val="003F0545"/>
    <w:rsid w:val="003F07CF"/>
    <w:rsid w:val="003F09B6"/>
    <w:rsid w:val="003F0A19"/>
    <w:rsid w:val="003F0BA3"/>
    <w:rsid w:val="003F0DDE"/>
    <w:rsid w:val="003F0EFE"/>
    <w:rsid w:val="003F1113"/>
    <w:rsid w:val="003F1295"/>
    <w:rsid w:val="003F1658"/>
    <w:rsid w:val="003F1924"/>
    <w:rsid w:val="003F1939"/>
    <w:rsid w:val="003F1A61"/>
    <w:rsid w:val="003F1BCC"/>
    <w:rsid w:val="003F1BFA"/>
    <w:rsid w:val="003F1C7A"/>
    <w:rsid w:val="003F1DBD"/>
    <w:rsid w:val="003F1E92"/>
    <w:rsid w:val="003F1F09"/>
    <w:rsid w:val="003F1F0B"/>
    <w:rsid w:val="003F1F8D"/>
    <w:rsid w:val="003F2413"/>
    <w:rsid w:val="003F268C"/>
    <w:rsid w:val="003F2A82"/>
    <w:rsid w:val="003F2B2C"/>
    <w:rsid w:val="003F2C34"/>
    <w:rsid w:val="003F2C6B"/>
    <w:rsid w:val="003F3020"/>
    <w:rsid w:val="003F32C8"/>
    <w:rsid w:val="003F3351"/>
    <w:rsid w:val="003F3581"/>
    <w:rsid w:val="003F36A4"/>
    <w:rsid w:val="003F3902"/>
    <w:rsid w:val="003F3D93"/>
    <w:rsid w:val="003F3F1D"/>
    <w:rsid w:val="003F41C5"/>
    <w:rsid w:val="003F42F6"/>
    <w:rsid w:val="003F44A8"/>
    <w:rsid w:val="003F4B80"/>
    <w:rsid w:val="003F4CFF"/>
    <w:rsid w:val="003F4D05"/>
    <w:rsid w:val="003F5102"/>
    <w:rsid w:val="003F515F"/>
    <w:rsid w:val="003F5749"/>
    <w:rsid w:val="003F5C12"/>
    <w:rsid w:val="003F5D5B"/>
    <w:rsid w:val="003F5E7B"/>
    <w:rsid w:val="003F5F7F"/>
    <w:rsid w:val="003F65D9"/>
    <w:rsid w:val="003F6804"/>
    <w:rsid w:val="003F6945"/>
    <w:rsid w:val="003F6947"/>
    <w:rsid w:val="003F69E2"/>
    <w:rsid w:val="003F6CE7"/>
    <w:rsid w:val="003F6CE9"/>
    <w:rsid w:val="003F6FAE"/>
    <w:rsid w:val="003F7107"/>
    <w:rsid w:val="003F7289"/>
    <w:rsid w:val="003F7381"/>
    <w:rsid w:val="003F76FC"/>
    <w:rsid w:val="003F7AFE"/>
    <w:rsid w:val="003F7BF7"/>
    <w:rsid w:val="003F7F07"/>
    <w:rsid w:val="003F7F3C"/>
    <w:rsid w:val="003F7FF8"/>
    <w:rsid w:val="00400092"/>
    <w:rsid w:val="004000E7"/>
    <w:rsid w:val="00400159"/>
    <w:rsid w:val="004002EB"/>
    <w:rsid w:val="0040069E"/>
    <w:rsid w:val="00400876"/>
    <w:rsid w:val="00400939"/>
    <w:rsid w:val="00400972"/>
    <w:rsid w:val="00400ED9"/>
    <w:rsid w:val="00400FA2"/>
    <w:rsid w:val="00401287"/>
    <w:rsid w:val="00401415"/>
    <w:rsid w:val="004014D0"/>
    <w:rsid w:val="004015C7"/>
    <w:rsid w:val="00401661"/>
    <w:rsid w:val="004018A2"/>
    <w:rsid w:val="0040193B"/>
    <w:rsid w:val="00401995"/>
    <w:rsid w:val="004019E1"/>
    <w:rsid w:val="00401A3B"/>
    <w:rsid w:val="00401A42"/>
    <w:rsid w:val="00401B16"/>
    <w:rsid w:val="0040214C"/>
    <w:rsid w:val="004022D3"/>
    <w:rsid w:val="00402339"/>
    <w:rsid w:val="00402594"/>
    <w:rsid w:val="004028E3"/>
    <w:rsid w:val="0040290B"/>
    <w:rsid w:val="00402B5A"/>
    <w:rsid w:val="00402D28"/>
    <w:rsid w:val="00402DFF"/>
    <w:rsid w:val="00402F8A"/>
    <w:rsid w:val="00403157"/>
    <w:rsid w:val="004035D4"/>
    <w:rsid w:val="0040363E"/>
    <w:rsid w:val="004039D3"/>
    <w:rsid w:val="00403ABF"/>
    <w:rsid w:val="00403E16"/>
    <w:rsid w:val="0040418F"/>
    <w:rsid w:val="004044CD"/>
    <w:rsid w:val="00404611"/>
    <w:rsid w:val="004046C1"/>
    <w:rsid w:val="004047E1"/>
    <w:rsid w:val="00404805"/>
    <w:rsid w:val="0040484C"/>
    <w:rsid w:val="00404A06"/>
    <w:rsid w:val="00404AED"/>
    <w:rsid w:val="00404B60"/>
    <w:rsid w:val="0040500C"/>
    <w:rsid w:val="004052CB"/>
    <w:rsid w:val="0040537A"/>
    <w:rsid w:val="00405465"/>
    <w:rsid w:val="0040548C"/>
    <w:rsid w:val="0040560F"/>
    <w:rsid w:val="00405844"/>
    <w:rsid w:val="00405A77"/>
    <w:rsid w:val="00405E5C"/>
    <w:rsid w:val="00406014"/>
    <w:rsid w:val="00406390"/>
    <w:rsid w:val="0040643E"/>
    <w:rsid w:val="0040655C"/>
    <w:rsid w:val="0040657B"/>
    <w:rsid w:val="004067C6"/>
    <w:rsid w:val="00406885"/>
    <w:rsid w:val="00406F92"/>
    <w:rsid w:val="0040713B"/>
    <w:rsid w:val="0040726E"/>
    <w:rsid w:val="00407A79"/>
    <w:rsid w:val="00407C0F"/>
    <w:rsid w:val="00407CCA"/>
    <w:rsid w:val="0041027C"/>
    <w:rsid w:val="004102C6"/>
    <w:rsid w:val="004105A1"/>
    <w:rsid w:val="00410618"/>
    <w:rsid w:val="004107C2"/>
    <w:rsid w:val="004108A6"/>
    <w:rsid w:val="00410A88"/>
    <w:rsid w:val="00410CBD"/>
    <w:rsid w:val="00410E72"/>
    <w:rsid w:val="00410F50"/>
    <w:rsid w:val="00410FA3"/>
    <w:rsid w:val="00410FAE"/>
    <w:rsid w:val="00411399"/>
    <w:rsid w:val="004115B9"/>
    <w:rsid w:val="00411B85"/>
    <w:rsid w:val="00412028"/>
    <w:rsid w:val="0041220C"/>
    <w:rsid w:val="0041221F"/>
    <w:rsid w:val="004122A3"/>
    <w:rsid w:val="00412393"/>
    <w:rsid w:val="0041245A"/>
    <w:rsid w:val="00412907"/>
    <w:rsid w:val="00412A80"/>
    <w:rsid w:val="00412D32"/>
    <w:rsid w:val="00412ECA"/>
    <w:rsid w:val="0041323C"/>
    <w:rsid w:val="00413416"/>
    <w:rsid w:val="004134D9"/>
    <w:rsid w:val="00413625"/>
    <w:rsid w:val="004136D5"/>
    <w:rsid w:val="00413761"/>
    <w:rsid w:val="004138B8"/>
    <w:rsid w:val="00413A46"/>
    <w:rsid w:val="00413B07"/>
    <w:rsid w:val="004143BC"/>
    <w:rsid w:val="004143D6"/>
    <w:rsid w:val="00414451"/>
    <w:rsid w:val="00414481"/>
    <w:rsid w:val="00414510"/>
    <w:rsid w:val="00414561"/>
    <w:rsid w:val="00414667"/>
    <w:rsid w:val="004148BB"/>
    <w:rsid w:val="004148E0"/>
    <w:rsid w:val="004149E4"/>
    <w:rsid w:val="00414D1F"/>
    <w:rsid w:val="00414EA1"/>
    <w:rsid w:val="00415227"/>
    <w:rsid w:val="0041526A"/>
    <w:rsid w:val="0041527F"/>
    <w:rsid w:val="004157A1"/>
    <w:rsid w:val="00415997"/>
    <w:rsid w:val="00415A65"/>
    <w:rsid w:val="00415B7D"/>
    <w:rsid w:val="00415F46"/>
    <w:rsid w:val="00416037"/>
    <w:rsid w:val="00416565"/>
    <w:rsid w:val="00416742"/>
    <w:rsid w:val="00416B9F"/>
    <w:rsid w:val="00416C8D"/>
    <w:rsid w:val="00416F6C"/>
    <w:rsid w:val="00416FF7"/>
    <w:rsid w:val="00417072"/>
    <w:rsid w:val="004170E0"/>
    <w:rsid w:val="00417162"/>
    <w:rsid w:val="00417516"/>
    <w:rsid w:val="00417597"/>
    <w:rsid w:val="004177F7"/>
    <w:rsid w:val="0041783E"/>
    <w:rsid w:val="004178FF"/>
    <w:rsid w:val="00417BEA"/>
    <w:rsid w:val="00417DE4"/>
    <w:rsid w:val="00417E68"/>
    <w:rsid w:val="0042069B"/>
    <w:rsid w:val="00420A92"/>
    <w:rsid w:val="00420D07"/>
    <w:rsid w:val="00420F4F"/>
    <w:rsid w:val="00420FAC"/>
    <w:rsid w:val="00421147"/>
    <w:rsid w:val="00421314"/>
    <w:rsid w:val="0042139C"/>
    <w:rsid w:val="004216FF"/>
    <w:rsid w:val="0042174D"/>
    <w:rsid w:val="00421855"/>
    <w:rsid w:val="00421DF6"/>
    <w:rsid w:val="004221DB"/>
    <w:rsid w:val="00422316"/>
    <w:rsid w:val="0042231D"/>
    <w:rsid w:val="0042244A"/>
    <w:rsid w:val="004225F5"/>
    <w:rsid w:val="0042285D"/>
    <w:rsid w:val="004228E8"/>
    <w:rsid w:val="00422959"/>
    <w:rsid w:val="00422B3E"/>
    <w:rsid w:val="00422C17"/>
    <w:rsid w:val="00422DDC"/>
    <w:rsid w:val="00423014"/>
    <w:rsid w:val="004231B5"/>
    <w:rsid w:val="004233F4"/>
    <w:rsid w:val="004233FC"/>
    <w:rsid w:val="00423478"/>
    <w:rsid w:val="004236C8"/>
    <w:rsid w:val="00423977"/>
    <w:rsid w:val="004239BE"/>
    <w:rsid w:val="00423A74"/>
    <w:rsid w:val="00423B49"/>
    <w:rsid w:val="00423B56"/>
    <w:rsid w:val="00423B9D"/>
    <w:rsid w:val="00423C14"/>
    <w:rsid w:val="00423C24"/>
    <w:rsid w:val="00423C96"/>
    <w:rsid w:val="00423CCD"/>
    <w:rsid w:val="00423F5B"/>
    <w:rsid w:val="004242BD"/>
    <w:rsid w:val="0042435D"/>
    <w:rsid w:val="004245ED"/>
    <w:rsid w:val="004249FC"/>
    <w:rsid w:val="00424B2E"/>
    <w:rsid w:val="00424CAF"/>
    <w:rsid w:val="00424E5E"/>
    <w:rsid w:val="0042504F"/>
    <w:rsid w:val="0042532F"/>
    <w:rsid w:val="0042544D"/>
    <w:rsid w:val="0042560C"/>
    <w:rsid w:val="0042582D"/>
    <w:rsid w:val="00425835"/>
    <w:rsid w:val="00425B39"/>
    <w:rsid w:val="00425F38"/>
    <w:rsid w:val="0042604E"/>
    <w:rsid w:val="0042649F"/>
    <w:rsid w:val="00426696"/>
    <w:rsid w:val="0042681A"/>
    <w:rsid w:val="0042683B"/>
    <w:rsid w:val="00426B28"/>
    <w:rsid w:val="00426E32"/>
    <w:rsid w:val="0042731F"/>
    <w:rsid w:val="0042733A"/>
    <w:rsid w:val="0042743C"/>
    <w:rsid w:val="00427681"/>
    <w:rsid w:val="00427728"/>
    <w:rsid w:val="004277B1"/>
    <w:rsid w:val="00427A6B"/>
    <w:rsid w:val="0042B1B0"/>
    <w:rsid w:val="004302F1"/>
    <w:rsid w:val="0043060B"/>
    <w:rsid w:val="0043061C"/>
    <w:rsid w:val="00430722"/>
    <w:rsid w:val="00430875"/>
    <w:rsid w:val="00430880"/>
    <w:rsid w:val="00430D9A"/>
    <w:rsid w:val="00430E58"/>
    <w:rsid w:val="00430F35"/>
    <w:rsid w:val="00431364"/>
    <w:rsid w:val="004313B1"/>
    <w:rsid w:val="004314F9"/>
    <w:rsid w:val="004315A3"/>
    <w:rsid w:val="0043170A"/>
    <w:rsid w:val="00431715"/>
    <w:rsid w:val="004319B3"/>
    <w:rsid w:val="00431AD7"/>
    <w:rsid w:val="00431B93"/>
    <w:rsid w:val="00431D3E"/>
    <w:rsid w:val="00431E18"/>
    <w:rsid w:val="00431F36"/>
    <w:rsid w:val="0043223A"/>
    <w:rsid w:val="004322C8"/>
    <w:rsid w:val="0043232B"/>
    <w:rsid w:val="00432725"/>
    <w:rsid w:val="0043276E"/>
    <w:rsid w:val="00432801"/>
    <w:rsid w:val="0043292F"/>
    <w:rsid w:val="00432BC1"/>
    <w:rsid w:val="00432EAC"/>
    <w:rsid w:val="00432F3B"/>
    <w:rsid w:val="00433016"/>
    <w:rsid w:val="00433122"/>
    <w:rsid w:val="00433861"/>
    <w:rsid w:val="004338A2"/>
    <w:rsid w:val="00433A95"/>
    <w:rsid w:val="00433AF2"/>
    <w:rsid w:val="00433DB7"/>
    <w:rsid w:val="0043401D"/>
    <w:rsid w:val="004342E9"/>
    <w:rsid w:val="004349BC"/>
    <w:rsid w:val="00434F29"/>
    <w:rsid w:val="00435148"/>
    <w:rsid w:val="0043543D"/>
    <w:rsid w:val="004358AF"/>
    <w:rsid w:val="00435AEC"/>
    <w:rsid w:val="00435B21"/>
    <w:rsid w:val="00435B56"/>
    <w:rsid w:val="00435CAB"/>
    <w:rsid w:val="00435D06"/>
    <w:rsid w:val="00435D46"/>
    <w:rsid w:val="00435EAF"/>
    <w:rsid w:val="00435F0D"/>
    <w:rsid w:val="00435F12"/>
    <w:rsid w:val="00435F42"/>
    <w:rsid w:val="0043604B"/>
    <w:rsid w:val="004360A5"/>
    <w:rsid w:val="0043637B"/>
    <w:rsid w:val="0043665D"/>
    <w:rsid w:val="00436787"/>
    <w:rsid w:val="0043696B"/>
    <w:rsid w:val="004369AF"/>
    <w:rsid w:val="00436DD4"/>
    <w:rsid w:val="00436ED6"/>
    <w:rsid w:val="00436FD7"/>
    <w:rsid w:val="0043705E"/>
    <w:rsid w:val="004371D5"/>
    <w:rsid w:val="00437420"/>
    <w:rsid w:val="004379DA"/>
    <w:rsid w:val="00437C7E"/>
    <w:rsid w:val="0044001F"/>
    <w:rsid w:val="0044011A"/>
    <w:rsid w:val="00440300"/>
    <w:rsid w:val="004403A5"/>
    <w:rsid w:val="00440458"/>
    <w:rsid w:val="004404B3"/>
    <w:rsid w:val="00440773"/>
    <w:rsid w:val="00440796"/>
    <w:rsid w:val="004407F4"/>
    <w:rsid w:val="00440AD8"/>
    <w:rsid w:val="00440D7A"/>
    <w:rsid w:val="00440F8F"/>
    <w:rsid w:val="00441028"/>
    <w:rsid w:val="00441119"/>
    <w:rsid w:val="004412B3"/>
    <w:rsid w:val="004413F5"/>
    <w:rsid w:val="00441537"/>
    <w:rsid w:val="00441772"/>
    <w:rsid w:val="00441894"/>
    <w:rsid w:val="00441A1C"/>
    <w:rsid w:val="00441F43"/>
    <w:rsid w:val="00441F5A"/>
    <w:rsid w:val="004425FB"/>
    <w:rsid w:val="00442661"/>
    <w:rsid w:val="00442C3F"/>
    <w:rsid w:val="00443059"/>
    <w:rsid w:val="0044327D"/>
    <w:rsid w:val="00443302"/>
    <w:rsid w:val="004437A0"/>
    <w:rsid w:val="0044397C"/>
    <w:rsid w:val="00443BC4"/>
    <w:rsid w:val="00443C88"/>
    <w:rsid w:val="00443DC7"/>
    <w:rsid w:val="00443FD5"/>
    <w:rsid w:val="004440FE"/>
    <w:rsid w:val="0044422F"/>
    <w:rsid w:val="004444CE"/>
    <w:rsid w:val="00444B38"/>
    <w:rsid w:val="00444C85"/>
    <w:rsid w:val="00444E32"/>
    <w:rsid w:val="0044524C"/>
    <w:rsid w:val="00445289"/>
    <w:rsid w:val="0044528C"/>
    <w:rsid w:val="00445418"/>
    <w:rsid w:val="00445428"/>
    <w:rsid w:val="00445463"/>
    <w:rsid w:val="00445DB5"/>
    <w:rsid w:val="0044618D"/>
    <w:rsid w:val="0044637C"/>
    <w:rsid w:val="004465BD"/>
    <w:rsid w:val="0044675E"/>
    <w:rsid w:val="0044676F"/>
    <w:rsid w:val="0044695A"/>
    <w:rsid w:val="00446C3F"/>
    <w:rsid w:val="00446DBD"/>
    <w:rsid w:val="00446E15"/>
    <w:rsid w:val="00446F2E"/>
    <w:rsid w:val="00447101"/>
    <w:rsid w:val="0044725D"/>
    <w:rsid w:val="00447313"/>
    <w:rsid w:val="004474FF"/>
    <w:rsid w:val="00447879"/>
    <w:rsid w:val="00447885"/>
    <w:rsid w:val="00447937"/>
    <w:rsid w:val="00447A75"/>
    <w:rsid w:val="00447B8E"/>
    <w:rsid w:val="00447BE2"/>
    <w:rsid w:val="00447C5A"/>
    <w:rsid w:val="00447D13"/>
    <w:rsid w:val="00447FFC"/>
    <w:rsid w:val="00450086"/>
    <w:rsid w:val="00450242"/>
    <w:rsid w:val="00450303"/>
    <w:rsid w:val="004503FF"/>
    <w:rsid w:val="00450452"/>
    <w:rsid w:val="004509E9"/>
    <w:rsid w:val="00450A64"/>
    <w:rsid w:val="00450B14"/>
    <w:rsid w:val="00450D26"/>
    <w:rsid w:val="00450DEC"/>
    <w:rsid w:val="00450EDC"/>
    <w:rsid w:val="00451320"/>
    <w:rsid w:val="004515EE"/>
    <w:rsid w:val="0045175C"/>
    <w:rsid w:val="00451993"/>
    <w:rsid w:val="00451AC4"/>
    <w:rsid w:val="00451B63"/>
    <w:rsid w:val="00451CA1"/>
    <w:rsid w:val="00451D3F"/>
    <w:rsid w:val="004520D3"/>
    <w:rsid w:val="0045221E"/>
    <w:rsid w:val="00452335"/>
    <w:rsid w:val="0045252D"/>
    <w:rsid w:val="0045254A"/>
    <w:rsid w:val="004525EF"/>
    <w:rsid w:val="004529C6"/>
    <w:rsid w:val="004529F9"/>
    <w:rsid w:val="00452ABC"/>
    <w:rsid w:val="00452C7F"/>
    <w:rsid w:val="00452D10"/>
    <w:rsid w:val="00452D8D"/>
    <w:rsid w:val="00452E62"/>
    <w:rsid w:val="00453081"/>
    <w:rsid w:val="004534D0"/>
    <w:rsid w:val="00453628"/>
    <w:rsid w:val="004536E9"/>
    <w:rsid w:val="00453750"/>
    <w:rsid w:val="00453B66"/>
    <w:rsid w:val="00453C48"/>
    <w:rsid w:val="00453D75"/>
    <w:rsid w:val="00454789"/>
    <w:rsid w:val="00454D0C"/>
    <w:rsid w:val="00454E38"/>
    <w:rsid w:val="00454FBF"/>
    <w:rsid w:val="00455176"/>
    <w:rsid w:val="0045543C"/>
    <w:rsid w:val="0045565D"/>
    <w:rsid w:val="004557EC"/>
    <w:rsid w:val="004557F2"/>
    <w:rsid w:val="004559F5"/>
    <w:rsid w:val="00455ACD"/>
    <w:rsid w:val="00455B82"/>
    <w:rsid w:val="0045610C"/>
    <w:rsid w:val="00456141"/>
    <w:rsid w:val="00456941"/>
    <w:rsid w:val="00456BDF"/>
    <w:rsid w:val="00456F18"/>
    <w:rsid w:val="004570FF"/>
    <w:rsid w:val="00457658"/>
    <w:rsid w:val="00457819"/>
    <w:rsid w:val="004579E1"/>
    <w:rsid w:val="004602C2"/>
    <w:rsid w:val="004605A3"/>
    <w:rsid w:val="00460733"/>
    <w:rsid w:val="00460734"/>
    <w:rsid w:val="00460B48"/>
    <w:rsid w:val="00460D83"/>
    <w:rsid w:val="00461104"/>
    <w:rsid w:val="00461145"/>
    <w:rsid w:val="0046143C"/>
    <w:rsid w:val="00461837"/>
    <w:rsid w:val="00461A0B"/>
    <w:rsid w:val="00461AF9"/>
    <w:rsid w:val="00461B4C"/>
    <w:rsid w:val="00461D66"/>
    <w:rsid w:val="00462041"/>
    <w:rsid w:val="004620D2"/>
    <w:rsid w:val="0046217B"/>
    <w:rsid w:val="00462412"/>
    <w:rsid w:val="004625CF"/>
    <w:rsid w:val="004626F2"/>
    <w:rsid w:val="004628BC"/>
    <w:rsid w:val="00462925"/>
    <w:rsid w:val="00462BD0"/>
    <w:rsid w:val="00462F28"/>
    <w:rsid w:val="0046303D"/>
    <w:rsid w:val="00463240"/>
    <w:rsid w:val="004632AD"/>
    <w:rsid w:val="004633EC"/>
    <w:rsid w:val="004637B6"/>
    <w:rsid w:val="00463A47"/>
    <w:rsid w:val="00463AB8"/>
    <w:rsid w:val="00463B91"/>
    <w:rsid w:val="00463C5A"/>
    <w:rsid w:val="00463C7B"/>
    <w:rsid w:val="00463D73"/>
    <w:rsid w:val="00463F57"/>
    <w:rsid w:val="004645B0"/>
    <w:rsid w:val="004646C5"/>
    <w:rsid w:val="00464718"/>
    <w:rsid w:val="0046496C"/>
    <w:rsid w:val="004649A0"/>
    <w:rsid w:val="00464A68"/>
    <w:rsid w:val="00464A75"/>
    <w:rsid w:val="00464BE0"/>
    <w:rsid w:val="00464BE9"/>
    <w:rsid w:val="00464C62"/>
    <w:rsid w:val="00464F52"/>
    <w:rsid w:val="004651C0"/>
    <w:rsid w:val="00465429"/>
    <w:rsid w:val="0046551D"/>
    <w:rsid w:val="004655D5"/>
    <w:rsid w:val="0046577E"/>
    <w:rsid w:val="00465B47"/>
    <w:rsid w:val="00465E6D"/>
    <w:rsid w:val="00465F09"/>
    <w:rsid w:val="00465F7D"/>
    <w:rsid w:val="00465FF5"/>
    <w:rsid w:val="004660AA"/>
    <w:rsid w:val="004662B1"/>
    <w:rsid w:val="004663BB"/>
    <w:rsid w:val="004667C6"/>
    <w:rsid w:val="004673BF"/>
    <w:rsid w:val="004674CA"/>
    <w:rsid w:val="00467862"/>
    <w:rsid w:val="00467C5F"/>
    <w:rsid w:val="004702EA"/>
    <w:rsid w:val="00470653"/>
    <w:rsid w:val="00470769"/>
    <w:rsid w:val="00470DC2"/>
    <w:rsid w:val="00470EDC"/>
    <w:rsid w:val="00470EDE"/>
    <w:rsid w:val="00471220"/>
    <w:rsid w:val="00471277"/>
    <w:rsid w:val="004712E7"/>
    <w:rsid w:val="0047174B"/>
    <w:rsid w:val="00471915"/>
    <w:rsid w:val="00471AF8"/>
    <w:rsid w:val="00471D7F"/>
    <w:rsid w:val="00471E61"/>
    <w:rsid w:val="004720A9"/>
    <w:rsid w:val="004721F9"/>
    <w:rsid w:val="004722DB"/>
    <w:rsid w:val="00472302"/>
    <w:rsid w:val="0047243C"/>
    <w:rsid w:val="00472510"/>
    <w:rsid w:val="00472562"/>
    <w:rsid w:val="0047271F"/>
    <w:rsid w:val="004727AF"/>
    <w:rsid w:val="0047285D"/>
    <w:rsid w:val="004728F9"/>
    <w:rsid w:val="00472B53"/>
    <w:rsid w:val="00472DA8"/>
    <w:rsid w:val="00472E34"/>
    <w:rsid w:val="00472F54"/>
    <w:rsid w:val="00473047"/>
    <w:rsid w:val="004732FB"/>
    <w:rsid w:val="004733CE"/>
    <w:rsid w:val="00473656"/>
    <w:rsid w:val="00473702"/>
    <w:rsid w:val="00473920"/>
    <w:rsid w:val="00473F43"/>
    <w:rsid w:val="0047413C"/>
    <w:rsid w:val="00474261"/>
    <w:rsid w:val="004742CC"/>
    <w:rsid w:val="004742F8"/>
    <w:rsid w:val="0047467A"/>
    <w:rsid w:val="004747FD"/>
    <w:rsid w:val="00474AA1"/>
    <w:rsid w:val="00474AC1"/>
    <w:rsid w:val="00474B20"/>
    <w:rsid w:val="00474D2D"/>
    <w:rsid w:val="00474DB4"/>
    <w:rsid w:val="0047559C"/>
    <w:rsid w:val="00475851"/>
    <w:rsid w:val="00475A20"/>
    <w:rsid w:val="00475CCA"/>
    <w:rsid w:val="00475EE8"/>
    <w:rsid w:val="00476138"/>
    <w:rsid w:val="004761A7"/>
    <w:rsid w:val="0047635A"/>
    <w:rsid w:val="00476540"/>
    <w:rsid w:val="00476789"/>
    <w:rsid w:val="004768BF"/>
    <w:rsid w:val="004768DA"/>
    <w:rsid w:val="00476B44"/>
    <w:rsid w:val="00476C45"/>
    <w:rsid w:val="00476C4A"/>
    <w:rsid w:val="00476E3C"/>
    <w:rsid w:val="00476FE3"/>
    <w:rsid w:val="00477799"/>
    <w:rsid w:val="004777DB"/>
    <w:rsid w:val="0047792B"/>
    <w:rsid w:val="004779A3"/>
    <w:rsid w:val="00477C30"/>
    <w:rsid w:val="00477D5F"/>
    <w:rsid w:val="00477D9A"/>
    <w:rsid w:val="00477F1F"/>
    <w:rsid w:val="00480188"/>
    <w:rsid w:val="00480527"/>
    <w:rsid w:val="004805F2"/>
    <w:rsid w:val="004806A1"/>
    <w:rsid w:val="0048075A"/>
    <w:rsid w:val="00480811"/>
    <w:rsid w:val="00480855"/>
    <w:rsid w:val="004809A6"/>
    <w:rsid w:val="00480D13"/>
    <w:rsid w:val="00480D5A"/>
    <w:rsid w:val="00481241"/>
    <w:rsid w:val="004813F9"/>
    <w:rsid w:val="004816C0"/>
    <w:rsid w:val="00481713"/>
    <w:rsid w:val="00481819"/>
    <w:rsid w:val="00481AAD"/>
    <w:rsid w:val="00481B36"/>
    <w:rsid w:val="00482022"/>
    <w:rsid w:val="0048230A"/>
    <w:rsid w:val="0048259C"/>
    <w:rsid w:val="004828D2"/>
    <w:rsid w:val="00482D02"/>
    <w:rsid w:val="004830AE"/>
    <w:rsid w:val="004831C6"/>
    <w:rsid w:val="0048321E"/>
    <w:rsid w:val="00483239"/>
    <w:rsid w:val="00483282"/>
    <w:rsid w:val="0048339B"/>
    <w:rsid w:val="00483517"/>
    <w:rsid w:val="004835A4"/>
    <w:rsid w:val="00483645"/>
    <w:rsid w:val="0048371D"/>
    <w:rsid w:val="00483B56"/>
    <w:rsid w:val="00483C97"/>
    <w:rsid w:val="00483D5C"/>
    <w:rsid w:val="0048407D"/>
    <w:rsid w:val="00484281"/>
    <w:rsid w:val="00484326"/>
    <w:rsid w:val="00484521"/>
    <w:rsid w:val="00484650"/>
    <w:rsid w:val="004847CC"/>
    <w:rsid w:val="00484966"/>
    <w:rsid w:val="00484BA0"/>
    <w:rsid w:val="00484CC0"/>
    <w:rsid w:val="00484D43"/>
    <w:rsid w:val="00484F5A"/>
    <w:rsid w:val="00485208"/>
    <w:rsid w:val="00485565"/>
    <w:rsid w:val="00485722"/>
    <w:rsid w:val="00485731"/>
    <w:rsid w:val="004857D1"/>
    <w:rsid w:val="004857E1"/>
    <w:rsid w:val="004857FA"/>
    <w:rsid w:val="00485959"/>
    <w:rsid w:val="00485B93"/>
    <w:rsid w:val="004860B8"/>
    <w:rsid w:val="00486248"/>
    <w:rsid w:val="004862B6"/>
    <w:rsid w:val="004866C7"/>
    <w:rsid w:val="00486A47"/>
    <w:rsid w:val="00486E2B"/>
    <w:rsid w:val="00486F68"/>
    <w:rsid w:val="00487127"/>
    <w:rsid w:val="0048712B"/>
    <w:rsid w:val="00487186"/>
    <w:rsid w:val="00487410"/>
    <w:rsid w:val="0048754F"/>
    <w:rsid w:val="00487604"/>
    <w:rsid w:val="004877BB"/>
    <w:rsid w:val="00487BDE"/>
    <w:rsid w:val="00487C28"/>
    <w:rsid w:val="0049011B"/>
    <w:rsid w:val="004902F9"/>
    <w:rsid w:val="0049031E"/>
    <w:rsid w:val="00490345"/>
    <w:rsid w:val="00490367"/>
    <w:rsid w:val="00490369"/>
    <w:rsid w:val="0049039B"/>
    <w:rsid w:val="004903ED"/>
    <w:rsid w:val="004903FE"/>
    <w:rsid w:val="004907A2"/>
    <w:rsid w:val="00490953"/>
    <w:rsid w:val="00490C73"/>
    <w:rsid w:val="004914D6"/>
    <w:rsid w:val="00491551"/>
    <w:rsid w:val="00491707"/>
    <w:rsid w:val="00491745"/>
    <w:rsid w:val="00491847"/>
    <w:rsid w:val="0049196A"/>
    <w:rsid w:val="00491A5E"/>
    <w:rsid w:val="00491B30"/>
    <w:rsid w:val="00491CA0"/>
    <w:rsid w:val="00491CF8"/>
    <w:rsid w:val="00491D18"/>
    <w:rsid w:val="00492000"/>
    <w:rsid w:val="00492281"/>
    <w:rsid w:val="00492336"/>
    <w:rsid w:val="004925D4"/>
    <w:rsid w:val="004928C9"/>
    <w:rsid w:val="0049296E"/>
    <w:rsid w:val="004929EA"/>
    <w:rsid w:val="00492AD3"/>
    <w:rsid w:val="00492BD3"/>
    <w:rsid w:val="00492C12"/>
    <w:rsid w:val="00492C6E"/>
    <w:rsid w:val="00492C92"/>
    <w:rsid w:val="00492DF4"/>
    <w:rsid w:val="00493076"/>
    <w:rsid w:val="00493114"/>
    <w:rsid w:val="0049323C"/>
    <w:rsid w:val="00493BCF"/>
    <w:rsid w:val="00493CD3"/>
    <w:rsid w:val="00493D08"/>
    <w:rsid w:val="00493E9A"/>
    <w:rsid w:val="00494147"/>
    <w:rsid w:val="00494165"/>
    <w:rsid w:val="00494567"/>
    <w:rsid w:val="00494590"/>
    <w:rsid w:val="004945F5"/>
    <w:rsid w:val="0049474A"/>
    <w:rsid w:val="0049483C"/>
    <w:rsid w:val="004948B8"/>
    <w:rsid w:val="00494AA0"/>
    <w:rsid w:val="00494E49"/>
    <w:rsid w:val="00494EFA"/>
    <w:rsid w:val="00494F06"/>
    <w:rsid w:val="00495179"/>
    <w:rsid w:val="00495483"/>
    <w:rsid w:val="00495589"/>
    <w:rsid w:val="00495604"/>
    <w:rsid w:val="00495A73"/>
    <w:rsid w:val="00495A96"/>
    <w:rsid w:val="00495BAF"/>
    <w:rsid w:val="00495CDC"/>
    <w:rsid w:val="0049645C"/>
    <w:rsid w:val="00496547"/>
    <w:rsid w:val="004965EA"/>
    <w:rsid w:val="004969AC"/>
    <w:rsid w:val="00496A0A"/>
    <w:rsid w:val="00496A22"/>
    <w:rsid w:val="00496B89"/>
    <w:rsid w:val="00496E40"/>
    <w:rsid w:val="004970B0"/>
    <w:rsid w:val="00497185"/>
    <w:rsid w:val="00497211"/>
    <w:rsid w:val="004972BE"/>
    <w:rsid w:val="004972D0"/>
    <w:rsid w:val="004972D9"/>
    <w:rsid w:val="00497324"/>
    <w:rsid w:val="0049761C"/>
    <w:rsid w:val="004976E9"/>
    <w:rsid w:val="00497CF9"/>
    <w:rsid w:val="00497EB0"/>
    <w:rsid w:val="00497FC7"/>
    <w:rsid w:val="004A0152"/>
    <w:rsid w:val="004A02B4"/>
    <w:rsid w:val="004A02ED"/>
    <w:rsid w:val="004A057F"/>
    <w:rsid w:val="004A0A32"/>
    <w:rsid w:val="004A0D94"/>
    <w:rsid w:val="004A10EC"/>
    <w:rsid w:val="004A1326"/>
    <w:rsid w:val="004A17F2"/>
    <w:rsid w:val="004A18A7"/>
    <w:rsid w:val="004A18EE"/>
    <w:rsid w:val="004A1AA5"/>
    <w:rsid w:val="004A1B26"/>
    <w:rsid w:val="004A1F6B"/>
    <w:rsid w:val="004A2124"/>
    <w:rsid w:val="004A2713"/>
    <w:rsid w:val="004A29FF"/>
    <w:rsid w:val="004A2C8F"/>
    <w:rsid w:val="004A2D12"/>
    <w:rsid w:val="004A30C9"/>
    <w:rsid w:val="004A33CB"/>
    <w:rsid w:val="004A34DA"/>
    <w:rsid w:val="004A3678"/>
    <w:rsid w:val="004A3995"/>
    <w:rsid w:val="004A39CA"/>
    <w:rsid w:val="004A3A76"/>
    <w:rsid w:val="004A3D44"/>
    <w:rsid w:val="004A42D5"/>
    <w:rsid w:val="004A4309"/>
    <w:rsid w:val="004A43EE"/>
    <w:rsid w:val="004A442E"/>
    <w:rsid w:val="004A44A6"/>
    <w:rsid w:val="004A485C"/>
    <w:rsid w:val="004A4B23"/>
    <w:rsid w:val="004A4C34"/>
    <w:rsid w:val="004A4C5C"/>
    <w:rsid w:val="004A4C62"/>
    <w:rsid w:val="004A4DAE"/>
    <w:rsid w:val="004A5052"/>
    <w:rsid w:val="004A5177"/>
    <w:rsid w:val="004A5303"/>
    <w:rsid w:val="004A53A1"/>
    <w:rsid w:val="004A54CF"/>
    <w:rsid w:val="004A57D4"/>
    <w:rsid w:val="004A5CDC"/>
    <w:rsid w:val="004A5FF8"/>
    <w:rsid w:val="004A6192"/>
    <w:rsid w:val="004A63B7"/>
    <w:rsid w:val="004A666D"/>
    <w:rsid w:val="004A68B8"/>
    <w:rsid w:val="004A69D5"/>
    <w:rsid w:val="004A6E14"/>
    <w:rsid w:val="004A6E3B"/>
    <w:rsid w:val="004A6F3B"/>
    <w:rsid w:val="004A7103"/>
    <w:rsid w:val="004A71B8"/>
    <w:rsid w:val="004A73F7"/>
    <w:rsid w:val="004A7519"/>
    <w:rsid w:val="004A75A5"/>
    <w:rsid w:val="004A7D36"/>
    <w:rsid w:val="004B009E"/>
    <w:rsid w:val="004B018C"/>
    <w:rsid w:val="004B01DB"/>
    <w:rsid w:val="004B03E3"/>
    <w:rsid w:val="004B05CB"/>
    <w:rsid w:val="004B0715"/>
    <w:rsid w:val="004B0944"/>
    <w:rsid w:val="004B0BE4"/>
    <w:rsid w:val="004B0CDE"/>
    <w:rsid w:val="004B0EC3"/>
    <w:rsid w:val="004B10E3"/>
    <w:rsid w:val="004B1191"/>
    <w:rsid w:val="004B15DD"/>
    <w:rsid w:val="004B194D"/>
    <w:rsid w:val="004B1CBE"/>
    <w:rsid w:val="004B1D08"/>
    <w:rsid w:val="004B1DF2"/>
    <w:rsid w:val="004B2039"/>
    <w:rsid w:val="004B2247"/>
    <w:rsid w:val="004B226A"/>
    <w:rsid w:val="004B2350"/>
    <w:rsid w:val="004B2597"/>
    <w:rsid w:val="004B25CB"/>
    <w:rsid w:val="004B2691"/>
    <w:rsid w:val="004B270E"/>
    <w:rsid w:val="004B282F"/>
    <w:rsid w:val="004B288A"/>
    <w:rsid w:val="004B2F31"/>
    <w:rsid w:val="004B30C1"/>
    <w:rsid w:val="004B3486"/>
    <w:rsid w:val="004B350F"/>
    <w:rsid w:val="004B367D"/>
    <w:rsid w:val="004B36D7"/>
    <w:rsid w:val="004B3BB2"/>
    <w:rsid w:val="004B3C3A"/>
    <w:rsid w:val="004B3D3C"/>
    <w:rsid w:val="004B421E"/>
    <w:rsid w:val="004B4282"/>
    <w:rsid w:val="004B4674"/>
    <w:rsid w:val="004B4BFB"/>
    <w:rsid w:val="004B50FA"/>
    <w:rsid w:val="004B520B"/>
    <w:rsid w:val="004B521D"/>
    <w:rsid w:val="004B522A"/>
    <w:rsid w:val="004B534D"/>
    <w:rsid w:val="004B5944"/>
    <w:rsid w:val="004B5ABA"/>
    <w:rsid w:val="004B5C71"/>
    <w:rsid w:val="004B5C94"/>
    <w:rsid w:val="004B5D40"/>
    <w:rsid w:val="004B5DEB"/>
    <w:rsid w:val="004B5E59"/>
    <w:rsid w:val="004B6216"/>
    <w:rsid w:val="004B6339"/>
    <w:rsid w:val="004B6484"/>
    <w:rsid w:val="004B64B1"/>
    <w:rsid w:val="004B655A"/>
    <w:rsid w:val="004B663D"/>
    <w:rsid w:val="004B6656"/>
    <w:rsid w:val="004B669E"/>
    <w:rsid w:val="004B6754"/>
    <w:rsid w:val="004B67D6"/>
    <w:rsid w:val="004B6B67"/>
    <w:rsid w:val="004B6EB6"/>
    <w:rsid w:val="004B7008"/>
    <w:rsid w:val="004B7014"/>
    <w:rsid w:val="004B7064"/>
    <w:rsid w:val="004B78AA"/>
    <w:rsid w:val="004B7A2B"/>
    <w:rsid w:val="004B7B2A"/>
    <w:rsid w:val="004B7B32"/>
    <w:rsid w:val="004B7CB3"/>
    <w:rsid w:val="004B7ED8"/>
    <w:rsid w:val="004C0057"/>
    <w:rsid w:val="004C0152"/>
    <w:rsid w:val="004C0172"/>
    <w:rsid w:val="004C0189"/>
    <w:rsid w:val="004C03A5"/>
    <w:rsid w:val="004C04D0"/>
    <w:rsid w:val="004C07EE"/>
    <w:rsid w:val="004C0821"/>
    <w:rsid w:val="004C099A"/>
    <w:rsid w:val="004C0BEC"/>
    <w:rsid w:val="004C0C04"/>
    <w:rsid w:val="004C0D69"/>
    <w:rsid w:val="004C0DC3"/>
    <w:rsid w:val="004C12D5"/>
    <w:rsid w:val="004C1309"/>
    <w:rsid w:val="004C14D5"/>
    <w:rsid w:val="004C1506"/>
    <w:rsid w:val="004C1709"/>
    <w:rsid w:val="004C18E0"/>
    <w:rsid w:val="004C193A"/>
    <w:rsid w:val="004C1A0A"/>
    <w:rsid w:val="004C1B00"/>
    <w:rsid w:val="004C1B4C"/>
    <w:rsid w:val="004C1DCC"/>
    <w:rsid w:val="004C1FCE"/>
    <w:rsid w:val="004C246D"/>
    <w:rsid w:val="004C25CF"/>
    <w:rsid w:val="004C26F9"/>
    <w:rsid w:val="004C2754"/>
    <w:rsid w:val="004C27A3"/>
    <w:rsid w:val="004C2978"/>
    <w:rsid w:val="004C29C7"/>
    <w:rsid w:val="004C2EE0"/>
    <w:rsid w:val="004C30B2"/>
    <w:rsid w:val="004C30B7"/>
    <w:rsid w:val="004C3276"/>
    <w:rsid w:val="004C32E1"/>
    <w:rsid w:val="004C33C2"/>
    <w:rsid w:val="004C35EB"/>
    <w:rsid w:val="004C3662"/>
    <w:rsid w:val="004C369D"/>
    <w:rsid w:val="004C36BF"/>
    <w:rsid w:val="004C36DC"/>
    <w:rsid w:val="004C3E1A"/>
    <w:rsid w:val="004C3F07"/>
    <w:rsid w:val="004C3FC2"/>
    <w:rsid w:val="004C3FFB"/>
    <w:rsid w:val="004C4077"/>
    <w:rsid w:val="004C4161"/>
    <w:rsid w:val="004C4185"/>
    <w:rsid w:val="004C43F8"/>
    <w:rsid w:val="004C440E"/>
    <w:rsid w:val="004C47CC"/>
    <w:rsid w:val="004C4810"/>
    <w:rsid w:val="004C4A9A"/>
    <w:rsid w:val="004C4D0B"/>
    <w:rsid w:val="004C4E76"/>
    <w:rsid w:val="004C4F88"/>
    <w:rsid w:val="004C50B3"/>
    <w:rsid w:val="004C522A"/>
    <w:rsid w:val="004C523F"/>
    <w:rsid w:val="004C526A"/>
    <w:rsid w:val="004C54FE"/>
    <w:rsid w:val="004C5502"/>
    <w:rsid w:val="004C554B"/>
    <w:rsid w:val="004C56C6"/>
    <w:rsid w:val="004C5D0F"/>
    <w:rsid w:val="004C5F7A"/>
    <w:rsid w:val="004C6004"/>
    <w:rsid w:val="004C6184"/>
    <w:rsid w:val="004C6212"/>
    <w:rsid w:val="004C6443"/>
    <w:rsid w:val="004C64DD"/>
    <w:rsid w:val="004C653F"/>
    <w:rsid w:val="004C6759"/>
    <w:rsid w:val="004C68A1"/>
    <w:rsid w:val="004C68BB"/>
    <w:rsid w:val="004C6B2C"/>
    <w:rsid w:val="004C6BD6"/>
    <w:rsid w:val="004C6F87"/>
    <w:rsid w:val="004C72AD"/>
    <w:rsid w:val="004C7463"/>
    <w:rsid w:val="004C75B4"/>
    <w:rsid w:val="004C77E0"/>
    <w:rsid w:val="004C78B6"/>
    <w:rsid w:val="004C7A29"/>
    <w:rsid w:val="004C7F0D"/>
    <w:rsid w:val="004C7F1F"/>
    <w:rsid w:val="004D01AC"/>
    <w:rsid w:val="004D033B"/>
    <w:rsid w:val="004D073A"/>
    <w:rsid w:val="004D07DC"/>
    <w:rsid w:val="004D0973"/>
    <w:rsid w:val="004D1045"/>
    <w:rsid w:val="004D1207"/>
    <w:rsid w:val="004D1317"/>
    <w:rsid w:val="004D170F"/>
    <w:rsid w:val="004D1785"/>
    <w:rsid w:val="004D199A"/>
    <w:rsid w:val="004D19EE"/>
    <w:rsid w:val="004D1B04"/>
    <w:rsid w:val="004D1CD2"/>
    <w:rsid w:val="004D2336"/>
    <w:rsid w:val="004D251A"/>
    <w:rsid w:val="004D2733"/>
    <w:rsid w:val="004D2829"/>
    <w:rsid w:val="004D288E"/>
    <w:rsid w:val="004D2909"/>
    <w:rsid w:val="004D2A19"/>
    <w:rsid w:val="004D2D43"/>
    <w:rsid w:val="004D2DFE"/>
    <w:rsid w:val="004D2EDD"/>
    <w:rsid w:val="004D2F8C"/>
    <w:rsid w:val="004D3160"/>
    <w:rsid w:val="004D33F1"/>
    <w:rsid w:val="004D3518"/>
    <w:rsid w:val="004D35DF"/>
    <w:rsid w:val="004D398D"/>
    <w:rsid w:val="004D3C89"/>
    <w:rsid w:val="004D3E51"/>
    <w:rsid w:val="004D401F"/>
    <w:rsid w:val="004D403D"/>
    <w:rsid w:val="004D4134"/>
    <w:rsid w:val="004D4338"/>
    <w:rsid w:val="004D438A"/>
    <w:rsid w:val="004D443C"/>
    <w:rsid w:val="004D46AC"/>
    <w:rsid w:val="004D495E"/>
    <w:rsid w:val="004D4C75"/>
    <w:rsid w:val="004D4EEC"/>
    <w:rsid w:val="004D4F38"/>
    <w:rsid w:val="004D51E8"/>
    <w:rsid w:val="004D525A"/>
    <w:rsid w:val="004D565D"/>
    <w:rsid w:val="004D5938"/>
    <w:rsid w:val="004D5DFF"/>
    <w:rsid w:val="004D601A"/>
    <w:rsid w:val="004D60CB"/>
    <w:rsid w:val="004D6290"/>
    <w:rsid w:val="004D62D6"/>
    <w:rsid w:val="004D636A"/>
    <w:rsid w:val="004D67A3"/>
    <w:rsid w:val="004D67EF"/>
    <w:rsid w:val="004D6898"/>
    <w:rsid w:val="004D6C50"/>
    <w:rsid w:val="004D767E"/>
    <w:rsid w:val="004D7778"/>
    <w:rsid w:val="004D7919"/>
    <w:rsid w:val="004D7D0A"/>
    <w:rsid w:val="004D7EF3"/>
    <w:rsid w:val="004E0306"/>
    <w:rsid w:val="004E0327"/>
    <w:rsid w:val="004E061C"/>
    <w:rsid w:val="004E08A3"/>
    <w:rsid w:val="004E0C22"/>
    <w:rsid w:val="004E1558"/>
    <w:rsid w:val="004E1585"/>
    <w:rsid w:val="004E15BE"/>
    <w:rsid w:val="004E1664"/>
    <w:rsid w:val="004E1736"/>
    <w:rsid w:val="004E1794"/>
    <w:rsid w:val="004E1ACE"/>
    <w:rsid w:val="004E1BC3"/>
    <w:rsid w:val="004E1CA8"/>
    <w:rsid w:val="004E1D6E"/>
    <w:rsid w:val="004E1E0C"/>
    <w:rsid w:val="004E1F32"/>
    <w:rsid w:val="004E2540"/>
    <w:rsid w:val="004E2631"/>
    <w:rsid w:val="004E27B6"/>
    <w:rsid w:val="004E2AE5"/>
    <w:rsid w:val="004E2AFF"/>
    <w:rsid w:val="004E2B83"/>
    <w:rsid w:val="004E2CE9"/>
    <w:rsid w:val="004E2D68"/>
    <w:rsid w:val="004E2E83"/>
    <w:rsid w:val="004E2FC9"/>
    <w:rsid w:val="004E301A"/>
    <w:rsid w:val="004E359E"/>
    <w:rsid w:val="004E3690"/>
    <w:rsid w:val="004E38AB"/>
    <w:rsid w:val="004E38C5"/>
    <w:rsid w:val="004E3A3A"/>
    <w:rsid w:val="004E3D0A"/>
    <w:rsid w:val="004E3E65"/>
    <w:rsid w:val="004E3F64"/>
    <w:rsid w:val="004E4219"/>
    <w:rsid w:val="004E44B8"/>
    <w:rsid w:val="004E46AC"/>
    <w:rsid w:val="004E4772"/>
    <w:rsid w:val="004E47E8"/>
    <w:rsid w:val="004E48CF"/>
    <w:rsid w:val="004E4ABD"/>
    <w:rsid w:val="004E4C40"/>
    <w:rsid w:val="004E4CDF"/>
    <w:rsid w:val="004E4D51"/>
    <w:rsid w:val="004E4DDE"/>
    <w:rsid w:val="004E533A"/>
    <w:rsid w:val="004E551D"/>
    <w:rsid w:val="004E558A"/>
    <w:rsid w:val="004E558C"/>
    <w:rsid w:val="004E57AE"/>
    <w:rsid w:val="004E5A05"/>
    <w:rsid w:val="004E5CDB"/>
    <w:rsid w:val="004E5D83"/>
    <w:rsid w:val="004E6160"/>
    <w:rsid w:val="004E6606"/>
    <w:rsid w:val="004E67AA"/>
    <w:rsid w:val="004E6922"/>
    <w:rsid w:val="004E6BFB"/>
    <w:rsid w:val="004E7353"/>
    <w:rsid w:val="004E75A5"/>
    <w:rsid w:val="004E7739"/>
    <w:rsid w:val="004E7888"/>
    <w:rsid w:val="004E79D4"/>
    <w:rsid w:val="004E7B8B"/>
    <w:rsid w:val="004E7BFA"/>
    <w:rsid w:val="004E7BFD"/>
    <w:rsid w:val="004E7CB8"/>
    <w:rsid w:val="004E7E01"/>
    <w:rsid w:val="004F0419"/>
    <w:rsid w:val="004F0526"/>
    <w:rsid w:val="004F058E"/>
    <w:rsid w:val="004F063F"/>
    <w:rsid w:val="004F0700"/>
    <w:rsid w:val="004F0850"/>
    <w:rsid w:val="004F093B"/>
    <w:rsid w:val="004F09AB"/>
    <w:rsid w:val="004F0ACB"/>
    <w:rsid w:val="004F0C9C"/>
    <w:rsid w:val="004F10C6"/>
    <w:rsid w:val="004F1230"/>
    <w:rsid w:val="004F12A7"/>
    <w:rsid w:val="004F16D9"/>
    <w:rsid w:val="004F16E5"/>
    <w:rsid w:val="004F16F2"/>
    <w:rsid w:val="004F184E"/>
    <w:rsid w:val="004F1A17"/>
    <w:rsid w:val="004F1C93"/>
    <w:rsid w:val="004F1D4F"/>
    <w:rsid w:val="004F2019"/>
    <w:rsid w:val="004F26B0"/>
    <w:rsid w:val="004F270E"/>
    <w:rsid w:val="004F27D6"/>
    <w:rsid w:val="004F2CE1"/>
    <w:rsid w:val="004F2DFC"/>
    <w:rsid w:val="004F2E32"/>
    <w:rsid w:val="004F2E7B"/>
    <w:rsid w:val="004F2EFA"/>
    <w:rsid w:val="004F30CE"/>
    <w:rsid w:val="004F3331"/>
    <w:rsid w:val="004F342A"/>
    <w:rsid w:val="004F361D"/>
    <w:rsid w:val="004F3716"/>
    <w:rsid w:val="004F3853"/>
    <w:rsid w:val="004F3A83"/>
    <w:rsid w:val="004F3B3B"/>
    <w:rsid w:val="004F3B41"/>
    <w:rsid w:val="004F3BB7"/>
    <w:rsid w:val="004F3D0E"/>
    <w:rsid w:val="004F3D93"/>
    <w:rsid w:val="004F3DC5"/>
    <w:rsid w:val="004F3F4E"/>
    <w:rsid w:val="004F3F7C"/>
    <w:rsid w:val="004F4023"/>
    <w:rsid w:val="004F40A9"/>
    <w:rsid w:val="004F4197"/>
    <w:rsid w:val="004F424F"/>
    <w:rsid w:val="004F427E"/>
    <w:rsid w:val="004F42EC"/>
    <w:rsid w:val="004F4967"/>
    <w:rsid w:val="004F497E"/>
    <w:rsid w:val="004F49E3"/>
    <w:rsid w:val="004F4C02"/>
    <w:rsid w:val="004F5097"/>
    <w:rsid w:val="004F5355"/>
    <w:rsid w:val="004F542A"/>
    <w:rsid w:val="004F550B"/>
    <w:rsid w:val="004F556B"/>
    <w:rsid w:val="004F57BD"/>
    <w:rsid w:val="004F5F35"/>
    <w:rsid w:val="004F6281"/>
    <w:rsid w:val="004F66A0"/>
    <w:rsid w:val="004F68F6"/>
    <w:rsid w:val="004F6B59"/>
    <w:rsid w:val="004F6DA5"/>
    <w:rsid w:val="004F70F7"/>
    <w:rsid w:val="004F73F4"/>
    <w:rsid w:val="004F74A4"/>
    <w:rsid w:val="004F755F"/>
    <w:rsid w:val="004F7832"/>
    <w:rsid w:val="004F7B5F"/>
    <w:rsid w:val="004F7BB5"/>
    <w:rsid w:val="004F7D80"/>
    <w:rsid w:val="0050003E"/>
    <w:rsid w:val="0050025A"/>
    <w:rsid w:val="005003EE"/>
    <w:rsid w:val="005003FF"/>
    <w:rsid w:val="0050048E"/>
    <w:rsid w:val="005004F0"/>
    <w:rsid w:val="005004F3"/>
    <w:rsid w:val="0050055A"/>
    <w:rsid w:val="005005B7"/>
    <w:rsid w:val="005005DC"/>
    <w:rsid w:val="00500615"/>
    <w:rsid w:val="00500661"/>
    <w:rsid w:val="00500DEC"/>
    <w:rsid w:val="00500EEB"/>
    <w:rsid w:val="00500F4F"/>
    <w:rsid w:val="005010BF"/>
    <w:rsid w:val="00501135"/>
    <w:rsid w:val="00501191"/>
    <w:rsid w:val="0050144F"/>
    <w:rsid w:val="00501788"/>
    <w:rsid w:val="00501A8A"/>
    <w:rsid w:val="00501DA9"/>
    <w:rsid w:val="0050208C"/>
    <w:rsid w:val="00502149"/>
    <w:rsid w:val="00502178"/>
    <w:rsid w:val="005025EB"/>
    <w:rsid w:val="005027B9"/>
    <w:rsid w:val="00502B08"/>
    <w:rsid w:val="00502D91"/>
    <w:rsid w:val="00503323"/>
    <w:rsid w:val="00503374"/>
    <w:rsid w:val="00503397"/>
    <w:rsid w:val="0050345C"/>
    <w:rsid w:val="005035A9"/>
    <w:rsid w:val="0050378F"/>
    <w:rsid w:val="0050379C"/>
    <w:rsid w:val="005038C6"/>
    <w:rsid w:val="00503913"/>
    <w:rsid w:val="00503AEA"/>
    <w:rsid w:val="00503BA5"/>
    <w:rsid w:val="00503BCD"/>
    <w:rsid w:val="00503C4D"/>
    <w:rsid w:val="00503CDD"/>
    <w:rsid w:val="00503D1C"/>
    <w:rsid w:val="00503F60"/>
    <w:rsid w:val="00503F71"/>
    <w:rsid w:val="005043D1"/>
    <w:rsid w:val="005045E4"/>
    <w:rsid w:val="005046D2"/>
    <w:rsid w:val="00504783"/>
    <w:rsid w:val="00504978"/>
    <w:rsid w:val="00504A75"/>
    <w:rsid w:val="00504BEF"/>
    <w:rsid w:val="00504C08"/>
    <w:rsid w:val="0050521F"/>
    <w:rsid w:val="00505441"/>
    <w:rsid w:val="00505458"/>
    <w:rsid w:val="0050582B"/>
    <w:rsid w:val="00505A28"/>
    <w:rsid w:val="00505C7E"/>
    <w:rsid w:val="00505D86"/>
    <w:rsid w:val="00505E3B"/>
    <w:rsid w:val="00506113"/>
    <w:rsid w:val="005061D2"/>
    <w:rsid w:val="0050660B"/>
    <w:rsid w:val="00506687"/>
    <w:rsid w:val="005069F5"/>
    <w:rsid w:val="00506BF0"/>
    <w:rsid w:val="00506CD8"/>
    <w:rsid w:val="00506DE6"/>
    <w:rsid w:val="00506E82"/>
    <w:rsid w:val="00507223"/>
    <w:rsid w:val="00507855"/>
    <w:rsid w:val="00507933"/>
    <w:rsid w:val="005079B2"/>
    <w:rsid w:val="00507B4C"/>
    <w:rsid w:val="00507B78"/>
    <w:rsid w:val="00507E11"/>
    <w:rsid w:val="00510167"/>
    <w:rsid w:val="005104C0"/>
    <w:rsid w:val="005105D7"/>
    <w:rsid w:val="00510A05"/>
    <w:rsid w:val="00510A77"/>
    <w:rsid w:val="00510B95"/>
    <w:rsid w:val="00510BE1"/>
    <w:rsid w:val="00510BEC"/>
    <w:rsid w:val="00510C03"/>
    <w:rsid w:val="0051120C"/>
    <w:rsid w:val="00511418"/>
    <w:rsid w:val="005115A1"/>
    <w:rsid w:val="00511605"/>
    <w:rsid w:val="005116E1"/>
    <w:rsid w:val="005117C8"/>
    <w:rsid w:val="005119E5"/>
    <w:rsid w:val="00511AD0"/>
    <w:rsid w:val="00511CB5"/>
    <w:rsid w:val="00511D5C"/>
    <w:rsid w:val="00511D75"/>
    <w:rsid w:val="00511E12"/>
    <w:rsid w:val="00511E29"/>
    <w:rsid w:val="005122A5"/>
    <w:rsid w:val="0051289D"/>
    <w:rsid w:val="00512AF7"/>
    <w:rsid w:val="00512BA3"/>
    <w:rsid w:val="005130C7"/>
    <w:rsid w:val="005130F6"/>
    <w:rsid w:val="00513165"/>
    <w:rsid w:val="00513243"/>
    <w:rsid w:val="00513251"/>
    <w:rsid w:val="00513285"/>
    <w:rsid w:val="005132E3"/>
    <w:rsid w:val="005133B2"/>
    <w:rsid w:val="00513413"/>
    <w:rsid w:val="00513415"/>
    <w:rsid w:val="00513486"/>
    <w:rsid w:val="005135DF"/>
    <w:rsid w:val="0051375F"/>
    <w:rsid w:val="00513AB1"/>
    <w:rsid w:val="00513BA6"/>
    <w:rsid w:val="00513E12"/>
    <w:rsid w:val="00513E86"/>
    <w:rsid w:val="00513E8B"/>
    <w:rsid w:val="0051437D"/>
    <w:rsid w:val="0051438E"/>
    <w:rsid w:val="005143D7"/>
    <w:rsid w:val="00514514"/>
    <w:rsid w:val="00514703"/>
    <w:rsid w:val="005147B8"/>
    <w:rsid w:val="005147D6"/>
    <w:rsid w:val="00514AFE"/>
    <w:rsid w:val="00514EDE"/>
    <w:rsid w:val="00514F44"/>
    <w:rsid w:val="005151B6"/>
    <w:rsid w:val="00515389"/>
    <w:rsid w:val="005155BD"/>
    <w:rsid w:val="0051569D"/>
    <w:rsid w:val="005156A9"/>
    <w:rsid w:val="0051577B"/>
    <w:rsid w:val="005157C5"/>
    <w:rsid w:val="005158A0"/>
    <w:rsid w:val="00515958"/>
    <w:rsid w:val="005159CA"/>
    <w:rsid w:val="005159F2"/>
    <w:rsid w:val="00515E33"/>
    <w:rsid w:val="00516749"/>
    <w:rsid w:val="0051694B"/>
    <w:rsid w:val="00516B5C"/>
    <w:rsid w:val="00516D64"/>
    <w:rsid w:val="00516DB6"/>
    <w:rsid w:val="00516E0F"/>
    <w:rsid w:val="00516F00"/>
    <w:rsid w:val="00516F9D"/>
    <w:rsid w:val="005170A7"/>
    <w:rsid w:val="00517122"/>
    <w:rsid w:val="0051714B"/>
    <w:rsid w:val="005171B6"/>
    <w:rsid w:val="005172E2"/>
    <w:rsid w:val="005173F3"/>
    <w:rsid w:val="0051746F"/>
    <w:rsid w:val="00517645"/>
    <w:rsid w:val="005179DD"/>
    <w:rsid w:val="00517A75"/>
    <w:rsid w:val="00517BAD"/>
    <w:rsid w:val="00517BC7"/>
    <w:rsid w:val="00517BCE"/>
    <w:rsid w:val="00517E81"/>
    <w:rsid w:val="00517EFF"/>
    <w:rsid w:val="00520006"/>
    <w:rsid w:val="00520366"/>
    <w:rsid w:val="00520532"/>
    <w:rsid w:val="0052059C"/>
    <w:rsid w:val="0052066E"/>
    <w:rsid w:val="00520A90"/>
    <w:rsid w:val="00520C33"/>
    <w:rsid w:val="00520CC1"/>
    <w:rsid w:val="00520D8D"/>
    <w:rsid w:val="00521189"/>
    <w:rsid w:val="00521660"/>
    <w:rsid w:val="0052168A"/>
    <w:rsid w:val="0052173C"/>
    <w:rsid w:val="0052178F"/>
    <w:rsid w:val="00521BA5"/>
    <w:rsid w:val="00521CA8"/>
    <w:rsid w:val="00521E06"/>
    <w:rsid w:val="00522055"/>
    <w:rsid w:val="00522455"/>
    <w:rsid w:val="005226C1"/>
    <w:rsid w:val="00522A68"/>
    <w:rsid w:val="00522ABF"/>
    <w:rsid w:val="00522D67"/>
    <w:rsid w:val="00522E56"/>
    <w:rsid w:val="00522EC1"/>
    <w:rsid w:val="00522EF9"/>
    <w:rsid w:val="00522F1A"/>
    <w:rsid w:val="00522FA5"/>
    <w:rsid w:val="005230E5"/>
    <w:rsid w:val="005232D2"/>
    <w:rsid w:val="0052340B"/>
    <w:rsid w:val="0052350D"/>
    <w:rsid w:val="005238A8"/>
    <w:rsid w:val="0052395E"/>
    <w:rsid w:val="00523A4D"/>
    <w:rsid w:val="00523C03"/>
    <w:rsid w:val="00523C40"/>
    <w:rsid w:val="00523DC5"/>
    <w:rsid w:val="00523DF6"/>
    <w:rsid w:val="00523E77"/>
    <w:rsid w:val="00523E81"/>
    <w:rsid w:val="0052426E"/>
    <w:rsid w:val="0052440F"/>
    <w:rsid w:val="00524491"/>
    <w:rsid w:val="005250DA"/>
    <w:rsid w:val="0052513B"/>
    <w:rsid w:val="0052517E"/>
    <w:rsid w:val="00525970"/>
    <w:rsid w:val="00525A1D"/>
    <w:rsid w:val="00525A68"/>
    <w:rsid w:val="00525D45"/>
    <w:rsid w:val="00525D90"/>
    <w:rsid w:val="00525F38"/>
    <w:rsid w:val="00526238"/>
    <w:rsid w:val="0052632B"/>
    <w:rsid w:val="0052635B"/>
    <w:rsid w:val="00526501"/>
    <w:rsid w:val="00526646"/>
    <w:rsid w:val="0052686B"/>
    <w:rsid w:val="00526C57"/>
    <w:rsid w:val="00526CEC"/>
    <w:rsid w:val="00526DA9"/>
    <w:rsid w:val="00526DF8"/>
    <w:rsid w:val="00526E2E"/>
    <w:rsid w:val="0052712F"/>
    <w:rsid w:val="00527224"/>
    <w:rsid w:val="00527267"/>
    <w:rsid w:val="00527341"/>
    <w:rsid w:val="00527441"/>
    <w:rsid w:val="00527498"/>
    <w:rsid w:val="00527864"/>
    <w:rsid w:val="005301C4"/>
    <w:rsid w:val="00530488"/>
    <w:rsid w:val="005304A5"/>
    <w:rsid w:val="005304C5"/>
    <w:rsid w:val="0053062A"/>
    <w:rsid w:val="005306A2"/>
    <w:rsid w:val="0053074A"/>
    <w:rsid w:val="005309DE"/>
    <w:rsid w:val="00530ABA"/>
    <w:rsid w:val="00530C6D"/>
    <w:rsid w:val="00530CD2"/>
    <w:rsid w:val="00530DB8"/>
    <w:rsid w:val="00530EB9"/>
    <w:rsid w:val="00530F00"/>
    <w:rsid w:val="00531291"/>
    <w:rsid w:val="0053142D"/>
    <w:rsid w:val="005315E5"/>
    <w:rsid w:val="00531717"/>
    <w:rsid w:val="00531D86"/>
    <w:rsid w:val="00532195"/>
    <w:rsid w:val="0053225B"/>
    <w:rsid w:val="005322A3"/>
    <w:rsid w:val="0053257B"/>
    <w:rsid w:val="005325EE"/>
    <w:rsid w:val="0053265E"/>
    <w:rsid w:val="0053265F"/>
    <w:rsid w:val="00532742"/>
    <w:rsid w:val="00532CEE"/>
    <w:rsid w:val="00532D68"/>
    <w:rsid w:val="00532DA3"/>
    <w:rsid w:val="00532E67"/>
    <w:rsid w:val="00533220"/>
    <w:rsid w:val="005334D5"/>
    <w:rsid w:val="00533701"/>
    <w:rsid w:val="00533A09"/>
    <w:rsid w:val="00533C85"/>
    <w:rsid w:val="00533F0D"/>
    <w:rsid w:val="0053405F"/>
    <w:rsid w:val="00534085"/>
    <w:rsid w:val="0053416C"/>
    <w:rsid w:val="0053437E"/>
    <w:rsid w:val="0053480B"/>
    <w:rsid w:val="0053499F"/>
    <w:rsid w:val="00534B4E"/>
    <w:rsid w:val="00534DA1"/>
    <w:rsid w:val="005351C2"/>
    <w:rsid w:val="00535270"/>
    <w:rsid w:val="005353BF"/>
    <w:rsid w:val="005355B6"/>
    <w:rsid w:val="005357E9"/>
    <w:rsid w:val="00535C9F"/>
    <w:rsid w:val="0053628C"/>
    <w:rsid w:val="005362E1"/>
    <w:rsid w:val="005363E7"/>
    <w:rsid w:val="00536652"/>
    <w:rsid w:val="00536659"/>
    <w:rsid w:val="005369AC"/>
    <w:rsid w:val="00536AF3"/>
    <w:rsid w:val="00536B90"/>
    <w:rsid w:val="00536BBD"/>
    <w:rsid w:val="00536D72"/>
    <w:rsid w:val="00536E5E"/>
    <w:rsid w:val="00537053"/>
    <w:rsid w:val="00537515"/>
    <w:rsid w:val="005375DA"/>
    <w:rsid w:val="00537659"/>
    <w:rsid w:val="005377F4"/>
    <w:rsid w:val="00537AD7"/>
    <w:rsid w:val="00537D8B"/>
    <w:rsid w:val="00537E3C"/>
    <w:rsid w:val="00537EFC"/>
    <w:rsid w:val="00537F54"/>
    <w:rsid w:val="00540023"/>
    <w:rsid w:val="005401A7"/>
    <w:rsid w:val="00540394"/>
    <w:rsid w:val="005403D7"/>
    <w:rsid w:val="00540406"/>
    <w:rsid w:val="005406E3"/>
    <w:rsid w:val="005406F6"/>
    <w:rsid w:val="00540B0E"/>
    <w:rsid w:val="00540C2E"/>
    <w:rsid w:val="00540C85"/>
    <w:rsid w:val="00540EC8"/>
    <w:rsid w:val="0054148E"/>
    <w:rsid w:val="00541567"/>
    <w:rsid w:val="00541579"/>
    <w:rsid w:val="005416D7"/>
    <w:rsid w:val="0054190B"/>
    <w:rsid w:val="005419A1"/>
    <w:rsid w:val="00541C0A"/>
    <w:rsid w:val="00541C2F"/>
    <w:rsid w:val="00541D80"/>
    <w:rsid w:val="00541D9C"/>
    <w:rsid w:val="00541ED4"/>
    <w:rsid w:val="00541F36"/>
    <w:rsid w:val="00542050"/>
    <w:rsid w:val="00542062"/>
    <w:rsid w:val="00542768"/>
    <w:rsid w:val="00542BD3"/>
    <w:rsid w:val="00542CFB"/>
    <w:rsid w:val="00542D27"/>
    <w:rsid w:val="00542D33"/>
    <w:rsid w:val="005433D1"/>
    <w:rsid w:val="005434F3"/>
    <w:rsid w:val="00543781"/>
    <w:rsid w:val="005437E4"/>
    <w:rsid w:val="00543A59"/>
    <w:rsid w:val="00543AE0"/>
    <w:rsid w:val="00543E1D"/>
    <w:rsid w:val="00544115"/>
    <w:rsid w:val="005443C5"/>
    <w:rsid w:val="005444BE"/>
    <w:rsid w:val="005445E7"/>
    <w:rsid w:val="005446BB"/>
    <w:rsid w:val="005447E0"/>
    <w:rsid w:val="00544819"/>
    <w:rsid w:val="00544BEB"/>
    <w:rsid w:val="00544F06"/>
    <w:rsid w:val="00545014"/>
    <w:rsid w:val="005450D9"/>
    <w:rsid w:val="005459E0"/>
    <w:rsid w:val="00545ABC"/>
    <w:rsid w:val="00545BD2"/>
    <w:rsid w:val="00545DE3"/>
    <w:rsid w:val="0054606A"/>
    <w:rsid w:val="005462DB"/>
    <w:rsid w:val="0054637A"/>
    <w:rsid w:val="00546BA9"/>
    <w:rsid w:val="00546F09"/>
    <w:rsid w:val="00546F6A"/>
    <w:rsid w:val="00547285"/>
    <w:rsid w:val="005475F1"/>
    <w:rsid w:val="00547693"/>
    <w:rsid w:val="00547930"/>
    <w:rsid w:val="00547A2E"/>
    <w:rsid w:val="00547A71"/>
    <w:rsid w:val="00547C5C"/>
    <w:rsid w:val="00547FDC"/>
    <w:rsid w:val="00550414"/>
    <w:rsid w:val="00550631"/>
    <w:rsid w:val="00550909"/>
    <w:rsid w:val="00550B82"/>
    <w:rsid w:val="00550C7B"/>
    <w:rsid w:val="00550F63"/>
    <w:rsid w:val="00551B72"/>
    <w:rsid w:val="00551C59"/>
    <w:rsid w:val="00551F21"/>
    <w:rsid w:val="005520CF"/>
    <w:rsid w:val="005521D5"/>
    <w:rsid w:val="005521E0"/>
    <w:rsid w:val="00552789"/>
    <w:rsid w:val="00552BB2"/>
    <w:rsid w:val="00552DE4"/>
    <w:rsid w:val="00552E4C"/>
    <w:rsid w:val="00552F74"/>
    <w:rsid w:val="00553097"/>
    <w:rsid w:val="00553405"/>
    <w:rsid w:val="00553578"/>
    <w:rsid w:val="0055360A"/>
    <w:rsid w:val="005536B0"/>
    <w:rsid w:val="00553719"/>
    <w:rsid w:val="00553818"/>
    <w:rsid w:val="0055397B"/>
    <w:rsid w:val="005539BA"/>
    <w:rsid w:val="00553B05"/>
    <w:rsid w:val="00553C56"/>
    <w:rsid w:val="00553DD8"/>
    <w:rsid w:val="00553FF9"/>
    <w:rsid w:val="005542A6"/>
    <w:rsid w:val="00554450"/>
    <w:rsid w:val="00554587"/>
    <w:rsid w:val="005545C5"/>
    <w:rsid w:val="0055464B"/>
    <w:rsid w:val="00554746"/>
    <w:rsid w:val="005548D3"/>
    <w:rsid w:val="00554968"/>
    <w:rsid w:val="00554C7E"/>
    <w:rsid w:val="00554CB9"/>
    <w:rsid w:val="00554F00"/>
    <w:rsid w:val="00555154"/>
    <w:rsid w:val="00555679"/>
    <w:rsid w:val="005559D0"/>
    <w:rsid w:val="00555A07"/>
    <w:rsid w:val="00555AA1"/>
    <w:rsid w:val="00555B45"/>
    <w:rsid w:val="00555B7A"/>
    <w:rsid w:val="00555C0A"/>
    <w:rsid w:val="00555CB1"/>
    <w:rsid w:val="00555D85"/>
    <w:rsid w:val="00555DE8"/>
    <w:rsid w:val="005560D9"/>
    <w:rsid w:val="00556202"/>
    <w:rsid w:val="00556367"/>
    <w:rsid w:val="00556575"/>
    <w:rsid w:val="005565ED"/>
    <w:rsid w:val="0055662F"/>
    <w:rsid w:val="0055663E"/>
    <w:rsid w:val="00556868"/>
    <w:rsid w:val="0055686B"/>
    <w:rsid w:val="00556995"/>
    <w:rsid w:val="005569B1"/>
    <w:rsid w:val="00556B61"/>
    <w:rsid w:val="00556C11"/>
    <w:rsid w:val="00556C20"/>
    <w:rsid w:val="00556C90"/>
    <w:rsid w:val="00556CAF"/>
    <w:rsid w:val="00556DA7"/>
    <w:rsid w:val="00556F4F"/>
    <w:rsid w:val="00556F54"/>
    <w:rsid w:val="00557107"/>
    <w:rsid w:val="005572E3"/>
    <w:rsid w:val="00557325"/>
    <w:rsid w:val="005577D8"/>
    <w:rsid w:val="00557920"/>
    <w:rsid w:val="00557AD2"/>
    <w:rsid w:val="00557AEB"/>
    <w:rsid w:val="00557C39"/>
    <w:rsid w:val="00557CA9"/>
    <w:rsid w:val="00558F25"/>
    <w:rsid w:val="00560062"/>
    <w:rsid w:val="005600F1"/>
    <w:rsid w:val="005604C5"/>
    <w:rsid w:val="005604DF"/>
    <w:rsid w:val="00560535"/>
    <w:rsid w:val="005606DE"/>
    <w:rsid w:val="005607A8"/>
    <w:rsid w:val="005607DE"/>
    <w:rsid w:val="00560845"/>
    <w:rsid w:val="005608D4"/>
    <w:rsid w:val="00560D3A"/>
    <w:rsid w:val="00560DE0"/>
    <w:rsid w:val="00561243"/>
    <w:rsid w:val="0056150A"/>
    <w:rsid w:val="005615DF"/>
    <w:rsid w:val="005619BB"/>
    <w:rsid w:val="00561AFF"/>
    <w:rsid w:val="00561DBF"/>
    <w:rsid w:val="00561E57"/>
    <w:rsid w:val="00561F0E"/>
    <w:rsid w:val="00562484"/>
    <w:rsid w:val="005625FD"/>
    <w:rsid w:val="0056261C"/>
    <w:rsid w:val="0056296B"/>
    <w:rsid w:val="00562B05"/>
    <w:rsid w:val="00563516"/>
    <w:rsid w:val="00563527"/>
    <w:rsid w:val="00563E7A"/>
    <w:rsid w:val="00563F00"/>
    <w:rsid w:val="00564002"/>
    <w:rsid w:val="00564193"/>
    <w:rsid w:val="0056463F"/>
    <w:rsid w:val="0056493B"/>
    <w:rsid w:val="005649C3"/>
    <w:rsid w:val="00564D75"/>
    <w:rsid w:val="00564E29"/>
    <w:rsid w:val="00564E5B"/>
    <w:rsid w:val="00564F40"/>
    <w:rsid w:val="00565010"/>
    <w:rsid w:val="00565100"/>
    <w:rsid w:val="00565371"/>
    <w:rsid w:val="0056542C"/>
    <w:rsid w:val="00565484"/>
    <w:rsid w:val="00565542"/>
    <w:rsid w:val="005660DE"/>
    <w:rsid w:val="00566504"/>
    <w:rsid w:val="005665F9"/>
    <w:rsid w:val="00566746"/>
    <w:rsid w:val="005669E0"/>
    <w:rsid w:val="005671E4"/>
    <w:rsid w:val="0056729D"/>
    <w:rsid w:val="0056761A"/>
    <w:rsid w:val="005677A4"/>
    <w:rsid w:val="00567A49"/>
    <w:rsid w:val="00567BA9"/>
    <w:rsid w:val="00567DD4"/>
    <w:rsid w:val="00567EDA"/>
    <w:rsid w:val="00570118"/>
    <w:rsid w:val="0057023D"/>
    <w:rsid w:val="00570533"/>
    <w:rsid w:val="00570DD5"/>
    <w:rsid w:val="005710C3"/>
    <w:rsid w:val="005713A4"/>
    <w:rsid w:val="00571471"/>
    <w:rsid w:val="005716D9"/>
    <w:rsid w:val="00571748"/>
    <w:rsid w:val="00571A10"/>
    <w:rsid w:val="00571D22"/>
    <w:rsid w:val="00571E22"/>
    <w:rsid w:val="00571EF8"/>
    <w:rsid w:val="00571F3B"/>
    <w:rsid w:val="00571FB7"/>
    <w:rsid w:val="0057201C"/>
    <w:rsid w:val="0057205A"/>
    <w:rsid w:val="005726F0"/>
    <w:rsid w:val="00572912"/>
    <w:rsid w:val="00572C6F"/>
    <w:rsid w:val="00572DC2"/>
    <w:rsid w:val="00572FA6"/>
    <w:rsid w:val="00572FF5"/>
    <w:rsid w:val="00573723"/>
    <w:rsid w:val="005737D6"/>
    <w:rsid w:val="0057391E"/>
    <w:rsid w:val="00573C62"/>
    <w:rsid w:val="0057407A"/>
    <w:rsid w:val="0057409A"/>
    <w:rsid w:val="005741FB"/>
    <w:rsid w:val="0057438B"/>
    <w:rsid w:val="005743BC"/>
    <w:rsid w:val="00574657"/>
    <w:rsid w:val="005747A4"/>
    <w:rsid w:val="00574838"/>
    <w:rsid w:val="0057489B"/>
    <w:rsid w:val="005749A2"/>
    <w:rsid w:val="00574C21"/>
    <w:rsid w:val="00574E80"/>
    <w:rsid w:val="00574EA9"/>
    <w:rsid w:val="00575065"/>
    <w:rsid w:val="005750E4"/>
    <w:rsid w:val="00575145"/>
    <w:rsid w:val="0057525E"/>
    <w:rsid w:val="005752AB"/>
    <w:rsid w:val="005754CE"/>
    <w:rsid w:val="005755A6"/>
    <w:rsid w:val="00575776"/>
    <w:rsid w:val="005757AD"/>
    <w:rsid w:val="00575C3F"/>
    <w:rsid w:val="00575C87"/>
    <w:rsid w:val="00575D8D"/>
    <w:rsid w:val="00575E04"/>
    <w:rsid w:val="00575F42"/>
    <w:rsid w:val="00576382"/>
    <w:rsid w:val="00576797"/>
    <w:rsid w:val="00576981"/>
    <w:rsid w:val="00576C08"/>
    <w:rsid w:val="00577177"/>
    <w:rsid w:val="0057739B"/>
    <w:rsid w:val="005773C6"/>
    <w:rsid w:val="00577452"/>
    <w:rsid w:val="00577456"/>
    <w:rsid w:val="00577BE5"/>
    <w:rsid w:val="00577C9B"/>
    <w:rsid w:val="00577CA7"/>
    <w:rsid w:val="005800D0"/>
    <w:rsid w:val="0058027A"/>
    <w:rsid w:val="005807F5"/>
    <w:rsid w:val="00580863"/>
    <w:rsid w:val="00580C14"/>
    <w:rsid w:val="00580DB2"/>
    <w:rsid w:val="00580E78"/>
    <w:rsid w:val="00580FB6"/>
    <w:rsid w:val="00580FCD"/>
    <w:rsid w:val="00581094"/>
    <w:rsid w:val="005810E9"/>
    <w:rsid w:val="005811EF"/>
    <w:rsid w:val="0058124E"/>
    <w:rsid w:val="00581496"/>
    <w:rsid w:val="005814DC"/>
    <w:rsid w:val="00581515"/>
    <w:rsid w:val="0058193B"/>
    <w:rsid w:val="00581AB6"/>
    <w:rsid w:val="00581B64"/>
    <w:rsid w:val="00581D92"/>
    <w:rsid w:val="00581E00"/>
    <w:rsid w:val="00581E34"/>
    <w:rsid w:val="005823A4"/>
    <w:rsid w:val="005823B6"/>
    <w:rsid w:val="005823D4"/>
    <w:rsid w:val="00582486"/>
    <w:rsid w:val="005824F6"/>
    <w:rsid w:val="005825DE"/>
    <w:rsid w:val="0058287C"/>
    <w:rsid w:val="00582D1B"/>
    <w:rsid w:val="00582D2C"/>
    <w:rsid w:val="00582D7B"/>
    <w:rsid w:val="00582DD6"/>
    <w:rsid w:val="00582FF6"/>
    <w:rsid w:val="00583154"/>
    <w:rsid w:val="00583272"/>
    <w:rsid w:val="00583322"/>
    <w:rsid w:val="0058336F"/>
    <w:rsid w:val="00583597"/>
    <w:rsid w:val="00583642"/>
    <w:rsid w:val="00583ABF"/>
    <w:rsid w:val="00583D8F"/>
    <w:rsid w:val="00583E62"/>
    <w:rsid w:val="0058402D"/>
    <w:rsid w:val="005840CD"/>
    <w:rsid w:val="005840E1"/>
    <w:rsid w:val="005848A5"/>
    <w:rsid w:val="00584ED6"/>
    <w:rsid w:val="00584EDA"/>
    <w:rsid w:val="00585235"/>
    <w:rsid w:val="00585573"/>
    <w:rsid w:val="00585986"/>
    <w:rsid w:val="00585A4B"/>
    <w:rsid w:val="00585CD9"/>
    <w:rsid w:val="0058625D"/>
    <w:rsid w:val="00586303"/>
    <w:rsid w:val="00586314"/>
    <w:rsid w:val="00586871"/>
    <w:rsid w:val="00586A56"/>
    <w:rsid w:val="00586AC8"/>
    <w:rsid w:val="00586B54"/>
    <w:rsid w:val="00586B83"/>
    <w:rsid w:val="00586C6E"/>
    <w:rsid w:val="00586E23"/>
    <w:rsid w:val="0058711C"/>
    <w:rsid w:val="005872AC"/>
    <w:rsid w:val="005875A3"/>
    <w:rsid w:val="0058781E"/>
    <w:rsid w:val="00587987"/>
    <w:rsid w:val="005879B3"/>
    <w:rsid w:val="005879D3"/>
    <w:rsid w:val="00587BCE"/>
    <w:rsid w:val="00587D46"/>
    <w:rsid w:val="00587DD4"/>
    <w:rsid w:val="00587E2A"/>
    <w:rsid w:val="0059012D"/>
    <w:rsid w:val="0059017D"/>
    <w:rsid w:val="00590295"/>
    <w:rsid w:val="0059062B"/>
    <w:rsid w:val="00590CEC"/>
    <w:rsid w:val="00591022"/>
    <w:rsid w:val="00591187"/>
    <w:rsid w:val="005911B9"/>
    <w:rsid w:val="005911C1"/>
    <w:rsid w:val="00591240"/>
    <w:rsid w:val="005915B6"/>
    <w:rsid w:val="0059170B"/>
    <w:rsid w:val="00591732"/>
    <w:rsid w:val="00591AFD"/>
    <w:rsid w:val="00591BE6"/>
    <w:rsid w:val="00591C32"/>
    <w:rsid w:val="00591F7B"/>
    <w:rsid w:val="0059267A"/>
    <w:rsid w:val="0059271B"/>
    <w:rsid w:val="005928C5"/>
    <w:rsid w:val="005928EF"/>
    <w:rsid w:val="00592CCE"/>
    <w:rsid w:val="00593051"/>
    <w:rsid w:val="00593095"/>
    <w:rsid w:val="00593321"/>
    <w:rsid w:val="00593535"/>
    <w:rsid w:val="00593739"/>
    <w:rsid w:val="0059384A"/>
    <w:rsid w:val="00593A04"/>
    <w:rsid w:val="00593A0E"/>
    <w:rsid w:val="00593A2B"/>
    <w:rsid w:val="00593A86"/>
    <w:rsid w:val="00593AB5"/>
    <w:rsid w:val="00593B19"/>
    <w:rsid w:val="00593D0A"/>
    <w:rsid w:val="00593D15"/>
    <w:rsid w:val="00593E64"/>
    <w:rsid w:val="00594023"/>
    <w:rsid w:val="00594123"/>
    <w:rsid w:val="00594129"/>
    <w:rsid w:val="005947B7"/>
    <w:rsid w:val="00594CA7"/>
    <w:rsid w:val="00594D9B"/>
    <w:rsid w:val="00594F41"/>
    <w:rsid w:val="00594FB3"/>
    <w:rsid w:val="0059512F"/>
    <w:rsid w:val="005953AD"/>
    <w:rsid w:val="005953EA"/>
    <w:rsid w:val="005954D2"/>
    <w:rsid w:val="00595551"/>
    <w:rsid w:val="005955C5"/>
    <w:rsid w:val="00595724"/>
    <w:rsid w:val="005959A8"/>
    <w:rsid w:val="00595D4B"/>
    <w:rsid w:val="00595E2E"/>
    <w:rsid w:val="00596154"/>
    <w:rsid w:val="005962A9"/>
    <w:rsid w:val="00596681"/>
    <w:rsid w:val="005968FB"/>
    <w:rsid w:val="00596A88"/>
    <w:rsid w:val="00596B65"/>
    <w:rsid w:val="00596D0A"/>
    <w:rsid w:val="00596E1F"/>
    <w:rsid w:val="00597497"/>
    <w:rsid w:val="005976B2"/>
    <w:rsid w:val="0059777A"/>
    <w:rsid w:val="00597946"/>
    <w:rsid w:val="00597A39"/>
    <w:rsid w:val="00597A6F"/>
    <w:rsid w:val="00597C53"/>
    <w:rsid w:val="00597D45"/>
    <w:rsid w:val="00597E5A"/>
    <w:rsid w:val="00597EA6"/>
    <w:rsid w:val="00597FEA"/>
    <w:rsid w:val="005A0132"/>
    <w:rsid w:val="005A025B"/>
    <w:rsid w:val="005A046B"/>
    <w:rsid w:val="005A04E3"/>
    <w:rsid w:val="005A0605"/>
    <w:rsid w:val="005A08D2"/>
    <w:rsid w:val="005A0ACF"/>
    <w:rsid w:val="005A0E4A"/>
    <w:rsid w:val="005A0E6D"/>
    <w:rsid w:val="005A0F9A"/>
    <w:rsid w:val="005A0FDB"/>
    <w:rsid w:val="005A1074"/>
    <w:rsid w:val="005A13D5"/>
    <w:rsid w:val="005A14D1"/>
    <w:rsid w:val="005A14F2"/>
    <w:rsid w:val="005A1640"/>
    <w:rsid w:val="005A1ABA"/>
    <w:rsid w:val="005A1C2E"/>
    <w:rsid w:val="005A1DC6"/>
    <w:rsid w:val="005A2146"/>
    <w:rsid w:val="005A229C"/>
    <w:rsid w:val="005A248A"/>
    <w:rsid w:val="005A25D9"/>
    <w:rsid w:val="005A2975"/>
    <w:rsid w:val="005A2DD6"/>
    <w:rsid w:val="005A2E22"/>
    <w:rsid w:val="005A2FF4"/>
    <w:rsid w:val="005A301A"/>
    <w:rsid w:val="005A307A"/>
    <w:rsid w:val="005A3191"/>
    <w:rsid w:val="005A3299"/>
    <w:rsid w:val="005A335C"/>
    <w:rsid w:val="005A33B7"/>
    <w:rsid w:val="005A3416"/>
    <w:rsid w:val="005A350D"/>
    <w:rsid w:val="005A35C4"/>
    <w:rsid w:val="005A3668"/>
    <w:rsid w:val="005A3961"/>
    <w:rsid w:val="005A39C7"/>
    <w:rsid w:val="005A3A73"/>
    <w:rsid w:val="005A3CDA"/>
    <w:rsid w:val="005A3D57"/>
    <w:rsid w:val="005A3E16"/>
    <w:rsid w:val="005A3EB7"/>
    <w:rsid w:val="005A434C"/>
    <w:rsid w:val="005A451C"/>
    <w:rsid w:val="005A4834"/>
    <w:rsid w:val="005A48E2"/>
    <w:rsid w:val="005A4DFC"/>
    <w:rsid w:val="005A4E37"/>
    <w:rsid w:val="005A4E49"/>
    <w:rsid w:val="005A4F1D"/>
    <w:rsid w:val="005A53EC"/>
    <w:rsid w:val="005A53FB"/>
    <w:rsid w:val="005A601B"/>
    <w:rsid w:val="005A6060"/>
    <w:rsid w:val="005A6318"/>
    <w:rsid w:val="005A6325"/>
    <w:rsid w:val="005A638A"/>
    <w:rsid w:val="005A638D"/>
    <w:rsid w:val="005A6450"/>
    <w:rsid w:val="005A67B3"/>
    <w:rsid w:val="005A69F3"/>
    <w:rsid w:val="005A6F1F"/>
    <w:rsid w:val="005A702D"/>
    <w:rsid w:val="005A71CC"/>
    <w:rsid w:val="005A72A2"/>
    <w:rsid w:val="005A7406"/>
    <w:rsid w:val="005A769C"/>
    <w:rsid w:val="005A770B"/>
    <w:rsid w:val="005A7809"/>
    <w:rsid w:val="005A7885"/>
    <w:rsid w:val="005A7BB1"/>
    <w:rsid w:val="005A7DE2"/>
    <w:rsid w:val="005B0095"/>
    <w:rsid w:val="005B0163"/>
    <w:rsid w:val="005B02B7"/>
    <w:rsid w:val="005B0482"/>
    <w:rsid w:val="005B0814"/>
    <w:rsid w:val="005B0A1A"/>
    <w:rsid w:val="005B0A69"/>
    <w:rsid w:val="005B103E"/>
    <w:rsid w:val="005B1932"/>
    <w:rsid w:val="005B1B3B"/>
    <w:rsid w:val="005B1CCB"/>
    <w:rsid w:val="005B1F45"/>
    <w:rsid w:val="005B21A6"/>
    <w:rsid w:val="005B2243"/>
    <w:rsid w:val="005B2474"/>
    <w:rsid w:val="005B261E"/>
    <w:rsid w:val="005B275E"/>
    <w:rsid w:val="005B27FE"/>
    <w:rsid w:val="005B2CFE"/>
    <w:rsid w:val="005B2D0A"/>
    <w:rsid w:val="005B2D8F"/>
    <w:rsid w:val="005B2D98"/>
    <w:rsid w:val="005B2DD3"/>
    <w:rsid w:val="005B2F20"/>
    <w:rsid w:val="005B3133"/>
    <w:rsid w:val="005B3250"/>
    <w:rsid w:val="005B3593"/>
    <w:rsid w:val="005B35C4"/>
    <w:rsid w:val="005B35C8"/>
    <w:rsid w:val="005B389F"/>
    <w:rsid w:val="005B38D2"/>
    <w:rsid w:val="005B3A49"/>
    <w:rsid w:val="005B3B12"/>
    <w:rsid w:val="005B3DF5"/>
    <w:rsid w:val="005B3ECC"/>
    <w:rsid w:val="005B4092"/>
    <w:rsid w:val="005B4228"/>
    <w:rsid w:val="005B4267"/>
    <w:rsid w:val="005B42D8"/>
    <w:rsid w:val="005B43BB"/>
    <w:rsid w:val="005B45AC"/>
    <w:rsid w:val="005B4773"/>
    <w:rsid w:val="005B480E"/>
    <w:rsid w:val="005B4AB2"/>
    <w:rsid w:val="005B4DDE"/>
    <w:rsid w:val="005B5059"/>
    <w:rsid w:val="005B512A"/>
    <w:rsid w:val="005B5220"/>
    <w:rsid w:val="005B52DE"/>
    <w:rsid w:val="005B5485"/>
    <w:rsid w:val="005B5967"/>
    <w:rsid w:val="005B5E7A"/>
    <w:rsid w:val="005B6192"/>
    <w:rsid w:val="005B61E1"/>
    <w:rsid w:val="005B63A7"/>
    <w:rsid w:val="005B63BD"/>
    <w:rsid w:val="005B66B9"/>
    <w:rsid w:val="005B6784"/>
    <w:rsid w:val="005B6E33"/>
    <w:rsid w:val="005B6FFE"/>
    <w:rsid w:val="005B7197"/>
    <w:rsid w:val="005B71B4"/>
    <w:rsid w:val="005B7303"/>
    <w:rsid w:val="005B73E0"/>
    <w:rsid w:val="005B76DF"/>
    <w:rsid w:val="005B79CB"/>
    <w:rsid w:val="005B7DC9"/>
    <w:rsid w:val="005B7E26"/>
    <w:rsid w:val="005C0211"/>
    <w:rsid w:val="005C02C5"/>
    <w:rsid w:val="005C04F0"/>
    <w:rsid w:val="005C07D3"/>
    <w:rsid w:val="005C0837"/>
    <w:rsid w:val="005C0AEA"/>
    <w:rsid w:val="005C0BB8"/>
    <w:rsid w:val="005C0D75"/>
    <w:rsid w:val="005C0E41"/>
    <w:rsid w:val="005C0F9B"/>
    <w:rsid w:val="005C120E"/>
    <w:rsid w:val="005C12A8"/>
    <w:rsid w:val="005C16E7"/>
    <w:rsid w:val="005C18B1"/>
    <w:rsid w:val="005C18FE"/>
    <w:rsid w:val="005C1BC9"/>
    <w:rsid w:val="005C2153"/>
    <w:rsid w:val="005C2197"/>
    <w:rsid w:val="005C2679"/>
    <w:rsid w:val="005C26CE"/>
    <w:rsid w:val="005C2711"/>
    <w:rsid w:val="005C277A"/>
    <w:rsid w:val="005C29C9"/>
    <w:rsid w:val="005C2A36"/>
    <w:rsid w:val="005C2EF3"/>
    <w:rsid w:val="005C304B"/>
    <w:rsid w:val="005C3064"/>
    <w:rsid w:val="005C30D4"/>
    <w:rsid w:val="005C3394"/>
    <w:rsid w:val="005C3424"/>
    <w:rsid w:val="005C348E"/>
    <w:rsid w:val="005C3695"/>
    <w:rsid w:val="005C36F6"/>
    <w:rsid w:val="005C37AD"/>
    <w:rsid w:val="005C3855"/>
    <w:rsid w:val="005C38C3"/>
    <w:rsid w:val="005C38F8"/>
    <w:rsid w:val="005C3A95"/>
    <w:rsid w:val="005C3D11"/>
    <w:rsid w:val="005C3DA5"/>
    <w:rsid w:val="005C3F0F"/>
    <w:rsid w:val="005C3F6A"/>
    <w:rsid w:val="005C40C0"/>
    <w:rsid w:val="005C414C"/>
    <w:rsid w:val="005C42F3"/>
    <w:rsid w:val="005C43DC"/>
    <w:rsid w:val="005C44FF"/>
    <w:rsid w:val="005C46F7"/>
    <w:rsid w:val="005C4756"/>
    <w:rsid w:val="005C49C7"/>
    <w:rsid w:val="005C49C8"/>
    <w:rsid w:val="005C4D3B"/>
    <w:rsid w:val="005C4ED1"/>
    <w:rsid w:val="005C5155"/>
    <w:rsid w:val="005C5174"/>
    <w:rsid w:val="005C517B"/>
    <w:rsid w:val="005C5263"/>
    <w:rsid w:val="005C5292"/>
    <w:rsid w:val="005C52AB"/>
    <w:rsid w:val="005C52D6"/>
    <w:rsid w:val="005C53F1"/>
    <w:rsid w:val="005C5462"/>
    <w:rsid w:val="005C552D"/>
    <w:rsid w:val="005C59F3"/>
    <w:rsid w:val="005C5A22"/>
    <w:rsid w:val="005C5A90"/>
    <w:rsid w:val="005C5AF5"/>
    <w:rsid w:val="005C6258"/>
    <w:rsid w:val="005C679C"/>
    <w:rsid w:val="005C6B43"/>
    <w:rsid w:val="005C6BD8"/>
    <w:rsid w:val="005C6D4A"/>
    <w:rsid w:val="005C6D68"/>
    <w:rsid w:val="005C6E5B"/>
    <w:rsid w:val="005C70E2"/>
    <w:rsid w:val="005C72C2"/>
    <w:rsid w:val="005C734B"/>
    <w:rsid w:val="005C79C3"/>
    <w:rsid w:val="005C7A00"/>
    <w:rsid w:val="005C7B01"/>
    <w:rsid w:val="005C7BA0"/>
    <w:rsid w:val="005C7D0F"/>
    <w:rsid w:val="005C7E6E"/>
    <w:rsid w:val="005C7F83"/>
    <w:rsid w:val="005D029D"/>
    <w:rsid w:val="005D0367"/>
    <w:rsid w:val="005D044E"/>
    <w:rsid w:val="005D05B1"/>
    <w:rsid w:val="005D0C20"/>
    <w:rsid w:val="005D0D75"/>
    <w:rsid w:val="005D0DD0"/>
    <w:rsid w:val="005D0ED0"/>
    <w:rsid w:val="005D1051"/>
    <w:rsid w:val="005D11EC"/>
    <w:rsid w:val="005D157B"/>
    <w:rsid w:val="005D15C3"/>
    <w:rsid w:val="005D17B3"/>
    <w:rsid w:val="005D18F5"/>
    <w:rsid w:val="005D1A52"/>
    <w:rsid w:val="005D1AFF"/>
    <w:rsid w:val="005D1DCE"/>
    <w:rsid w:val="005D227E"/>
    <w:rsid w:val="005D26B8"/>
    <w:rsid w:val="005D26C5"/>
    <w:rsid w:val="005D2766"/>
    <w:rsid w:val="005D2839"/>
    <w:rsid w:val="005D290B"/>
    <w:rsid w:val="005D2FFF"/>
    <w:rsid w:val="005D31B7"/>
    <w:rsid w:val="005D39EC"/>
    <w:rsid w:val="005D3D40"/>
    <w:rsid w:val="005D41DE"/>
    <w:rsid w:val="005D4222"/>
    <w:rsid w:val="005D4321"/>
    <w:rsid w:val="005D43DC"/>
    <w:rsid w:val="005D4438"/>
    <w:rsid w:val="005D4516"/>
    <w:rsid w:val="005D46CA"/>
    <w:rsid w:val="005D4766"/>
    <w:rsid w:val="005D48AD"/>
    <w:rsid w:val="005D502F"/>
    <w:rsid w:val="005D5130"/>
    <w:rsid w:val="005D521C"/>
    <w:rsid w:val="005D5274"/>
    <w:rsid w:val="005D54E2"/>
    <w:rsid w:val="005D554E"/>
    <w:rsid w:val="005D57D1"/>
    <w:rsid w:val="005D580B"/>
    <w:rsid w:val="005D5F19"/>
    <w:rsid w:val="005D6102"/>
    <w:rsid w:val="005D6118"/>
    <w:rsid w:val="005D6250"/>
    <w:rsid w:val="005D632E"/>
    <w:rsid w:val="005D6355"/>
    <w:rsid w:val="005D63D3"/>
    <w:rsid w:val="005D64BF"/>
    <w:rsid w:val="005D65BA"/>
    <w:rsid w:val="005D68FE"/>
    <w:rsid w:val="005D6915"/>
    <w:rsid w:val="005D6B26"/>
    <w:rsid w:val="005D6BC7"/>
    <w:rsid w:val="005D70CE"/>
    <w:rsid w:val="005D7600"/>
    <w:rsid w:val="005D7B16"/>
    <w:rsid w:val="005D7D45"/>
    <w:rsid w:val="005D7EB7"/>
    <w:rsid w:val="005E03A4"/>
    <w:rsid w:val="005E04CF"/>
    <w:rsid w:val="005E0598"/>
    <w:rsid w:val="005E0899"/>
    <w:rsid w:val="005E08D7"/>
    <w:rsid w:val="005E098E"/>
    <w:rsid w:val="005E09D6"/>
    <w:rsid w:val="005E0A03"/>
    <w:rsid w:val="005E0AB3"/>
    <w:rsid w:val="005E1105"/>
    <w:rsid w:val="005E131A"/>
    <w:rsid w:val="005E135F"/>
    <w:rsid w:val="005E14CE"/>
    <w:rsid w:val="005E1513"/>
    <w:rsid w:val="005E166A"/>
    <w:rsid w:val="005E1B76"/>
    <w:rsid w:val="005E1EC1"/>
    <w:rsid w:val="005E1FFA"/>
    <w:rsid w:val="005E27B5"/>
    <w:rsid w:val="005E28E5"/>
    <w:rsid w:val="005E29E3"/>
    <w:rsid w:val="005E2B1C"/>
    <w:rsid w:val="005E2E06"/>
    <w:rsid w:val="005E2EA1"/>
    <w:rsid w:val="005E2F49"/>
    <w:rsid w:val="005E30C8"/>
    <w:rsid w:val="005E3588"/>
    <w:rsid w:val="005E35CF"/>
    <w:rsid w:val="005E377A"/>
    <w:rsid w:val="005E3857"/>
    <w:rsid w:val="005E3C4D"/>
    <w:rsid w:val="005E3E14"/>
    <w:rsid w:val="005E4281"/>
    <w:rsid w:val="005E429B"/>
    <w:rsid w:val="005E4A7A"/>
    <w:rsid w:val="005E4BCF"/>
    <w:rsid w:val="005E4C03"/>
    <w:rsid w:val="005E4C16"/>
    <w:rsid w:val="005E4F63"/>
    <w:rsid w:val="005E4FEA"/>
    <w:rsid w:val="005E5081"/>
    <w:rsid w:val="005E50B6"/>
    <w:rsid w:val="005E50D7"/>
    <w:rsid w:val="005E53A6"/>
    <w:rsid w:val="005E57E1"/>
    <w:rsid w:val="005E5947"/>
    <w:rsid w:val="005E5D98"/>
    <w:rsid w:val="005E5DFF"/>
    <w:rsid w:val="005E5E3D"/>
    <w:rsid w:val="005E623B"/>
    <w:rsid w:val="005E64FC"/>
    <w:rsid w:val="005E6513"/>
    <w:rsid w:val="005E685F"/>
    <w:rsid w:val="005E689B"/>
    <w:rsid w:val="005E68D7"/>
    <w:rsid w:val="005E6BE2"/>
    <w:rsid w:val="005E6C6D"/>
    <w:rsid w:val="005E7161"/>
    <w:rsid w:val="005E72C5"/>
    <w:rsid w:val="005E72DE"/>
    <w:rsid w:val="005E7A94"/>
    <w:rsid w:val="005E7B41"/>
    <w:rsid w:val="005E7DE4"/>
    <w:rsid w:val="005E7E76"/>
    <w:rsid w:val="005E7F81"/>
    <w:rsid w:val="005E7FB4"/>
    <w:rsid w:val="005F09A7"/>
    <w:rsid w:val="005F0AA8"/>
    <w:rsid w:val="005F0C40"/>
    <w:rsid w:val="005F0D5F"/>
    <w:rsid w:val="005F1473"/>
    <w:rsid w:val="005F14DC"/>
    <w:rsid w:val="005F1649"/>
    <w:rsid w:val="005F164C"/>
    <w:rsid w:val="005F1679"/>
    <w:rsid w:val="005F18D2"/>
    <w:rsid w:val="005F1A30"/>
    <w:rsid w:val="005F1A49"/>
    <w:rsid w:val="005F1E55"/>
    <w:rsid w:val="005F1EC7"/>
    <w:rsid w:val="005F1F0A"/>
    <w:rsid w:val="005F221E"/>
    <w:rsid w:val="005F2359"/>
    <w:rsid w:val="005F24DE"/>
    <w:rsid w:val="005F2604"/>
    <w:rsid w:val="005F2EBC"/>
    <w:rsid w:val="005F3061"/>
    <w:rsid w:val="005F30C7"/>
    <w:rsid w:val="005F3380"/>
    <w:rsid w:val="005F36B1"/>
    <w:rsid w:val="005F3830"/>
    <w:rsid w:val="005F3862"/>
    <w:rsid w:val="005F38FC"/>
    <w:rsid w:val="005F39CB"/>
    <w:rsid w:val="005F3CFF"/>
    <w:rsid w:val="005F3E71"/>
    <w:rsid w:val="005F3E80"/>
    <w:rsid w:val="005F4062"/>
    <w:rsid w:val="005F4672"/>
    <w:rsid w:val="005F4697"/>
    <w:rsid w:val="005F4716"/>
    <w:rsid w:val="005F48D9"/>
    <w:rsid w:val="005F4991"/>
    <w:rsid w:val="005F4A75"/>
    <w:rsid w:val="005F4B93"/>
    <w:rsid w:val="005F4BC9"/>
    <w:rsid w:val="005F4C13"/>
    <w:rsid w:val="005F543D"/>
    <w:rsid w:val="005F54EA"/>
    <w:rsid w:val="005F5702"/>
    <w:rsid w:val="005F57E2"/>
    <w:rsid w:val="005F5D81"/>
    <w:rsid w:val="005F5EB7"/>
    <w:rsid w:val="005F605C"/>
    <w:rsid w:val="005F61DF"/>
    <w:rsid w:val="005F6677"/>
    <w:rsid w:val="005F6F71"/>
    <w:rsid w:val="005F7130"/>
    <w:rsid w:val="005F7240"/>
    <w:rsid w:val="005F73AD"/>
    <w:rsid w:val="005F78A1"/>
    <w:rsid w:val="005F7AC1"/>
    <w:rsid w:val="005F7C14"/>
    <w:rsid w:val="005F7D1D"/>
    <w:rsid w:val="005F7E48"/>
    <w:rsid w:val="006001D5"/>
    <w:rsid w:val="0060064C"/>
    <w:rsid w:val="006006E8"/>
    <w:rsid w:val="00600708"/>
    <w:rsid w:val="0060089E"/>
    <w:rsid w:val="00600D64"/>
    <w:rsid w:val="00600DD7"/>
    <w:rsid w:val="0060107B"/>
    <w:rsid w:val="006012A4"/>
    <w:rsid w:val="0060153E"/>
    <w:rsid w:val="006015EA"/>
    <w:rsid w:val="0060163A"/>
    <w:rsid w:val="00601AF8"/>
    <w:rsid w:val="00601B3F"/>
    <w:rsid w:val="00601CF5"/>
    <w:rsid w:val="00602072"/>
    <w:rsid w:val="0060213E"/>
    <w:rsid w:val="0060230A"/>
    <w:rsid w:val="006023E7"/>
    <w:rsid w:val="006023F9"/>
    <w:rsid w:val="006024A9"/>
    <w:rsid w:val="00602570"/>
    <w:rsid w:val="006027FF"/>
    <w:rsid w:val="00602A49"/>
    <w:rsid w:val="00602BE6"/>
    <w:rsid w:val="00602C03"/>
    <w:rsid w:val="00602F2E"/>
    <w:rsid w:val="00602F77"/>
    <w:rsid w:val="00602FBD"/>
    <w:rsid w:val="00603434"/>
    <w:rsid w:val="006034A3"/>
    <w:rsid w:val="00603612"/>
    <w:rsid w:val="006036B9"/>
    <w:rsid w:val="006036D8"/>
    <w:rsid w:val="00603728"/>
    <w:rsid w:val="0060383C"/>
    <w:rsid w:val="0060390E"/>
    <w:rsid w:val="00603931"/>
    <w:rsid w:val="00603964"/>
    <w:rsid w:val="00603CF4"/>
    <w:rsid w:val="00603DC2"/>
    <w:rsid w:val="00603DD9"/>
    <w:rsid w:val="006041B3"/>
    <w:rsid w:val="00604455"/>
    <w:rsid w:val="0060446A"/>
    <w:rsid w:val="00604797"/>
    <w:rsid w:val="006047F8"/>
    <w:rsid w:val="00604848"/>
    <w:rsid w:val="0060495F"/>
    <w:rsid w:val="00604BBB"/>
    <w:rsid w:val="00604CD6"/>
    <w:rsid w:val="00604D8F"/>
    <w:rsid w:val="00604E25"/>
    <w:rsid w:val="00604E92"/>
    <w:rsid w:val="00604F08"/>
    <w:rsid w:val="0060510E"/>
    <w:rsid w:val="006051B4"/>
    <w:rsid w:val="006053C7"/>
    <w:rsid w:val="006053E6"/>
    <w:rsid w:val="006056EB"/>
    <w:rsid w:val="00605853"/>
    <w:rsid w:val="00605ED0"/>
    <w:rsid w:val="00605FA3"/>
    <w:rsid w:val="00606076"/>
    <w:rsid w:val="00606CA5"/>
    <w:rsid w:val="00606D3F"/>
    <w:rsid w:val="00606D9F"/>
    <w:rsid w:val="00606E36"/>
    <w:rsid w:val="00606EF1"/>
    <w:rsid w:val="00606F08"/>
    <w:rsid w:val="0060798E"/>
    <w:rsid w:val="0060799B"/>
    <w:rsid w:val="00607A88"/>
    <w:rsid w:val="00607DEC"/>
    <w:rsid w:val="00607E29"/>
    <w:rsid w:val="00607E46"/>
    <w:rsid w:val="0060F3A4"/>
    <w:rsid w:val="00610105"/>
    <w:rsid w:val="0061038A"/>
    <w:rsid w:val="006103EE"/>
    <w:rsid w:val="006104BD"/>
    <w:rsid w:val="006104F8"/>
    <w:rsid w:val="00610559"/>
    <w:rsid w:val="0061094D"/>
    <w:rsid w:val="00610980"/>
    <w:rsid w:val="00610CF6"/>
    <w:rsid w:val="00610EC6"/>
    <w:rsid w:val="00610FF6"/>
    <w:rsid w:val="006111AB"/>
    <w:rsid w:val="006113E1"/>
    <w:rsid w:val="00611408"/>
    <w:rsid w:val="006114AD"/>
    <w:rsid w:val="006119F7"/>
    <w:rsid w:val="00611A2D"/>
    <w:rsid w:val="00611B77"/>
    <w:rsid w:val="00611F70"/>
    <w:rsid w:val="006123A5"/>
    <w:rsid w:val="006124FF"/>
    <w:rsid w:val="0061259E"/>
    <w:rsid w:val="00612611"/>
    <w:rsid w:val="00612637"/>
    <w:rsid w:val="00612A56"/>
    <w:rsid w:val="00612BCE"/>
    <w:rsid w:val="00612C6E"/>
    <w:rsid w:val="00612D6A"/>
    <w:rsid w:val="00612DD6"/>
    <w:rsid w:val="00612EBE"/>
    <w:rsid w:val="00612EC4"/>
    <w:rsid w:val="006130B4"/>
    <w:rsid w:val="0061315F"/>
    <w:rsid w:val="0061345C"/>
    <w:rsid w:val="00613610"/>
    <w:rsid w:val="00613646"/>
    <w:rsid w:val="006139A1"/>
    <w:rsid w:val="00613AD5"/>
    <w:rsid w:val="00613C22"/>
    <w:rsid w:val="00613E8A"/>
    <w:rsid w:val="00614076"/>
    <w:rsid w:val="006140C7"/>
    <w:rsid w:val="00614190"/>
    <w:rsid w:val="006141D4"/>
    <w:rsid w:val="0061441D"/>
    <w:rsid w:val="00614547"/>
    <w:rsid w:val="00614552"/>
    <w:rsid w:val="0061464A"/>
    <w:rsid w:val="00614796"/>
    <w:rsid w:val="00614AFD"/>
    <w:rsid w:val="00614C05"/>
    <w:rsid w:val="006155D3"/>
    <w:rsid w:val="0061569B"/>
    <w:rsid w:val="0061579D"/>
    <w:rsid w:val="00615D11"/>
    <w:rsid w:val="00615DA1"/>
    <w:rsid w:val="00616086"/>
    <w:rsid w:val="00616087"/>
    <w:rsid w:val="00616173"/>
    <w:rsid w:val="006161DF"/>
    <w:rsid w:val="00616223"/>
    <w:rsid w:val="0061642B"/>
    <w:rsid w:val="006164F2"/>
    <w:rsid w:val="0061675D"/>
    <w:rsid w:val="00616857"/>
    <w:rsid w:val="00616950"/>
    <w:rsid w:val="00616B19"/>
    <w:rsid w:val="00616C8B"/>
    <w:rsid w:val="00616D39"/>
    <w:rsid w:val="00616F5F"/>
    <w:rsid w:val="00616FDB"/>
    <w:rsid w:val="00616FDD"/>
    <w:rsid w:val="006172DB"/>
    <w:rsid w:val="00617381"/>
    <w:rsid w:val="0061770E"/>
    <w:rsid w:val="00617BB5"/>
    <w:rsid w:val="00620211"/>
    <w:rsid w:val="0062085D"/>
    <w:rsid w:val="006208B3"/>
    <w:rsid w:val="006208C4"/>
    <w:rsid w:val="006209CB"/>
    <w:rsid w:val="00620BE1"/>
    <w:rsid w:val="00620CE0"/>
    <w:rsid w:val="00620F55"/>
    <w:rsid w:val="00620FA4"/>
    <w:rsid w:val="00620FA8"/>
    <w:rsid w:val="00621312"/>
    <w:rsid w:val="0062135F"/>
    <w:rsid w:val="00621629"/>
    <w:rsid w:val="0062182B"/>
    <w:rsid w:val="006218D1"/>
    <w:rsid w:val="00621C17"/>
    <w:rsid w:val="006220EE"/>
    <w:rsid w:val="006224DB"/>
    <w:rsid w:val="006226E7"/>
    <w:rsid w:val="006226F8"/>
    <w:rsid w:val="00622729"/>
    <w:rsid w:val="0062274F"/>
    <w:rsid w:val="00622813"/>
    <w:rsid w:val="006228A1"/>
    <w:rsid w:val="00622A35"/>
    <w:rsid w:val="00622A4C"/>
    <w:rsid w:val="00622A53"/>
    <w:rsid w:val="00622A61"/>
    <w:rsid w:val="00622CE8"/>
    <w:rsid w:val="00622DAA"/>
    <w:rsid w:val="00622E0C"/>
    <w:rsid w:val="00622FD0"/>
    <w:rsid w:val="006230D3"/>
    <w:rsid w:val="00623269"/>
    <w:rsid w:val="006234A6"/>
    <w:rsid w:val="00623964"/>
    <w:rsid w:val="00623B15"/>
    <w:rsid w:val="00623BE9"/>
    <w:rsid w:val="00623EA3"/>
    <w:rsid w:val="00624100"/>
    <w:rsid w:val="006242A3"/>
    <w:rsid w:val="006248F4"/>
    <w:rsid w:val="00624903"/>
    <w:rsid w:val="006249F9"/>
    <w:rsid w:val="00624AE5"/>
    <w:rsid w:val="00624BFF"/>
    <w:rsid w:val="00624C46"/>
    <w:rsid w:val="00624EBE"/>
    <w:rsid w:val="00625210"/>
    <w:rsid w:val="0062521E"/>
    <w:rsid w:val="00625495"/>
    <w:rsid w:val="006256A7"/>
    <w:rsid w:val="00625985"/>
    <w:rsid w:val="00625A1C"/>
    <w:rsid w:val="00625A86"/>
    <w:rsid w:val="00625B30"/>
    <w:rsid w:val="00625BC0"/>
    <w:rsid w:val="00625C40"/>
    <w:rsid w:val="00625DA3"/>
    <w:rsid w:val="006260FB"/>
    <w:rsid w:val="0062636F"/>
    <w:rsid w:val="00626474"/>
    <w:rsid w:val="006266E8"/>
    <w:rsid w:val="00626820"/>
    <w:rsid w:val="0062696D"/>
    <w:rsid w:val="00626998"/>
    <w:rsid w:val="006269FB"/>
    <w:rsid w:val="00627119"/>
    <w:rsid w:val="0062714E"/>
    <w:rsid w:val="006271F2"/>
    <w:rsid w:val="0062724E"/>
    <w:rsid w:val="006272E4"/>
    <w:rsid w:val="006274BA"/>
    <w:rsid w:val="00627599"/>
    <w:rsid w:val="006278A0"/>
    <w:rsid w:val="006279E3"/>
    <w:rsid w:val="006279F4"/>
    <w:rsid w:val="00627A1A"/>
    <w:rsid w:val="00627A42"/>
    <w:rsid w:val="00627A76"/>
    <w:rsid w:val="00627B4A"/>
    <w:rsid w:val="00627BB9"/>
    <w:rsid w:val="00627DB8"/>
    <w:rsid w:val="00627F15"/>
    <w:rsid w:val="00627FA6"/>
    <w:rsid w:val="00627FBB"/>
    <w:rsid w:val="006300D1"/>
    <w:rsid w:val="006302F0"/>
    <w:rsid w:val="00630624"/>
    <w:rsid w:val="00630911"/>
    <w:rsid w:val="00630978"/>
    <w:rsid w:val="00630D7B"/>
    <w:rsid w:val="006312CD"/>
    <w:rsid w:val="00631399"/>
    <w:rsid w:val="00631471"/>
    <w:rsid w:val="0063163E"/>
    <w:rsid w:val="0063166E"/>
    <w:rsid w:val="006317ED"/>
    <w:rsid w:val="00631BAA"/>
    <w:rsid w:val="00631D7B"/>
    <w:rsid w:val="00631E72"/>
    <w:rsid w:val="00631EB1"/>
    <w:rsid w:val="00631EF9"/>
    <w:rsid w:val="00631FD1"/>
    <w:rsid w:val="0063207B"/>
    <w:rsid w:val="006320D0"/>
    <w:rsid w:val="00632129"/>
    <w:rsid w:val="00632186"/>
    <w:rsid w:val="00632278"/>
    <w:rsid w:val="0063235B"/>
    <w:rsid w:val="00632609"/>
    <w:rsid w:val="006326A5"/>
    <w:rsid w:val="006326F6"/>
    <w:rsid w:val="00632740"/>
    <w:rsid w:val="006328CB"/>
    <w:rsid w:val="00632B6E"/>
    <w:rsid w:val="00632ECB"/>
    <w:rsid w:val="00632F2E"/>
    <w:rsid w:val="00632F72"/>
    <w:rsid w:val="006331CE"/>
    <w:rsid w:val="006332F6"/>
    <w:rsid w:val="00633842"/>
    <w:rsid w:val="00633869"/>
    <w:rsid w:val="00633BDA"/>
    <w:rsid w:val="00633C69"/>
    <w:rsid w:val="00634163"/>
    <w:rsid w:val="006345DB"/>
    <w:rsid w:val="00634769"/>
    <w:rsid w:val="00634A16"/>
    <w:rsid w:val="00634FDE"/>
    <w:rsid w:val="006354F5"/>
    <w:rsid w:val="006356E3"/>
    <w:rsid w:val="006358A4"/>
    <w:rsid w:val="006358DF"/>
    <w:rsid w:val="00635D27"/>
    <w:rsid w:val="0063618C"/>
    <w:rsid w:val="00636690"/>
    <w:rsid w:val="006367E8"/>
    <w:rsid w:val="006368CB"/>
    <w:rsid w:val="00636959"/>
    <w:rsid w:val="00636D42"/>
    <w:rsid w:val="00636EDC"/>
    <w:rsid w:val="00636FF0"/>
    <w:rsid w:val="00637357"/>
    <w:rsid w:val="0063752B"/>
    <w:rsid w:val="006375FD"/>
    <w:rsid w:val="00637629"/>
    <w:rsid w:val="0063762D"/>
    <w:rsid w:val="00637658"/>
    <w:rsid w:val="0063772F"/>
    <w:rsid w:val="006377FA"/>
    <w:rsid w:val="0063787E"/>
    <w:rsid w:val="00637BA3"/>
    <w:rsid w:val="00637BC2"/>
    <w:rsid w:val="00637F5F"/>
    <w:rsid w:val="00637F7F"/>
    <w:rsid w:val="0064041D"/>
    <w:rsid w:val="006407D6"/>
    <w:rsid w:val="0064090B"/>
    <w:rsid w:val="00640BD2"/>
    <w:rsid w:val="00640ED2"/>
    <w:rsid w:val="00640F71"/>
    <w:rsid w:val="006413F2"/>
    <w:rsid w:val="00641443"/>
    <w:rsid w:val="00641808"/>
    <w:rsid w:val="00641939"/>
    <w:rsid w:val="006419E1"/>
    <w:rsid w:val="00641ACA"/>
    <w:rsid w:val="00641B5E"/>
    <w:rsid w:val="00641D70"/>
    <w:rsid w:val="00642165"/>
    <w:rsid w:val="00642192"/>
    <w:rsid w:val="0064236D"/>
    <w:rsid w:val="006426A8"/>
    <w:rsid w:val="00642A13"/>
    <w:rsid w:val="00642A15"/>
    <w:rsid w:val="00642E3D"/>
    <w:rsid w:val="00643261"/>
    <w:rsid w:val="006433EE"/>
    <w:rsid w:val="006435F7"/>
    <w:rsid w:val="006437B9"/>
    <w:rsid w:val="006437E4"/>
    <w:rsid w:val="00644212"/>
    <w:rsid w:val="00644532"/>
    <w:rsid w:val="006446F1"/>
    <w:rsid w:val="00644ABF"/>
    <w:rsid w:val="00644BE8"/>
    <w:rsid w:val="0064500F"/>
    <w:rsid w:val="0064538A"/>
    <w:rsid w:val="00645449"/>
    <w:rsid w:val="006454D5"/>
    <w:rsid w:val="0064554F"/>
    <w:rsid w:val="0064569A"/>
    <w:rsid w:val="006458F9"/>
    <w:rsid w:val="00645B2C"/>
    <w:rsid w:val="00645E9B"/>
    <w:rsid w:val="00646001"/>
    <w:rsid w:val="00646009"/>
    <w:rsid w:val="0064635F"/>
    <w:rsid w:val="0064645A"/>
    <w:rsid w:val="006464C9"/>
    <w:rsid w:val="0064674F"/>
    <w:rsid w:val="006468A9"/>
    <w:rsid w:val="00646D2C"/>
    <w:rsid w:val="00646E2C"/>
    <w:rsid w:val="00647290"/>
    <w:rsid w:val="0064732D"/>
    <w:rsid w:val="00647527"/>
    <w:rsid w:val="00647769"/>
    <w:rsid w:val="00647833"/>
    <w:rsid w:val="00647946"/>
    <w:rsid w:val="00647B7D"/>
    <w:rsid w:val="00647D73"/>
    <w:rsid w:val="00647E0D"/>
    <w:rsid w:val="0065026D"/>
    <w:rsid w:val="00650665"/>
    <w:rsid w:val="00650670"/>
    <w:rsid w:val="00650A56"/>
    <w:rsid w:val="00650C99"/>
    <w:rsid w:val="0065105D"/>
    <w:rsid w:val="00651164"/>
    <w:rsid w:val="00651174"/>
    <w:rsid w:val="00651267"/>
    <w:rsid w:val="0065139E"/>
    <w:rsid w:val="00651BA6"/>
    <w:rsid w:val="00651C01"/>
    <w:rsid w:val="00651C8E"/>
    <w:rsid w:val="00651E9D"/>
    <w:rsid w:val="00651EEF"/>
    <w:rsid w:val="00651F67"/>
    <w:rsid w:val="0065216A"/>
    <w:rsid w:val="00652317"/>
    <w:rsid w:val="006524C6"/>
    <w:rsid w:val="006527ED"/>
    <w:rsid w:val="006528D2"/>
    <w:rsid w:val="00652920"/>
    <w:rsid w:val="00652A70"/>
    <w:rsid w:val="00652BCF"/>
    <w:rsid w:val="00652DB4"/>
    <w:rsid w:val="00652F06"/>
    <w:rsid w:val="00653007"/>
    <w:rsid w:val="0065311E"/>
    <w:rsid w:val="00653199"/>
    <w:rsid w:val="00653404"/>
    <w:rsid w:val="006534B2"/>
    <w:rsid w:val="00653656"/>
    <w:rsid w:val="00653C98"/>
    <w:rsid w:val="00653CB4"/>
    <w:rsid w:val="00653ECB"/>
    <w:rsid w:val="00654049"/>
    <w:rsid w:val="006543B3"/>
    <w:rsid w:val="00654477"/>
    <w:rsid w:val="006546C8"/>
    <w:rsid w:val="00654A0D"/>
    <w:rsid w:val="00654C34"/>
    <w:rsid w:val="00654D0F"/>
    <w:rsid w:val="00654E29"/>
    <w:rsid w:val="00654F80"/>
    <w:rsid w:val="00655126"/>
    <w:rsid w:val="00655266"/>
    <w:rsid w:val="0065545E"/>
    <w:rsid w:val="006554E1"/>
    <w:rsid w:val="00655623"/>
    <w:rsid w:val="00655BC2"/>
    <w:rsid w:val="00655C7A"/>
    <w:rsid w:val="00655CC8"/>
    <w:rsid w:val="00655ECC"/>
    <w:rsid w:val="0065615D"/>
    <w:rsid w:val="006564EA"/>
    <w:rsid w:val="0065663C"/>
    <w:rsid w:val="0065664B"/>
    <w:rsid w:val="0065677D"/>
    <w:rsid w:val="00656820"/>
    <w:rsid w:val="00656AD6"/>
    <w:rsid w:val="00656CF1"/>
    <w:rsid w:val="00656EE0"/>
    <w:rsid w:val="00656F10"/>
    <w:rsid w:val="00657011"/>
    <w:rsid w:val="00657108"/>
    <w:rsid w:val="006573FB"/>
    <w:rsid w:val="0065747B"/>
    <w:rsid w:val="00657571"/>
    <w:rsid w:val="00657608"/>
    <w:rsid w:val="00660023"/>
    <w:rsid w:val="006600E8"/>
    <w:rsid w:val="0066017A"/>
    <w:rsid w:val="006601E7"/>
    <w:rsid w:val="006601F2"/>
    <w:rsid w:val="0066025B"/>
    <w:rsid w:val="0066058B"/>
    <w:rsid w:val="00660606"/>
    <w:rsid w:val="00660784"/>
    <w:rsid w:val="00660861"/>
    <w:rsid w:val="00660872"/>
    <w:rsid w:val="00660BE9"/>
    <w:rsid w:val="00661404"/>
    <w:rsid w:val="006617EB"/>
    <w:rsid w:val="006619B6"/>
    <w:rsid w:val="00661A85"/>
    <w:rsid w:val="00661CDE"/>
    <w:rsid w:val="00661F42"/>
    <w:rsid w:val="00661F85"/>
    <w:rsid w:val="00662091"/>
    <w:rsid w:val="00662221"/>
    <w:rsid w:val="00662791"/>
    <w:rsid w:val="00662B21"/>
    <w:rsid w:val="00662BBD"/>
    <w:rsid w:val="00662DAC"/>
    <w:rsid w:val="00662F76"/>
    <w:rsid w:val="006630AE"/>
    <w:rsid w:val="006631EC"/>
    <w:rsid w:val="00663259"/>
    <w:rsid w:val="0066349D"/>
    <w:rsid w:val="00663BAD"/>
    <w:rsid w:val="00663CE5"/>
    <w:rsid w:val="006641C7"/>
    <w:rsid w:val="006642D6"/>
    <w:rsid w:val="00664319"/>
    <w:rsid w:val="00664364"/>
    <w:rsid w:val="00664794"/>
    <w:rsid w:val="00664BDF"/>
    <w:rsid w:val="00664CF9"/>
    <w:rsid w:val="006650B5"/>
    <w:rsid w:val="006651B1"/>
    <w:rsid w:val="00665612"/>
    <w:rsid w:val="0066567D"/>
    <w:rsid w:val="00665778"/>
    <w:rsid w:val="006657E9"/>
    <w:rsid w:val="00665ACC"/>
    <w:rsid w:val="00665BBD"/>
    <w:rsid w:val="00665E33"/>
    <w:rsid w:val="00665FBE"/>
    <w:rsid w:val="006660AB"/>
    <w:rsid w:val="006660BD"/>
    <w:rsid w:val="006664C8"/>
    <w:rsid w:val="0066656E"/>
    <w:rsid w:val="006666F2"/>
    <w:rsid w:val="00666968"/>
    <w:rsid w:val="00666E79"/>
    <w:rsid w:val="006670DA"/>
    <w:rsid w:val="006670EC"/>
    <w:rsid w:val="00667215"/>
    <w:rsid w:val="00667225"/>
    <w:rsid w:val="006673A7"/>
    <w:rsid w:val="006674C3"/>
    <w:rsid w:val="006674EF"/>
    <w:rsid w:val="00667693"/>
    <w:rsid w:val="006676C2"/>
    <w:rsid w:val="006679B9"/>
    <w:rsid w:val="00667AD4"/>
    <w:rsid w:val="00670513"/>
    <w:rsid w:val="006705BA"/>
    <w:rsid w:val="006705E6"/>
    <w:rsid w:val="00670885"/>
    <w:rsid w:val="00670B54"/>
    <w:rsid w:val="00670B9B"/>
    <w:rsid w:val="00670C57"/>
    <w:rsid w:val="00670F61"/>
    <w:rsid w:val="00670FB7"/>
    <w:rsid w:val="0067108F"/>
    <w:rsid w:val="00671186"/>
    <w:rsid w:val="00671450"/>
    <w:rsid w:val="00671495"/>
    <w:rsid w:val="006714A1"/>
    <w:rsid w:val="006714F7"/>
    <w:rsid w:val="00671511"/>
    <w:rsid w:val="00671541"/>
    <w:rsid w:val="006716DA"/>
    <w:rsid w:val="00671723"/>
    <w:rsid w:val="00671863"/>
    <w:rsid w:val="00671A2F"/>
    <w:rsid w:val="00671B22"/>
    <w:rsid w:val="00671CB0"/>
    <w:rsid w:val="00671CFE"/>
    <w:rsid w:val="00671E60"/>
    <w:rsid w:val="006724DF"/>
    <w:rsid w:val="00672BD6"/>
    <w:rsid w:val="00672C60"/>
    <w:rsid w:val="00672C78"/>
    <w:rsid w:val="00672DBC"/>
    <w:rsid w:val="00672DE1"/>
    <w:rsid w:val="00673145"/>
    <w:rsid w:val="0067322B"/>
    <w:rsid w:val="0067324C"/>
    <w:rsid w:val="0067336A"/>
    <w:rsid w:val="006734A4"/>
    <w:rsid w:val="00673560"/>
    <w:rsid w:val="0067371B"/>
    <w:rsid w:val="00673767"/>
    <w:rsid w:val="00673A38"/>
    <w:rsid w:val="00673BDF"/>
    <w:rsid w:val="00674453"/>
    <w:rsid w:val="00674501"/>
    <w:rsid w:val="00674645"/>
    <w:rsid w:val="00674788"/>
    <w:rsid w:val="00674C3C"/>
    <w:rsid w:val="00674DD1"/>
    <w:rsid w:val="00674DED"/>
    <w:rsid w:val="00674DF8"/>
    <w:rsid w:val="00674FA2"/>
    <w:rsid w:val="006751B7"/>
    <w:rsid w:val="006757F3"/>
    <w:rsid w:val="0067586D"/>
    <w:rsid w:val="00675898"/>
    <w:rsid w:val="00675ABE"/>
    <w:rsid w:val="00675BBA"/>
    <w:rsid w:val="0067610B"/>
    <w:rsid w:val="0067618A"/>
    <w:rsid w:val="00676263"/>
    <w:rsid w:val="006762B8"/>
    <w:rsid w:val="0067643C"/>
    <w:rsid w:val="006764F3"/>
    <w:rsid w:val="006765D9"/>
    <w:rsid w:val="00676637"/>
    <w:rsid w:val="006766C5"/>
    <w:rsid w:val="00676750"/>
    <w:rsid w:val="0067695A"/>
    <w:rsid w:val="00676A60"/>
    <w:rsid w:val="00676C60"/>
    <w:rsid w:val="00676E5F"/>
    <w:rsid w:val="00676FCB"/>
    <w:rsid w:val="00677044"/>
    <w:rsid w:val="006771B5"/>
    <w:rsid w:val="0067734C"/>
    <w:rsid w:val="00677626"/>
    <w:rsid w:val="0067779F"/>
    <w:rsid w:val="006778F0"/>
    <w:rsid w:val="00677C14"/>
    <w:rsid w:val="00677FA6"/>
    <w:rsid w:val="0068015E"/>
    <w:rsid w:val="006807AE"/>
    <w:rsid w:val="00680886"/>
    <w:rsid w:val="00680B9D"/>
    <w:rsid w:val="00680DB8"/>
    <w:rsid w:val="00680DC2"/>
    <w:rsid w:val="006811A5"/>
    <w:rsid w:val="0068157A"/>
    <w:rsid w:val="00681B61"/>
    <w:rsid w:val="00681C59"/>
    <w:rsid w:val="00681CB2"/>
    <w:rsid w:val="00681E02"/>
    <w:rsid w:val="00682017"/>
    <w:rsid w:val="00682051"/>
    <w:rsid w:val="0068217E"/>
    <w:rsid w:val="006821D1"/>
    <w:rsid w:val="006824F3"/>
    <w:rsid w:val="006827B7"/>
    <w:rsid w:val="0068297D"/>
    <w:rsid w:val="00682D78"/>
    <w:rsid w:val="00682F23"/>
    <w:rsid w:val="00682F5B"/>
    <w:rsid w:val="006830A2"/>
    <w:rsid w:val="006832A1"/>
    <w:rsid w:val="006832DF"/>
    <w:rsid w:val="0068332D"/>
    <w:rsid w:val="006833BA"/>
    <w:rsid w:val="006833E6"/>
    <w:rsid w:val="00683456"/>
    <w:rsid w:val="0068355A"/>
    <w:rsid w:val="00683A2F"/>
    <w:rsid w:val="00683BB2"/>
    <w:rsid w:val="00683EB9"/>
    <w:rsid w:val="00683EEB"/>
    <w:rsid w:val="00684331"/>
    <w:rsid w:val="0068460D"/>
    <w:rsid w:val="006846D9"/>
    <w:rsid w:val="006847D8"/>
    <w:rsid w:val="006848B5"/>
    <w:rsid w:val="00684BA5"/>
    <w:rsid w:val="00684EB8"/>
    <w:rsid w:val="0068500C"/>
    <w:rsid w:val="00685201"/>
    <w:rsid w:val="006854D3"/>
    <w:rsid w:val="00685B4A"/>
    <w:rsid w:val="00685BFB"/>
    <w:rsid w:val="00685E62"/>
    <w:rsid w:val="0068607E"/>
    <w:rsid w:val="00686168"/>
    <w:rsid w:val="006861CB"/>
    <w:rsid w:val="006861F2"/>
    <w:rsid w:val="006861F4"/>
    <w:rsid w:val="00686556"/>
    <w:rsid w:val="006879A3"/>
    <w:rsid w:val="00687ACA"/>
    <w:rsid w:val="00687B7A"/>
    <w:rsid w:val="00687C56"/>
    <w:rsid w:val="00687E6D"/>
    <w:rsid w:val="00687F5B"/>
    <w:rsid w:val="00690177"/>
    <w:rsid w:val="0069020A"/>
    <w:rsid w:val="00690663"/>
    <w:rsid w:val="00690B96"/>
    <w:rsid w:val="00690D5C"/>
    <w:rsid w:val="00691382"/>
    <w:rsid w:val="0069151F"/>
    <w:rsid w:val="006915B9"/>
    <w:rsid w:val="006915EE"/>
    <w:rsid w:val="0069166E"/>
    <w:rsid w:val="00691770"/>
    <w:rsid w:val="00691913"/>
    <w:rsid w:val="00691C6C"/>
    <w:rsid w:val="00691CA9"/>
    <w:rsid w:val="00691E1D"/>
    <w:rsid w:val="00691F39"/>
    <w:rsid w:val="0069217E"/>
    <w:rsid w:val="00692568"/>
    <w:rsid w:val="006929A9"/>
    <w:rsid w:val="00692A21"/>
    <w:rsid w:val="00692A2B"/>
    <w:rsid w:val="00692AD9"/>
    <w:rsid w:val="00692C45"/>
    <w:rsid w:val="00692E23"/>
    <w:rsid w:val="00692EBF"/>
    <w:rsid w:val="00692F23"/>
    <w:rsid w:val="00692FE9"/>
    <w:rsid w:val="00693055"/>
    <w:rsid w:val="0069324B"/>
    <w:rsid w:val="006932EA"/>
    <w:rsid w:val="00693407"/>
    <w:rsid w:val="00693522"/>
    <w:rsid w:val="00693593"/>
    <w:rsid w:val="006935FA"/>
    <w:rsid w:val="00693716"/>
    <w:rsid w:val="00693919"/>
    <w:rsid w:val="00693984"/>
    <w:rsid w:val="00693F44"/>
    <w:rsid w:val="0069402B"/>
    <w:rsid w:val="006940FC"/>
    <w:rsid w:val="006942D4"/>
    <w:rsid w:val="006945CA"/>
    <w:rsid w:val="00694602"/>
    <w:rsid w:val="00694713"/>
    <w:rsid w:val="006949DD"/>
    <w:rsid w:val="0069517D"/>
    <w:rsid w:val="00695621"/>
    <w:rsid w:val="00695727"/>
    <w:rsid w:val="006959EC"/>
    <w:rsid w:val="00696089"/>
    <w:rsid w:val="00696288"/>
    <w:rsid w:val="006962A8"/>
    <w:rsid w:val="0069685A"/>
    <w:rsid w:val="006968E5"/>
    <w:rsid w:val="006969E8"/>
    <w:rsid w:val="00696A00"/>
    <w:rsid w:val="00696ABF"/>
    <w:rsid w:val="00696ADC"/>
    <w:rsid w:val="00696AE4"/>
    <w:rsid w:val="00696DC4"/>
    <w:rsid w:val="00696F59"/>
    <w:rsid w:val="00697100"/>
    <w:rsid w:val="006972DE"/>
    <w:rsid w:val="0069733B"/>
    <w:rsid w:val="006973C1"/>
    <w:rsid w:val="0069741E"/>
    <w:rsid w:val="0069745A"/>
    <w:rsid w:val="006974B6"/>
    <w:rsid w:val="00697618"/>
    <w:rsid w:val="006979A8"/>
    <w:rsid w:val="00697C5E"/>
    <w:rsid w:val="00697EE3"/>
    <w:rsid w:val="006A0214"/>
    <w:rsid w:val="006A02A9"/>
    <w:rsid w:val="006A075B"/>
    <w:rsid w:val="006A0968"/>
    <w:rsid w:val="006A0DA5"/>
    <w:rsid w:val="006A1362"/>
    <w:rsid w:val="006A1E30"/>
    <w:rsid w:val="006A2062"/>
    <w:rsid w:val="006A2142"/>
    <w:rsid w:val="006A22C4"/>
    <w:rsid w:val="006A2433"/>
    <w:rsid w:val="006A2523"/>
    <w:rsid w:val="006A2652"/>
    <w:rsid w:val="006A27A5"/>
    <w:rsid w:val="006A27D4"/>
    <w:rsid w:val="006A2998"/>
    <w:rsid w:val="006A2E1C"/>
    <w:rsid w:val="006A2EDE"/>
    <w:rsid w:val="006A312B"/>
    <w:rsid w:val="006A321B"/>
    <w:rsid w:val="006A3309"/>
    <w:rsid w:val="006A33CE"/>
    <w:rsid w:val="006A3407"/>
    <w:rsid w:val="006A351B"/>
    <w:rsid w:val="006A365F"/>
    <w:rsid w:val="006A3799"/>
    <w:rsid w:val="006A3967"/>
    <w:rsid w:val="006A3A49"/>
    <w:rsid w:val="006A3A5A"/>
    <w:rsid w:val="006A3B5A"/>
    <w:rsid w:val="006A3D9B"/>
    <w:rsid w:val="006A3E2A"/>
    <w:rsid w:val="006A3EE6"/>
    <w:rsid w:val="006A3FDC"/>
    <w:rsid w:val="006A4028"/>
    <w:rsid w:val="006A4032"/>
    <w:rsid w:val="006A41BC"/>
    <w:rsid w:val="006A4299"/>
    <w:rsid w:val="006A4312"/>
    <w:rsid w:val="006A472B"/>
    <w:rsid w:val="006A497C"/>
    <w:rsid w:val="006A4B82"/>
    <w:rsid w:val="006A4CFF"/>
    <w:rsid w:val="006A4FA0"/>
    <w:rsid w:val="006A5111"/>
    <w:rsid w:val="006A5133"/>
    <w:rsid w:val="006A5277"/>
    <w:rsid w:val="006A54E7"/>
    <w:rsid w:val="006A555D"/>
    <w:rsid w:val="006A56AC"/>
    <w:rsid w:val="006A571C"/>
    <w:rsid w:val="006A57F4"/>
    <w:rsid w:val="006A58EE"/>
    <w:rsid w:val="006A590F"/>
    <w:rsid w:val="006A5A24"/>
    <w:rsid w:val="006A5AFF"/>
    <w:rsid w:val="006A5B34"/>
    <w:rsid w:val="006A5D31"/>
    <w:rsid w:val="006A5EA1"/>
    <w:rsid w:val="006A5F31"/>
    <w:rsid w:val="006A5FCE"/>
    <w:rsid w:val="006A60D4"/>
    <w:rsid w:val="006A611E"/>
    <w:rsid w:val="006A6174"/>
    <w:rsid w:val="006A627F"/>
    <w:rsid w:val="006A6805"/>
    <w:rsid w:val="006A6933"/>
    <w:rsid w:val="006A73B7"/>
    <w:rsid w:val="006A73D4"/>
    <w:rsid w:val="006A754B"/>
    <w:rsid w:val="006A769D"/>
    <w:rsid w:val="006A7BBF"/>
    <w:rsid w:val="006A7EA6"/>
    <w:rsid w:val="006A7F5F"/>
    <w:rsid w:val="006B0118"/>
    <w:rsid w:val="006B032F"/>
    <w:rsid w:val="006B034D"/>
    <w:rsid w:val="006B0870"/>
    <w:rsid w:val="006B0BDD"/>
    <w:rsid w:val="006B0C6B"/>
    <w:rsid w:val="006B10D1"/>
    <w:rsid w:val="006B1259"/>
    <w:rsid w:val="006B1274"/>
    <w:rsid w:val="006B1493"/>
    <w:rsid w:val="006B19D4"/>
    <w:rsid w:val="006B19FF"/>
    <w:rsid w:val="006B1E60"/>
    <w:rsid w:val="006B1F6A"/>
    <w:rsid w:val="006B226D"/>
    <w:rsid w:val="006B22F3"/>
    <w:rsid w:val="006B23C1"/>
    <w:rsid w:val="006B250E"/>
    <w:rsid w:val="006B28BB"/>
    <w:rsid w:val="006B2DD8"/>
    <w:rsid w:val="006B3188"/>
    <w:rsid w:val="006B337A"/>
    <w:rsid w:val="006B33E7"/>
    <w:rsid w:val="006B347D"/>
    <w:rsid w:val="006B37CA"/>
    <w:rsid w:val="006B37D3"/>
    <w:rsid w:val="006B3970"/>
    <w:rsid w:val="006B3AD8"/>
    <w:rsid w:val="006B3AE7"/>
    <w:rsid w:val="006B3FD5"/>
    <w:rsid w:val="006B4532"/>
    <w:rsid w:val="006B46EB"/>
    <w:rsid w:val="006B4967"/>
    <w:rsid w:val="006B49EE"/>
    <w:rsid w:val="006B4A16"/>
    <w:rsid w:val="006B4F62"/>
    <w:rsid w:val="006B5031"/>
    <w:rsid w:val="006B52B2"/>
    <w:rsid w:val="006B52BA"/>
    <w:rsid w:val="006B5685"/>
    <w:rsid w:val="006B5998"/>
    <w:rsid w:val="006B5A5B"/>
    <w:rsid w:val="006B5ABE"/>
    <w:rsid w:val="006B5CDF"/>
    <w:rsid w:val="006B6101"/>
    <w:rsid w:val="006B6221"/>
    <w:rsid w:val="006B63F4"/>
    <w:rsid w:val="006B6854"/>
    <w:rsid w:val="006B6885"/>
    <w:rsid w:val="006B6D42"/>
    <w:rsid w:val="006B6EEA"/>
    <w:rsid w:val="006B6F41"/>
    <w:rsid w:val="006B6F55"/>
    <w:rsid w:val="006B7166"/>
    <w:rsid w:val="006B73E9"/>
    <w:rsid w:val="006B746B"/>
    <w:rsid w:val="006B74D9"/>
    <w:rsid w:val="006B7639"/>
    <w:rsid w:val="006B767C"/>
    <w:rsid w:val="006B78E8"/>
    <w:rsid w:val="006B7A6B"/>
    <w:rsid w:val="006B7A8E"/>
    <w:rsid w:val="006B7B17"/>
    <w:rsid w:val="006B7D25"/>
    <w:rsid w:val="006C03B0"/>
    <w:rsid w:val="006C05B4"/>
    <w:rsid w:val="006C0664"/>
    <w:rsid w:val="006C08E1"/>
    <w:rsid w:val="006C0A67"/>
    <w:rsid w:val="006C0D4B"/>
    <w:rsid w:val="006C0EE0"/>
    <w:rsid w:val="006C0EE4"/>
    <w:rsid w:val="006C15B4"/>
    <w:rsid w:val="006C162D"/>
    <w:rsid w:val="006C164A"/>
    <w:rsid w:val="006C170B"/>
    <w:rsid w:val="006C1885"/>
    <w:rsid w:val="006C196B"/>
    <w:rsid w:val="006C1A37"/>
    <w:rsid w:val="006C1BDD"/>
    <w:rsid w:val="006C1D88"/>
    <w:rsid w:val="006C1F51"/>
    <w:rsid w:val="006C22A7"/>
    <w:rsid w:val="006C245F"/>
    <w:rsid w:val="006C24CC"/>
    <w:rsid w:val="006C293A"/>
    <w:rsid w:val="006C2966"/>
    <w:rsid w:val="006C29CE"/>
    <w:rsid w:val="006C2C86"/>
    <w:rsid w:val="006C30D4"/>
    <w:rsid w:val="006C3255"/>
    <w:rsid w:val="006C32CC"/>
    <w:rsid w:val="006C3339"/>
    <w:rsid w:val="006C34AC"/>
    <w:rsid w:val="006C34FE"/>
    <w:rsid w:val="006C366F"/>
    <w:rsid w:val="006C3686"/>
    <w:rsid w:val="006C36A8"/>
    <w:rsid w:val="006C3A0D"/>
    <w:rsid w:val="006C3BCF"/>
    <w:rsid w:val="006C3C5F"/>
    <w:rsid w:val="006C3D25"/>
    <w:rsid w:val="006C3E93"/>
    <w:rsid w:val="006C3F88"/>
    <w:rsid w:val="006C4419"/>
    <w:rsid w:val="006C45E3"/>
    <w:rsid w:val="006C45E7"/>
    <w:rsid w:val="006C4719"/>
    <w:rsid w:val="006C488F"/>
    <w:rsid w:val="006C491D"/>
    <w:rsid w:val="006C4B11"/>
    <w:rsid w:val="006C4CD4"/>
    <w:rsid w:val="006C50AC"/>
    <w:rsid w:val="006C510C"/>
    <w:rsid w:val="006C521F"/>
    <w:rsid w:val="006C5502"/>
    <w:rsid w:val="006C59CF"/>
    <w:rsid w:val="006C5B81"/>
    <w:rsid w:val="006C5D40"/>
    <w:rsid w:val="006C602D"/>
    <w:rsid w:val="006C62DC"/>
    <w:rsid w:val="006C63B6"/>
    <w:rsid w:val="006C640A"/>
    <w:rsid w:val="006C68DD"/>
    <w:rsid w:val="006C69BC"/>
    <w:rsid w:val="006C6CB2"/>
    <w:rsid w:val="006C6CE9"/>
    <w:rsid w:val="006C6E79"/>
    <w:rsid w:val="006C6F84"/>
    <w:rsid w:val="006C72DA"/>
    <w:rsid w:val="006C72FA"/>
    <w:rsid w:val="006C737A"/>
    <w:rsid w:val="006C7381"/>
    <w:rsid w:val="006C7645"/>
    <w:rsid w:val="006C77A9"/>
    <w:rsid w:val="006C77E8"/>
    <w:rsid w:val="006C79D2"/>
    <w:rsid w:val="006C7AF1"/>
    <w:rsid w:val="006C7EFC"/>
    <w:rsid w:val="006D014B"/>
    <w:rsid w:val="006D0486"/>
    <w:rsid w:val="006D08C0"/>
    <w:rsid w:val="006D0AC4"/>
    <w:rsid w:val="006D1112"/>
    <w:rsid w:val="006D1938"/>
    <w:rsid w:val="006D1A1B"/>
    <w:rsid w:val="006D1B7E"/>
    <w:rsid w:val="006D1C7F"/>
    <w:rsid w:val="006D1F6D"/>
    <w:rsid w:val="006D1FBF"/>
    <w:rsid w:val="006D21F0"/>
    <w:rsid w:val="006D25E0"/>
    <w:rsid w:val="006D29AB"/>
    <w:rsid w:val="006D2A20"/>
    <w:rsid w:val="006D2A4D"/>
    <w:rsid w:val="006D2E22"/>
    <w:rsid w:val="006D2F1F"/>
    <w:rsid w:val="006D31C9"/>
    <w:rsid w:val="006D3331"/>
    <w:rsid w:val="006D3460"/>
    <w:rsid w:val="006D3798"/>
    <w:rsid w:val="006D3826"/>
    <w:rsid w:val="006D3908"/>
    <w:rsid w:val="006D39C8"/>
    <w:rsid w:val="006D3C64"/>
    <w:rsid w:val="006D403C"/>
    <w:rsid w:val="006D4114"/>
    <w:rsid w:val="006D437E"/>
    <w:rsid w:val="006D4568"/>
    <w:rsid w:val="006D4720"/>
    <w:rsid w:val="006D47D3"/>
    <w:rsid w:val="006D4C18"/>
    <w:rsid w:val="006D59CA"/>
    <w:rsid w:val="006D5B76"/>
    <w:rsid w:val="006D5B85"/>
    <w:rsid w:val="006D5C6B"/>
    <w:rsid w:val="006D5EB0"/>
    <w:rsid w:val="006D5F75"/>
    <w:rsid w:val="006D5FDD"/>
    <w:rsid w:val="006D60B5"/>
    <w:rsid w:val="006D6152"/>
    <w:rsid w:val="006D61C8"/>
    <w:rsid w:val="006D62B7"/>
    <w:rsid w:val="006D6395"/>
    <w:rsid w:val="006D6632"/>
    <w:rsid w:val="006D66DF"/>
    <w:rsid w:val="006D6C1B"/>
    <w:rsid w:val="006D6C72"/>
    <w:rsid w:val="006D716C"/>
    <w:rsid w:val="006D72D8"/>
    <w:rsid w:val="006D7318"/>
    <w:rsid w:val="006D7444"/>
    <w:rsid w:val="006D7587"/>
    <w:rsid w:val="006D76FA"/>
    <w:rsid w:val="006D77DA"/>
    <w:rsid w:val="006D785C"/>
    <w:rsid w:val="006D79F4"/>
    <w:rsid w:val="006D7AD1"/>
    <w:rsid w:val="006D7B8F"/>
    <w:rsid w:val="006D7C96"/>
    <w:rsid w:val="006D7E03"/>
    <w:rsid w:val="006D7F9E"/>
    <w:rsid w:val="006E00DC"/>
    <w:rsid w:val="006E00F4"/>
    <w:rsid w:val="006E0206"/>
    <w:rsid w:val="006E025E"/>
    <w:rsid w:val="006E05E9"/>
    <w:rsid w:val="006E082B"/>
    <w:rsid w:val="006E08DF"/>
    <w:rsid w:val="006E08F7"/>
    <w:rsid w:val="006E0B3B"/>
    <w:rsid w:val="006E0C41"/>
    <w:rsid w:val="006E0CFB"/>
    <w:rsid w:val="006E0E9B"/>
    <w:rsid w:val="006E0EE3"/>
    <w:rsid w:val="006E1069"/>
    <w:rsid w:val="006E1262"/>
    <w:rsid w:val="006E12EB"/>
    <w:rsid w:val="006E15DA"/>
    <w:rsid w:val="006E15F1"/>
    <w:rsid w:val="006E1833"/>
    <w:rsid w:val="006E1917"/>
    <w:rsid w:val="006E1A3F"/>
    <w:rsid w:val="006E1A77"/>
    <w:rsid w:val="006E1D1B"/>
    <w:rsid w:val="006E223B"/>
    <w:rsid w:val="006E227E"/>
    <w:rsid w:val="006E2299"/>
    <w:rsid w:val="006E237D"/>
    <w:rsid w:val="006E25A0"/>
    <w:rsid w:val="006E28D2"/>
    <w:rsid w:val="006E2965"/>
    <w:rsid w:val="006E2A7F"/>
    <w:rsid w:val="006E2D42"/>
    <w:rsid w:val="006E2F21"/>
    <w:rsid w:val="006E3352"/>
    <w:rsid w:val="006E3943"/>
    <w:rsid w:val="006E3951"/>
    <w:rsid w:val="006E3BEB"/>
    <w:rsid w:val="006E3C5B"/>
    <w:rsid w:val="006E3D97"/>
    <w:rsid w:val="006E41B5"/>
    <w:rsid w:val="006E4293"/>
    <w:rsid w:val="006E4379"/>
    <w:rsid w:val="006E458D"/>
    <w:rsid w:val="006E4C46"/>
    <w:rsid w:val="006E4CAF"/>
    <w:rsid w:val="006E4D7E"/>
    <w:rsid w:val="006E4FBA"/>
    <w:rsid w:val="006E505D"/>
    <w:rsid w:val="006E519F"/>
    <w:rsid w:val="006E5267"/>
    <w:rsid w:val="006E54E8"/>
    <w:rsid w:val="006E56E0"/>
    <w:rsid w:val="006E5990"/>
    <w:rsid w:val="006E5A96"/>
    <w:rsid w:val="006E5D07"/>
    <w:rsid w:val="006E5F42"/>
    <w:rsid w:val="006E60BA"/>
    <w:rsid w:val="006E6115"/>
    <w:rsid w:val="006E6330"/>
    <w:rsid w:val="006E64B1"/>
    <w:rsid w:val="006E6569"/>
    <w:rsid w:val="006E6625"/>
    <w:rsid w:val="006E6703"/>
    <w:rsid w:val="006E6820"/>
    <w:rsid w:val="006E68FC"/>
    <w:rsid w:val="006E6C18"/>
    <w:rsid w:val="006E6CDF"/>
    <w:rsid w:val="006E6D2A"/>
    <w:rsid w:val="006E6E55"/>
    <w:rsid w:val="006E6E76"/>
    <w:rsid w:val="006E6EA2"/>
    <w:rsid w:val="006E6F77"/>
    <w:rsid w:val="006E708A"/>
    <w:rsid w:val="006E730E"/>
    <w:rsid w:val="006E7365"/>
    <w:rsid w:val="006E754D"/>
    <w:rsid w:val="006E7739"/>
    <w:rsid w:val="006E788B"/>
    <w:rsid w:val="006E793F"/>
    <w:rsid w:val="006E7BC2"/>
    <w:rsid w:val="006E7C80"/>
    <w:rsid w:val="006E7CA6"/>
    <w:rsid w:val="006E7DCB"/>
    <w:rsid w:val="006E7EA6"/>
    <w:rsid w:val="006F0912"/>
    <w:rsid w:val="006F0AD5"/>
    <w:rsid w:val="006F0B58"/>
    <w:rsid w:val="006F1353"/>
    <w:rsid w:val="006F142B"/>
    <w:rsid w:val="006F162C"/>
    <w:rsid w:val="006F169A"/>
    <w:rsid w:val="006F1BAF"/>
    <w:rsid w:val="006F1C39"/>
    <w:rsid w:val="006F1E65"/>
    <w:rsid w:val="006F21BE"/>
    <w:rsid w:val="006F2489"/>
    <w:rsid w:val="006F2504"/>
    <w:rsid w:val="006F2C68"/>
    <w:rsid w:val="006F2F6D"/>
    <w:rsid w:val="006F3385"/>
    <w:rsid w:val="006F37F2"/>
    <w:rsid w:val="006F37FA"/>
    <w:rsid w:val="006F380D"/>
    <w:rsid w:val="006F3974"/>
    <w:rsid w:val="006F3999"/>
    <w:rsid w:val="006F39AC"/>
    <w:rsid w:val="006F3E83"/>
    <w:rsid w:val="006F406A"/>
    <w:rsid w:val="006F41D6"/>
    <w:rsid w:val="006F4262"/>
    <w:rsid w:val="006F4429"/>
    <w:rsid w:val="006F44DF"/>
    <w:rsid w:val="006F4749"/>
    <w:rsid w:val="006F4810"/>
    <w:rsid w:val="006F4CCD"/>
    <w:rsid w:val="006F4D86"/>
    <w:rsid w:val="006F4DE6"/>
    <w:rsid w:val="006F4F9C"/>
    <w:rsid w:val="006F4FE1"/>
    <w:rsid w:val="006F53D0"/>
    <w:rsid w:val="006F55AF"/>
    <w:rsid w:val="006F5708"/>
    <w:rsid w:val="006F5B42"/>
    <w:rsid w:val="006F5B51"/>
    <w:rsid w:val="006F5E33"/>
    <w:rsid w:val="006F5F11"/>
    <w:rsid w:val="006F6260"/>
    <w:rsid w:val="006F63A0"/>
    <w:rsid w:val="006F6409"/>
    <w:rsid w:val="006F6687"/>
    <w:rsid w:val="006F6693"/>
    <w:rsid w:val="006F68D0"/>
    <w:rsid w:val="006F690E"/>
    <w:rsid w:val="006F6B84"/>
    <w:rsid w:val="006F6D56"/>
    <w:rsid w:val="006F6F57"/>
    <w:rsid w:val="006F719B"/>
    <w:rsid w:val="006F719D"/>
    <w:rsid w:val="006F758B"/>
    <w:rsid w:val="006F75FC"/>
    <w:rsid w:val="006F77EE"/>
    <w:rsid w:val="006F786C"/>
    <w:rsid w:val="006F7872"/>
    <w:rsid w:val="006F7AE0"/>
    <w:rsid w:val="006F7BBD"/>
    <w:rsid w:val="006F7C10"/>
    <w:rsid w:val="006F7DA6"/>
    <w:rsid w:val="006F7DA8"/>
    <w:rsid w:val="006F7E1A"/>
    <w:rsid w:val="006F7E44"/>
    <w:rsid w:val="00700033"/>
    <w:rsid w:val="00700854"/>
    <w:rsid w:val="00700AE8"/>
    <w:rsid w:val="00700D76"/>
    <w:rsid w:val="00700F88"/>
    <w:rsid w:val="007011D3"/>
    <w:rsid w:val="00701338"/>
    <w:rsid w:val="00701339"/>
    <w:rsid w:val="0070133F"/>
    <w:rsid w:val="007016AA"/>
    <w:rsid w:val="007018F4"/>
    <w:rsid w:val="007019D1"/>
    <w:rsid w:val="00701C26"/>
    <w:rsid w:val="00701CAF"/>
    <w:rsid w:val="00701D2B"/>
    <w:rsid w:val="00701D90"/>
    <w:rsid w:val="00701EAF"/>
    <w:rsid w:val="00702372"/>
    <w:rsid w:val="0070256E"/>
    <w:rsid w:val="00702676"/>
    <w:rsid w:val="00702AA0"/>
    <w:rsid w:val="00703026"/>
    <w:rsid w:val="0070329D"/>
    <w:rsid w:val="007032D5"/>
    <w:rsid w:val="0070369E"/>
    <w:rsid w:val="00703892"/>
    <w:rsid w:val="007038D6"/>
    <w:rsid w:val="00703D65"/>
    <w:rsid w:val="00703E30"/>
    <w:rsid w:val="00704158"/>
    <w:rsid w:val="0070416D"/>
    <w:rsid w:val="00704235"/>
    <w:rsid w:val="007042CE"/>
    <w:rsid w:val="007048E1"/>
    <w:rsid w:val="007048E4"/>
    <w:rsid w:val="00704C34"/>
    <w:rsid w:val="00704C53"/>
    <w:rsid w:val="00704CD8"/>
    <w:rsid w:val="00704D7C"/>
    <w:rsid w:val="00704DF2"/>
    <w:rsid w:val="00704E30"/>
    <w:rsid w:val="00704EAC"/>
    <w:rsid w:val="00705013"/>
    <w:rsid w:val="007051F8"/>
    <w:rsid w:val="007053A8"/>
    <w:rsid w:val="00705514"/>
    <w:rsid w:val="0070601F"/>
    <w:rsid w:val="00706328"/>
    <w:rsid w:val="00706349"/>
    <w:rsid w:val="007069C2"/>
    <w:rsid w:val="00706A88"/>
    <w:rsid w:val="00706AFA"/>
    <w:rsid w:val="00706D61"/>
    <w:rsid w:val="00706E60"/>
    <w:rsid w:val="00706F58"/>
    <w:rsid w:val="00707097"/>
    <w:rsid w:val="007070EB"/>
    <w:rsid w:val="007072D3"/>
    <w:rsid w:val="007072E9"/>
    <w:rsid w:val="0070738C"/>
    <w:rsid w:val="007075DD"/>
    <w:rsid w:val="007075FB"/>
    <w:rsid w:val="007077A2"/>
    <w:rsid w:val="007077E7"/>
    <w:rsid w:val="007078A0"/>
    <w:rsid w:val="00707960"/>
    <w:rsid w:val="00707981"/>
    <w:rsid w:val="00707B8A"/>
    <w:rsid w:val="00707C2C"/>
    <w:rsid w:val="00707DBF"/>
    <w:rsid w:val="00707F25"/>
    <w:rsid w:val="00707FE8"/>
    <w:rsid w:val="007100C9"/>
    <w:rsid w:val="0071031B"/>
    <w:rsid w:val="0071033A"/>
    <w:rsid w:val="00710522"/>
    <w:rsid w:val="007106D8"/>
    <w:rsid w:val="00710D0E"/>
    <w:rsid w:val="007110E0"/>
    <w:rsid w:val="00711176"/>
    <w:rsid w:val="00711440"/>
    <w:rsid w:val="007114C7"/>
    <w:rsid w:val="00711574"/>
    <w:rsid w:val="00711654"/>
    <w:rsid w:val="007118DD"/>
    <w:rsid w:val="00711915"/>
    <w:rsid w:val="007119EF"/>
    <w:rsid w:val="00711AA1"/>
    <w:rsid w:val="00711BF7"/>
    <w:rsid w:val="00711C43"/>
    <w:rsid w:val="00711D5C"/>
    <w:rsid w:val="00711DFD"/>
    <w:rsid w:val="00711F54"/>
    <w:rsid w:val="00712007"/>
    <w:rsid w:val="007127F6"/>
    <w:rsid w:val="00712946"/>
    <w:rsid w:val="007129D6"/>
    <w:rsid w:val="00712B02"/>
    <w:rsid w:val="00712F19"/>
    <w:rsid w:val="007132D7"/>
    <w:rsid w:val="00713333"/>
    <w:rsid w:val="0071374C"/>
    <w:rsid w:val="007137C6"/>
    <w:rsid w:val="007137D5"/>
    <w:rsid w:val="00713A92"/>
    <w:rsid w:val="00713C29"/>
    <w:rsid w:val="00713D1E"/>
    <w:rsid w:val="00713F44"/>
    <w:rsid w:val="00714160"/>
    <w:rsid w:val="0071420D"/>
    <w:rsid w:val="00714274"/>
    <w:rsid w:val="00714522"/>
    <w:rsid w:val="00714614"/>
    <w:rsid w:val="00714817"/>
    <w:rsid w:val="0071484F"/>
    <w:rsid w:val="00714998"/>
    <w:rsid w:val="00714AAE"/>
    <w:rsid w:val="00714E1E"/>
    <w:rsid w:val="00715014"/>
    <w:rsid w:val="007151B3"/>
    <w:rsid w:val="00715777"/>
    <w:rsid w:val="00715966"/>
    <w:rsid w:val="00715C22"/>
    <w:rsid w:val="00716125"/>
    <w:rsid w:val="00716235"/>
    <w:rsid w:val="00716796"/>
    <w:rsid w:val="007167E2"/>
    <w:rsid w:val="0071695D"/>
    <w:rsid w:val="00716AC6"/>
    <w:rsid w:val="007171D5"/>
    <w:rsid w:val="007171ED"/>
    <w:rsid w:val="007173DA"/>
    <w:rsid w:val="007173E4"/>
    <w:rsid w:val="00717493"/>
    <w:rsid w:val="007175AB"/>
    <w:rsid w:val="007175CE"/>
    <w:rsid w:val="007178C4"/>
    <w:rsid w:val="00717C88"/>
    <w:rsid w:val="00717E70"/>
    <w:rsid w:val="00717FAE"/>
    <w:rsid w:val="007201A6"/>
    <w:rsid w:val="0072053E"/>
    <w:rsid w:val="007208DB"/>
    <w:rsid w:val="00720D52"/>
    <w:rsid w:val="00720E89"/>
    <w:rsid w:val="00721069"/>
    <w:rsid w:val="00721156"/>
    <w:rsid w:val="00721449"/>
    <w:rsid w:val="0072146B"/>
    <w:rsid w:val="00721A31"/>
    <w:rsid w:val="00721D61"/>
    <w:rsid w:val="00721E08"/>
    <w:rsid w:val="00721F21"/>
    <w:rsid w:val="007221D1"/>
    <w:rsid w:val="0072229C"/>
    <w:rsid w:val="007222F4"/>
    <w:rsid w:val="007223EF"/>
    <w:rsid w:val="00722415"/>
    <w:rsid w:val="00722446"/>
    <w:rsid w:val="0072258C"/>
    <w:rsid w:val="007225A6"/>
    <w:rsid w:val="007226F7"/>
    <w:rsid w:val="00722AAA"/>
    <w:rsid w:val="00722B1E"/>
    <w:rsid w:val="00722BDF"/>
    <w:rsid w:val="00722C91"/>
    <w:rsid w:val="00723107"/>
    <w:rsid w:val="00723514"/>
    <w:rsid w:val="0072363E"/>
    <w:rsid w:val="00723719"/>
    <w:rsid w:val="007237B8"/>
    <w:rsid w:val="0072387B"/>
    <w:rsid w:val="00723AA8"/>
    <w:rsid w:val="00723BA8"/>
    <w:rsid w:val="00723C79"/>
    <w:rsid w:val="0072404F"/>
    <w:rsid w:val="00724346"/>
    <w:rsid w:val="00724691"/>
    <w:rsid w:val="00724962"/>
    <w:rsid w:val="007249BD"/>
    <w:rsid w:val="00724A0F"/>
    <w:rsid w:val="00724FD6"/>
    <w:rsid w:val="0072575D"/>
    <w:rsid w:val="0072591B"/>
    <w:rsid w:val="00725EF6"/>
    <w:rsid w:val="00726209"/>
    <w:rsid w:val="007265B2"/>
    <w:rsid w:val="007267AA"/>
    <w:rsid w:val="00726A2B"/>
    <w:rsid w:val="00726B60"/>
    <w:rsid w:val="00726C9E"/>
    <w:rsid w:val="00726D2F"/>
    <w:rsid w:val="00726DD8"/>
    <w:rsid w:val="007273AB"/>
    <w:rsid w:val="007274F1"/>
    <w:rsid w:val="007274FA"/>
    <w:rsid w:val="007276E4"/>
    <w:rsid w:val="00727AE6"/>
    <w:rsid w:val="00727C8B"/>
    <w:rsid w:val="00727D09"/>
    <w:rsid w:val="00727D4A"/>
    <w:rsid w:val="00727DAC"/>
    <w:rsid w:val="0073022B"/>
    <w:rsid w:val="00730528"/>
    <w:rsid w:val="007309E7"/>
    <w:rsid w:val="00730AD4"/>
    <w:rsid w:val="00730B9D"/>
    <w:rsid w:val="00730E28"/>
    <w:rsid w:val="00730EC3"/>
    <w:rsid w:val="00731069"/>
    <w:rsid w:val="00731112"/>
    <w:rsid w:val="00731189"/>
    <w:rsid w:val="00731247"/>
    <w:rsid w:val="00731465"/>
    <w:rsid w:val="00731470"/>
    <w:rsid w:val="007315B3"/>
    <w:rsid w:val="007315CC"/>
    <w:rsid w:val="00731839"/>
    <w:rsid w:val="0073185B"/>
    <w:rsid w:val="007319C8"/>
    <w:rsid w:val="00731EA1"/>
    <w:rsid w:val="00731EE8"/>
    <w:rsid w:val="00732024"/>
    <w:rsid w:val="007321C6"/>
    <w:rsid w:val="00732465"/>
    <w:rsid w:val="00732490"/>
    <w:rsid w:val="00732492"/>
    <w:rsid w:val="0073287B"/>
    <w:rsid w:val="00732888"/>
    <w:rsid w:val="00732961"/>
    <w:rsid w:val="007329C4"/>
    <w:rsid w:val="00732A02"/>
    <w:rsid w:val="00732A76"/>
    <w:rsid w:val="00732B1A"/>
    <w:rsid w:val="00732D1E"/>
    <w:rsid w:val="007330DA"/>
    <w:rsid w:val="00733115"/>
    <w:rsid w:val="00733184"/>
    <w:rsid w:val="007331F4"/>
    <w:rsid w:val="0073339C"/>
    <w:rsid w:val="0073342C"/>
    <w:rsid w:val="00733558"/>
    <w:rsid w:val="00733598"/>
    <w:rsid w:val="0073369E"/>
    <w:rsid w:val="00733889"/>
    <w:rsid w:val="00733F77"/>
    <w:rsid w:val="00734233"/>
    <w:rsid w:val="007342C0"/>
    <w:rsid w:val="007342D1"/>
    <w:rsid w:val="00734361"/>
    <w:rsid w:val="00734460"/>
    <w:rsid w:val="007344BA"/>
    <w:rsid w:val="007346DB"/>
    <w:rsid w:val="007347C6"/>
    <w:rsid w:val="00734A6C"/>
    <w:rsid w:val="00734A94"/>
    <w:rsid w:val="00734BFD"/>
    <w:rsid w:val="00734F8F"/>
    <w:rsid w:val="007358CA"/>
    <w:rsid w:val="00735924"/>
    <w:rsid w:val="007359AB"/>
    <w:rsid w:val="00735A85"/>
    <w:rsid w:val="00735AB3"/>
    <w:rsid w:val="00735C77"/>
    <w:rsid w:val="00735D31"/>
    <w:rsid w:val="00735DBF"/>
    <w:rsid w:val="00735DFC"/>
    <w:rsid w:val="00735EB4"/>
    <w:rsid w:val="007360D6"/>
    <w:rsid w:val="00736342"/>
    <w:rsid w:val="00736413"/>
    <w:rsid w:val="00736434"/>
    <w:rsid w:val="0073661D"/>
    <w:rsid w:val="007366C3"/>
    <w:rsid w:val="007366D6"/>
    <w:rsid w:val="00736732"/>
    <w:rsid w:val="007367AF"/>
    <w:rsid w:val="007368B3"/>
    <w:rsid w:val="00736943"/>
    <w:rsid w:val="0073694C"/>
    <w:rsid w:val="00736CB5"/>
    <w:rsid w:val="00736E38"/>
    <w:rsid w:val="00736F51"/>
    <w:rsid w:val="00736F9D"/>
    <w:rsid w:val="0073727F"/>
    <w:rsid w:val="007374D4"/>
    <w:rsid w:val="0073758A"/>
    <w:rsid w:val="0073770B"/>
    <w:rsid w:val="0073780A"/>
    <w:rsid w:val="00737AE1"/>
    <w:rsid w:val="00737CC3"/>
    <w:rsid w:val="00737FED"/>
    <w:rsid w:val="00740005"/>
    <w:rsid w:val="00740019"/>
    <w:rsid w:val="00740079"/>
    <w:rsid w:val="00740184"/>
    <w:rsid w:val="007401B9"/>
    <w:rsid w:val="007402F2"/>
    <w:rsid w:val="00740471"/>
    <w:rsid w:val="00740875"/>
    <w:rsid w:val="00740A8F"/>
    <w:rsid w:val="00740B89"/>
    <w:rsid w:val="00740CBC"/>
    <w:rsid w:val="00740E15"/>
    <w:rsid w:val="00740F81"/>
    <w:rsid w:val="00740FC2"/>
    <w:rsid w:val="0074116B"/>
    <w:rsid w:val="00741342"/>
    <w:rsid w:val="007413C3"/>
    <w:rsid w:val="00741646"/>
    <w:rsid w:val="007418EB"/>
    <w:rsid w:val="00741943"/>
    <w:rsid w:val="00741AD7"/>
    <w:rsid w:val="00741F1A"/>
    <w:rsid w:val="00741F1C"/>
    <w:rsid w:val="007420F0"/>
    <w:rsid w:val="0074263D"/>
    <w:rsid w:val="0074265F"/>
    <w:rsid w:val="007429E0"/>
    <w:rsid w:val="007431AC"/>
    <w:rsid w:val="007432F9"/>
    <w:rsid w:val="00743782"/>
    <w:rsid w:val="007437CB"/>
    <w:rsid w:val="00743A28"/>
    <w:rsid w:val="00743AFD"/>
    <w:rsid w:val="00743E04"/>
    <w:rsid w:val="007445E0"/>
    <w:rsid w:val="00744603"/>
    <w:rsid w:val="007447D9"/>
    <w:rsid w:val="00744A4D"/>
    <w:rsid w:val="00744B3F"/>
    <w:rsid w:val="00744F88"/>
    <w:rsid w:val="007454DD"/>
    <w:rsid w:val="007455B0"/>
    <w:rsid w:val="00745691"/>
    <w:rsid w:val="00745797"/>
    <w:rsid w:val="007457AA"/>
    <w:rsid w:val="0074592A"/>
    <w:rsid w:val="00745E50"/>
    <w:rsid w:val="00746068"/>
    <w:rsid w:val="007460E6"/>
    <w:rsid w:val="00746253"/>
    <w:rsid w:val="00746426"/>
    <w:rsid w:val="00746482"/>
    <w:rsid w:val="0074669A"/>
    <w:rsid w:val="007467D5"/>
    <w:rsid w:val="00746C89"/>
    <w:rsid w:val="00746DBE"/>
    <w:rsid w:val="0074704A"/>
    <w:rsid w:val="00747109"/>
    <w:rsid w:val="0074739B"/>
    <w:rsid w:val="007473F6"/>
    <w:rsid w:val="0074744A"/>
    <w:rsid w:val="0074754D"/>
    <w:rsid w:val="00747605"/>
    <w:rsid w:val="007476F9"/>
    <w:rsid w:val="00747818"/>
    <w:rsid w:val="007479A0"/>
    <w:rsid w:val="007479EE"/>
    <w:rsid w:val="007479F4"/>
    <w:rsid w:val="00747F5B"/>
    <w:rsid w:val="0075063E"/>
    <w:rsid w:val="00750687"/>
    <w:rsid w:val="007506DB"/>
    <w:rsid w:val="00750BF9"/>
    <w:rsid w:val="00750CBE"/>
    <w:rsid w:val="00750CE7"/>
    <w:rsid w:val="00750F13"/>
    <w:rsid w:val="00750F84"/>
    <w:rsid w:val="00750FA3"/>
    <w:rsid w:val="007512A6"/>
    <w:rsid w:val="00751705"/>
    <w:rsid w:val="00751952"/>
    <w:rsid w:val="0075197A"/>
    <w:rsid w:val="00751E21"/>
    <w:rsid w:val="00752084"/>
    <w:rsid w:val="00752131"/>
    <w:rsid w:val="00752573"/>
    <w:rsid w:val="00752C42"/>
    <w:rsid w:val="00752C9C"/>
    <w:rsid w:val="00752E05"/>
    <w:rsid w:val="00752E88"/>
    <w:rsid w:val="00752FC6"/>
    <w:rsid w:val="007530E5"/>
    <w:rsid w:val="0075331D"/>
    <w:rsid w:val="0075335C"/>
    <w:rsid w:val="007534A3"/>
    <w:rsid w:val="00753788"/>
    <w:rsid w:val="00753AF8"/>
    <w:rsid w:val="00753CA4"/>
    <w:rsid w:val="00753FD3"/>
    <w:rsid w:val="00754189"/>
    <w:rsid w:val="007541C5"/>
    <w:rsid w:val="00754A1E"/>
    <w:rsid w:val="00754C2D"/>
    <w:rsid w:val="00754D80"/>
    <w:rsid w:val="00754DBB"/>
    <w:rsid w:val="00754F3F"/>
    <w:rsid w:val="00755049"/>
    <w:rsid w:val="007550F6"/>
    <w:rsid w:val="00755119"/>
    <w:rsid w:val="0075521F"/>
    <w:rsid w:val="00755345"/>
    <w:rsid w:val="0075550D"/>
    <w:rsid w:val="007558B1"/>
    <w:rsid w:val="007558B8"/>
    <w:rsid w:val="00755E56"/>
    <w:rsid w:val="00756006"/>
    <w:rsid w:val="007561BA"/>
    <w:rsid w:val="007561D8"/>
    <w:rsid w:val="007563C6"/>
    <w:rsid w:val="007566BB"/>
    <w:rsid w:val="007568B8"/>
    <w:rsid w:val="00756A2E"/>
    <w:rsid w:val="00756B04"/>
    <w:rsid w:val="00756B96"/>
    <w:rsid w:val="00756BF1"/>
    <w:rsid w:val="00756C30"/>
    <w:rsid w:val="00756C33"/>
    <w:rsid w:val="00756CFC"/>
    <w:rsid w:val="00756D4E"/>
    <w:rsid w:val="00756EE8"/>
    <w:rsid w:val="00757216"/>
    <w:rsid w:val="007572B0"/>
    <w:rsid w:val="00757545"/>
    <w:rsid w:val="007576E8"/>
    <w:rsid w:val="007578C9"/>
    <w:rsid w:val="007579D2"/>
    <w:rsid w:val="00757A33"/>
    <w:rsid w:val="00757E17"/>
    <w:rsid w:val="00757E19"/>
    <w:rsid w:val="00757EDD"/>
    <w:rsid w:val="00757F2C"/>
    <w:rsid w:val="007600A1"/>
    <w:rsid w:val="00760278"/>
    <w:rsid w:val="007605EA"/>
    <w:rsid w:val="0076066D"/>
    <w:rsid w:val="00760688"/>
    <w:rsid w:val="00760B66"/>
    <w:rsid w:val="00760B7A"/>
    <w:rsid w:val="00760C07"/>
    <w:rsid w:val="00761092"/>
    <w:rsid w:val="007610F3"/>
    <w:rsid w:val="007611FD"/>
    <w:rsid w:val="0076130C"/>
    <w:rsid w:val="00761928"/>
    <w:rsid w:val="00761C67"/>
    <w:rsid w:val="00761C8C"/>
    <w:rsid w:val="00762122"/>
    <w:rsid w:val="0076232D"/>
    <w:rsid w:val="00762427"/>
    <w:rsid w:val="007624FA"/>
    <w:rsid w:val="00762528"/>
    <w:rsid w:val="007625EB"/>
    <w:rsid w:val="00762766"/>
    <w:rsid w:val="0076278D"/>
    <w:rsid w:val="0076283C"/>
    <w:rsid w:val="007628AE"/>
    <w:rsid w:val="00762A02"/>
    <w:rsid w:val="00762F6E"/>
    <w:rsid w:val="007631B3"/>
    <w:rsid w:val="0076324E"/>
    <w:rsid w:val="00763837"/>
    <w:rsid w:val="007638BF"/>
    <w:rsid w:val="00763D33"/>
    <w:rsid w:val="00763E02"/>
    <w:rsid w:val="00764008"/>
    <w:rsid w:val="00764071"/>
    <w:rsid w:val="007640D8"/>
    <w:rsid w:val="007641C8"/>
    <w:rsid w:val="00764240"/>
    <w:rsid w:val="00764804"/>
    <w:rsid w:val="007648B2"/>
    <w:rsid w:val="0076499E"/>
    <w:rsid w:val="00764A61"/>
    <w:rsid w:val="00764DD9"/>
    <w:rsid w:val="00764E29"/>
    <w:rsid w:val="00764E36"/>
    <w:rsid w:val="00764F54"/>
    <w:rsid w:val="00764F8F"/>
    <w:rsid w:val="00764FE8"/>
    <w:rsid w:val="007650D2"/>
    <w:rsid w:val="0076517A"/>
    <w:rsid w:val="007651E1"/>
    <w:rsid w:val="0076524F"/>
    <w:rsid w:val="007654A0"/>
    <w:rsid w:val="00765502"/>
    <w:rsid w:val="007655E8"/>
    <w:rsid w:val="00765BAB"/>
    <w:rsid w:val="00765C76"/>
    <w:rsid w:val="00765FE7"/>
    <w:rsid w:val="007660C9"/>
    <w:rsid w:val="007663AE"/>
    <w:rsid w:val="007663C4"/>
    <w:rsid w:val="007663E9"/>
    <w:rsid w:val="00766402"/>
    <w:rsid w:val="007666D7"/>
    <w:rsid w:val="007668D7"/>
    <w:rsid w:val="0076697D"/>
    <w:rsid w:val="00766B5A"/>
    <w:rsid w:val="00766C48"/>
    <w:rsid w:val="00766D74"/>
    <w:rsid w:val="007670BB"/>
    <w:rsid w:val="00767148"/>
    <w:rsid w:val="0076715B"/>
    <w:rsid w:val="00767302"/>
    <w:rsid w:val="00767378"/>
    <w:rsid w:val="00767B4E"/>
    <w:rsid w:val="00767B8C"/>
    <w:rsid w:val="00767B97"/>
    <w:rsid w:val="00767CE3"/>
    <w:rsid w:val="00767E32"/>
    <w:rsid w:val="007700DB"/>
    <w:rsid w:val="00770122"/>
    <w:rsid w:val="0077043D"/>
    <w:rsid w:val="007708DD"/>
    <w:rsid w:val="0077090A"/>
    <w:rsid w:val="00770C6C"/>
    <w:rsid w:val="00770D31"/>
    <w:rsid w:val="00770FCD"/>
    <w:rsid w:val="007710D4"/>
    <w:rsid w:val="007711E5"/>
    <w:rsid w:val="0077179B"/>
    <w:rsid w:val="00771E87"/>
    <w:rsid w:val="00771F8A"/>
    <w:rsid w:val="00772124"/>
    <w:rsid w:val="00772209"/>
    <w:rsid w:val="00772422"/>
    <w:rsid w:val="0077262F"/>
    <w:rsid w:val="0077268B"/>
    <w:rsid w:val="00772757"/>
    <w:rsid w:val="00772869"/>
    <w:rsid w:val="00772978"/>
    <w:rsid w:val="0077299A"/>
    <w:rsid w:val="00772A1D"/>
    <w:rsid w:val="00772AEC"/>
    <w:rsid w:val="00772C1A"/>
    <w:rsid w:val="00772E7A"/>
    <w:rsid w:val="007731FC"/>
    <w:rsid w:val="00773609"/>
    <w:rsid w:val="007736C1"/>
    <w:rsid w:val="0077374A"/>
    <w:rsid w:val="00773C0D"/>
    <w:rsid w:val="00773D4C"/>
    <w:rsid w:val="00773E5D"/>
    <w:rsid w:val="00773FE1"/>
    <w:rsid w:val="00773FF4"/>
    <w:rsid w:val="00774074"/>
    <w:rsid w:val="0077409C"/>
    <w:rsid w:val="0077414E"/>
    <w:rsid w:val="007741DB"/>
    <w:rsid w:val="00774527"/>
    <w:rsid w:val="00774642"/>
    <w:rsid w:val="00774CEF"/>
    <w:rsid w:val="00774E76"/>
    <w:rsid w:val="00774EC2"/>
    <w:rsid w:val="007750B9"/>
    <w:rsid w:val="0077517D"/>
    <w:rsid w:val="00775309"/>
    <w:rsid w:val="007753D3"/>
    <w:rsid w:val="0077546F"/>
    <w:rsid w:val="00775711"/>
    <w:rsid w:val="007758DC"/>
    <w:rsid w:val="007759ED"/>
    <w:rsid w:val="00775B5B"/>
    <w:rsid w:val="00775C5E"/>
    <w:rsid w:val="00775CD1"/>
    <w:rsid w:val="00775D7F"/>
    <w:rsid w:val="00775ED6"/>
    <w:rsid w:val="00776103"/>
    <w:rsid w:val="007762E1"/>
    <w:rsid w:val="007765C3"/>
    <w:rsid w:val="007766CC"/>
    <w:rsid w:val="00776B9F"/>
    <w:rsid w:val="00776BD6"/>
    <w:rsid w:val="00776CBF"/>
    <w:rsid w:val="00776D88"/>
    <w:rsid w:val="00777044"/>
    <w:rsid w:val="00777092"/>
    <w:rsid w:val="007770A5"/>
    <w:rsid w:val="007770BA"/>
    <w:rsid w:val="0077724C"/>
    <w:rsid w:val="00777585"/>
    <w:rsid w:val="007775A7"/>
    <w:rsid w:val="007776EB"/>
    <w:rsid w:val="00777766"/>
    <w:rsid w:val="00777EBE"/>
    <w:rsid w:val="00780153"/>
    <w:rsid w:val="00780343"/>
    <w:rsid w:val="00780421"/>
    <w:rsid w:val="007805A2"/>
    <w:rsid w:val="00780842"/>
    <w:rsid w:val="00780A6F"/>
    <w:rsid w:val="00780B58"/>
    <w:rsid w:val="00780E0D"/>
    <w:rsid w:val="00780E37"/>
    <w:rsid w:val="00780FF5"/>
    <w:rsid w:val="00781174"/>
    <w:rsid w:val="007811F6"/>
    <w:rsid w:val="0078141B"/>
    <w:rsid w:val="00781473"/>
    <w:rsid w:val="00781491"/>
    <w:rsid w:val="0078151D"/>
    <w:rsid w:val="00781527"/>
    <w:rsid w:val="0078154A"/>
    <w:rsid w:val="007816AD"/>
    <w:rsid w:val="00781819"/>
    <w:rsid w:val="00781C7D"/>
    <w:rsid w:val="00781DE4"/>
    <w:rsid w:val="00781E56"/>
    <w:rsid w:val="00781F2D"/>
    <w:rsid w:val="007820E1"/>
    <w:rsid w:val="007823D6"/>
    <w:rsid w:val="00782664"/>
    <w:rsid w:val="007826D2"/>
    <w:rsid w:val="007828F8"/>
    <w:rsid w:val="00782A08"/>
    <w:rsid w:val="00782C2F"/>
    <w:rsid w:val="00782DB1"/>
    <w:rsid w:val="0078318F"/>
    <w:rsid w:val="007831B4"/>
    <w:rsid w:val="0078322C"/>
    <w:rsid w:val="0078341D"/>
    <w:rsid w:val="007834F2"/>
    <w:rsid w:val="007835B7"/>
    <w:rsid w:val="00783808"/>
    <w:rsid w:val="00783841"/>
    <w:rsid w:val="00783A9A"/>
    <w:rsid w:val="00783E74"/>
    <w:rsid w:val="00784113"/>
    <w:rsid w:val="0078420F"/>
    <w:rsid w:val="0078432C"/>
    <w:rsid w:val="00784387"/>
    <w:rsid w:val="00784619"/>
    <w:rsid w:val="00784A96"/>
    <w:rsid w:val="00784AF9"/>
    <w:rsid w:val="00784D7A"/>
    <w:rsid w:val="0078532A"/>
    <w:rsid w:val="00785594"/>
    <w:rsid w:val="00785BC6"/>
    <w:rsid w:val="00785CEF"/>
    <w:rsid w:val="00785D0F"/>
    <w:rsid w:val="00785D77"/>
    <w:rsid w:val="00785EB3"/>
    <w:rsid w:val="007861BB"/>
    <w:rsid w:val="00786548"/>
    <w:rsid w:val="00786879"/>
    <w:rsid w:val="00786A04"/>
    <w:rsid w:val="00786DB7"/>
    <w:rsid w:val="00787372"/>
    <w:rsid w:val="00787602"/>
    <w:rsid w:val="00787878"/>
    <w:rsid w:val="00787CC5"/>
    <w:rsid w:val="007909FE"/>
    <w:rsid w:val="00790A6F"/>
    <w:rsid w:val="00790D25"/>
    <w:rsid w:val="00790F6D"/>
    <w:rsid w:val="00791020"/>
    <w:rsid w:val="00791031"/>
    <w:rsid w:val="00791140"/>
    <w:rsid w:val="007911B6"/>
    <w:rsid w:val="007911E5"/>
    <w:rsid w:val="007913E6"/>
    <w:rsid w:val="00791654"/>
    <w:rsid w:val="0079168D"/>
    <w:rsid w:val="007917A6"/>
    <w:rsid w:val="00791C11"/>
    <w:rsid w:val="00791D7F"/>
    <w:rsid w:val="007920BB"/>
    <w:rsid w:val="0079232F"/>
    <w:rsid w:val="0079234B"/>
    <w:rsid w:val="0079237D"/>
    <w:rsid w:val="0079241B"/>
    <w:rsid w:val="0079258F"/>
    <w:rsid w:val="00792B58"/>
    <w:rsid w:val="00792EA6"/>
    <w:rsid w:val="0079313D"/>
    <w:rsid w:val="0079321B"/>
    <w:rsid w:val="0079396F"/>
    <w:rsid w:val="00793D43"/>
    <w:rsid w:val="00793E1A"/>
    <w:rsid w:val="00793F5F"/>
    <w:rsid w:val="00793F8D"/>
    <w:rsid w:val="007942FE"/>
    <w:rsid w:val="0079454F"/>
    <w:rsid w:val="00794552"/>
    <w:rsid w:val="00794880"/>
    <w:rsid w:val="00794A4C"/>
    <w:rsid w:val="00794BCA"/>
    <w:rsid w:val="00794C32"/>
    <w:rsid w:val="00794DBD"/>
    <w:rsid w:val="00795119"/>
    <w:rsid w:val="0079581E"/>
    <w:rsid w:val="00795858"/>
    <w:rsid w:val="007958E3"/>
    <w:rsid w:val="0079598A"/>
    <w:rsid w:val="0079598B"/>
    <w:rsid w:val="00795A29"/>
    <w:rsid w:val="00795ABF"/>
    <w:rsid w:val="00795C8D"/>
    <w:rsid w:val="00796340"/>
    <w:rsid w:val="007963D5"/>
    <w:rsid w:val="0079642E"/>
    <w:rsid w:val="00796484"/>
    <w:rsid w:val="007966EB"/>
    <w:rsid w:val="00796822"/>
    <w:rsid w:val="00796999"/>
    <w:rsid w:val="00796AAF"/>
    <w:rsid w:val="00796D97"/>
    <w:rsid w:val="00796EDC"/>
    <w:rsid w:val="00797036"/>
    <w:rsid w:val="0079708F"/>
    <w:rsid w:val="007974C7"/>
    <w:rsid w:val="00797535"/>
    <w:rsid w:val="00797957"/>
    <w:rsid w:val="00797B52"/>
    <w:rsid w:val="00797B87"/>
    <w:rsid w:val="00797BC7"/>
    <w:rsid w:val="00797C50"/>
    <w:rsid w:val="00797D4F"/>
    <w:rsid w:val="00797EB5"/>
    <w:rsid w:val="007A0343"/>
    <w:rsid w:val="007A038C"/>
    <w:rsid w:val="007A04D2"/>
    <w:rsid w:val="007A06C2"/>
    <w:rsid w:val="007A0A56"/>
    <w:rsid w:val="007A0B5B"/>
    <w:rsid w:val="007A0C2B"/>
    <w:rsid w:val="007A0C5E"/>
    <w:rsid w:val="007A10BA"/>
    <w:rsid w:val="007A1136"/>
    <w:rsid w:val="007A1427"/>
    <w:rsid w:val="007A1603"/>
    <w:rsid w:val="007A181E"/>
    <w:rsid w:val="007A1D33"/>
    <w:rsid w:val="007A1EA7"/>
    <w:rsid w:val="007A1F7F"/>
    <w:rsid w:val="007A1FCF"/>
    <w:rsid w:val="007A205E"/>
    <w:rsid w:val="007A20CA"/>
    <w:rsid w:val="007A21B1"/>
    <w:rsid w:val="007A2255"/>
    <w:rsid w:val="007A2425"/>
    <w:rsid w:val="007A2859"/>
    <w:rsid w:val="007A2C8C"/>
    <w:rsid w:val="007A2D9B"/>
    <w:rsid w:val="007A3110"/>
    <w:rsid w:val="007A333A"/>
    <w:rsid w:val="007A3533"/>
    <w:rsid w:val="007A36D1"/>
    <w:rsid w:val="007A37A1"/>
    <w:rsid w:val="007A3843"/>
    <w:rsid w:val="007A3977"/>
    <w:rsid w:val="007A3A8B"/>
    <w:rsid w:val="007A3A9A"/>
    <w:rsid w:val="007A3CCE"/>
    <w:rsid w:val="007A4D72"/>
    <w:rsid w:val="007A52A0"/>
    <w:rsid w:val="007A5754"/>
    <w:rsid w:val="007A58B6"/>
    <w:rsid w:val="007A5BF4"/>
    <w:rsid w:val="007A5C05"/>
    <w:rsid w:val="007A5D2B"/>
    <w:rsid w:val="007A5D7D"/>
    <w:rsid w:val="007A5F82"/>
    <w:rsid w:val="007A61F8"/>
    <w:rsid w:val="007A6215"/>
    <w:rsid w:val="007A629A"/>
    <w:rsid w:val="007A6419"/>
    <w:rsid w:val="007A6567"/>
    <w:rsid w:val="007A67C1"/>
    <w:rsid w:val="007A6840"/>
    <w:rsid w:val="007A68CB"/>
    <w:rsid w:val="007A6AC9"/>
    <w:rsid w:val="007A6DA2"/>
    <w:rsid w:val="007A6E35"/>
    <w:rsid w:val="007A6F88"/>
    <w:rsid w:val="007A6FB0"/>
    <w:rsid w:val="007A71D5"/>
    <w:rsid w:val="007A7234"/>
    <w:rsid w:val="007A73E9"/>
    <w:rsid w:val="007A75EC"/>
    <w:rsid w:val="007A7742"/>
    <w:rsid w:val="007A77B7"/>
    <w:rsid w:val="007A783E"/>
    <w:rsid w:val="007A7887"/>
    <w:rsid w:val="007A7C7F"/>
    <w:rsid w:val="007B0626"/>
    <w:rsid w:val="007B070A"/>
    <w:rsid w:val="007B072C"/>
    <w:rsid w:val="007B0760"/>
    <w:rsid w:val="007B09D9"/>
    <w:rsid w:val="007B0B4B"/>
    <w:rsid w:val="007B0C64"/>
    <w:rsid w:val="007B0CEA"/>
    <w:rsid w:val="007B0DCF"/>
    <w:rsid w:val="007B0DF1"/>
    <w:rsid w:val="007B135F"/>
    <w:rsid w:val="007B13DA"/>
    <w:rsid w:val="007B1417"/>
    <w:rsid w:val="007B168B"/>
    <w:rsid w:val="007B1714"/>
    <w:rsid w:val="007B19B7"/>
    <w:rsid w:val="007B1BED"/>
    <w:rsid w:val="007B1F45"/>
    <w:rsid w:val="007B20DA"/>
    <w:rsid w:val="007B229C"/>
    <w:rsid w:val="007B23B1"/>
    <w:rsid w:val="007B27EF"/>
    <w:rsid w:val="007B28FA"/>
    <w:rsid w:val="007B2B03"/>
    <w:rsid w:val="007B2B64"/>
    <w:rsid w:val="007B2BEB"/>
    <w:rsid w:val="007B2CE3"/>
    <w:rsid w:val="007B2D15"/>
    <w:rsid w:val="007B2D2F"/>
    <w:rsid w:val="007B2DAA"/>
    <w:rsid w:val="007B2F66"/>
    <w:rsid w:val="007B31A5"/>
    <w:rsid w:val="007B32D5"/>
    <w:rsid w:val="007B335C"/>
    <w:rsid w:val="007B367B"/>
    <w:rsid w:val="007B369D"/>
    <w:rsid w:val="007B37DB"/>
    <w:rsid w:val="007B3924"/>
    <w:rsid w:val="007B3B73"/>
    <w:rsid w:val="007B3D3C"/>
    <w:rsid w:val="007B415A"/>
    <w:rsid w:val="007B4354"/>
    <w:rsid w:val="007B461A"/>
    <w:rsid w:val="007B4827"/>
    <w:rsid w:val="007B4839"/>
    <w:rsid w:val="007B4C28"/>
    <w:rsid w:val="007B4DEB"/>
    <w:rsid w:val="007B55C7"/>
    <w:rsid w:val="007B5875"/>
    <w:rsid w:val="007B59EF"/>
    <w:rsid w:val="007B5D38"/>
    <w:rsid w:val="007B5DDE"/>
    <w:rsid w:val="007B5F06"/>
    <w:rsid w:val="007B5FEA"/>
    <w:rsid w:val="007B6111"/>
    <w:rsid w:val="007B6158"/>
    <w:rsid w:val="007B632B"/>
    <w:rsid w:val="007B637C"/>
    <w:rsid w:val="007B64CE"/>
    <w:rsid w:val="007B680A"/>
    <w:rsid w:val="007B6F00"/>
    <w:rsid w:val="007B7060"/>
    <w:rsid w:val="007B70E1"/>
    <w:rsid w:val="007B7119"/>
    <w:rsid w:val="007B72E5"/>
    <w:rsid w:val="007B77DB"/>
    <w:rsid w:val="007B77FF"/>
    <w:rsid w:val="007B7A89"/>
    <w:rsid w:val="007B7AA9"/>
    <w:rsid w:val="007B7AF2"/>
    <w:rsid w:val="007B7B96"/>
    <w:rsid w:val="007B7C55"/>
    <w:rsid w:val="007B7E61"/>
    <w:rsid w:val="007C0001"/>
    <w:rsid w:val="007C03FF"/>
    <w:rsid w:val="007C051F"/>
    <w:rsid w:val="007C06CF"/>
    <w:rsid w:val="007C06ED"/>
    <w:rsid w:val="007C0A9B"/>
    <w:rsid w:val="007C0AEB"/>
    <w:rsid w:val="007C0B7C"/>
    <w:rsid w:val="007C0C40"/>
    <w:rsid w:val="007C0DE0"/>
    <w:rsid w:val="007C0F96"/>
    <w:rsid w:val="007C1051"/>
    <w:rsid w:val="007C10E6"/>
    <w:rsid w:val="007C17A7"/>
    <w:rsid w:val="007C18EF"/>
    <w:rsid w:val="007C190A"/>
    <w:rsid w:val="007C1D47"/>
    <w:rsid w:val="007C1F75"/>
    <w:rsid w:val="007C1F7B"/>
    <w:rsid w:val="007C247E"/>
    <w:rsid w:val="007C2B2D"/>
    <w:rsid w:val="007C2D78"/>
    <w:rsid w:val="007C2DFB"/>
    <w:rsid w:val="007C2F0A"/>
    <w:rsid w:val="007C2FBF"/>
    <w:rsid w:val="007C3016"/>
    <w:rsid w:val="007C3085"/>
    <w:rsid w:val="007C3098"/>
    <w:rsid w:val="007C36E2"/>
    <w:rsid w:val="007C37A4"/>
    <w:rsid w:val="007C37D4"/>
    <w:rsid w:val="007C3B13"/>
    <w:rsid w:val="007C3C65"/>
    <w:rsid w:val="007C4133"/>
    <w:rsid w:val="007C4171"/>
    <w:rsid w:val="007C4296"/>
    <w:rsid w:val="007C4298"/>
    <w:rsid w:val="007C42F6"/>
    <w:rsid w:val="007C4456"/>
    <w:rsid w:val="007C4553"/>
    <w:rsid w:val="007C4795"/>
    <w:rsid w:val="007C47AF"/>
    <w:rsid w:val="007C48DE"/>
    <w:rsid w:val="007C49A2"/>
    <w:rsid w:val="007C4A9D"/>
    <w:rsid w:val="007C4D32"/>
    <w:rsid w:val="007C4D57"/>
    <w:rsid w:val="007C4EC3"/>
    <w:rsid w:val="007C5054"/>
    <w:rsid w:val="007C53CC"/>
    <w:rsid w:val="007C542C"/>
    <w:rsid w:val="007C5660"/>
    <w:rsid w:val="007C5C80"/>
    <w:rsid w:val="007C5D8F"/>
    <w:rsid w:val="007C5DF6"/>
    <w:rsid w:val="007C5EBA"/>
    <w:rsid w:val="007C60B3"/>
    <w:rsid w:val="007C60D7"/>
    <w:rsid w:val="007C60F0"/>
    <w:rsid w:val="007C6163"/>
    <w:rsid w:val="007C6199"/>
    <w:rsid w:val="007C6212"/>
    <w:rsid w:val="007C6227"/>
    <w:rsid w:val="007C62FD"/>
    <w:rsid w:val="007C6517"/>
    <w:rsid w:val="007C65CC"/>
    <w:rsid w:val="007C6B0E"/>
    <w:rsid w:val="007C7059"/>
    <w:rsid w:val="007C7472"/>
    <w:rsid w:val="007C76D4"/>
    <w:rsid w:val="007C79DC"/>
    <w:rsid w:val="007C7C7D"/>
    <w:rsid w:val="007C7CC6"/>
    <w:rsid w:val="007C7D95"/>
    <w:rsid w:val="007D0451"/>
    <w:rsid w:val="007D056D"/>
    <w:rsid w:val="007D083A"/>
    <w:rsid w:val="007D1018"/>
    <w:rsid w:val="007D104D"/>
    <w:rsid w:val="007D1247"/>
    <w:rsid w:val="007D15BF"/>
    <w:rsid w:val="007D22F1"/>
    <w:rsid w:val="007D237E"/>
    <w:rsid w:val="007D241B"/>
    <w:rsid w:val="007D2688"/>
    <w:rsid w:val="007D2720"/>
    <w:rsid w:val="007D277C"/>
    <w:rsid w:val="007D2947"/>
    <w:rsid w:val="007D295C"/>
    <w:rsid w:val="007D2EAC"/>
    <w:rsid w:val="007D30F7"/>
    <w:rsid w:val="007D3360"/>
    <w:rsid w:val="007D3830"/>
    <w:rsid w:val="007D39B4"/>
    <w:rsid w:val="007D39B5"/>
    <w:rsid w:val="007D3AD2"/>
    <w:rsid w:val="007D3B43"/>
    <w:rsid w:val="007D4052"/>
    <w:rsid w:val="007D41C8"/>
    <w:rsid w:val="007D41DC"/>
    <w:rsid w:val="007D4346"/>
    <w:rsid w:val="007D4406"/>
    <w:rsid w:val="007D4563"/>
    <w:rsid w:val="007D4618"/>
    <w:rsid w:val="007D470E"/>
    <w:rsid w:val="007D4896"/>
    <w:rsid w:val="007D491A"/>
    <w:rsid w:val="007D4B89"/>
    <w:rsid w:val="007D4BA5"/>
    <w:rsid w:val="007D4BAB"/>
    <w:rsid w:val="007D4C53"/>
    <w:rsid w:val="007D4CDE"/>
    <w:rsid w:val="007D4DF3"/>
    <w:rsid w:val="007D4ED7"/>
    <w:rsid w:val="007D4F27"/>
    <w:rsid w:val="007D508A"/>
    <w:rsid w:val="007D5172"/>
    <w:rsid w:val="007D52D8"/>
    <w:rsid w:val="007D5A7A"/>
    <w:rsid w:val="007D5A95"/>
    <w:rsid w:val="007D5DA2"/>
    <w:rsid w:val="007D5F9E"/>
    <w:rsid w:val="007D6513"/>
    <w:rsid w:val="007D6713"/>
    <w:rsid w:val="007D67EF"/>
    <w:rsid w:val="007D68FB"/>
    <w:rsid w:val="007D6B13"/>
    <w:rsid w:val="007D6C9A"/>
    <w:rsid w:val="007D6EB4"/>
    <w:rsid w:val="007D7370"/>
    <w:rsid w:val="007D7496"/>
    <w:rsid w:val="007D7A4F"/>
    <w:rsid w:val="007E004A"/>
    <w:rsid w:val="007E050A"/>
    <w:rsid w:val="007E0583"/>
    <w:rsid w:val="007E061C"/>
    <w:rsid w:val="007E0673"/>
    <w:rsid w:val="007E0674"/>
    <w:rsid w:val="007E0799"/>
    <w:rsid w:val="007E084C"/>
    <w:rsid w:val="007E08CD"/>
    <w:rsid w:val="007E08D3"/>
    <w:rsid w:val="007E098F"/>
    <w:rsid w:val="007E0B6E"/>
    <w:rsid w:val="007E0BA5"/>
    <w:rsid w:val="007E0C31"/>
    <w:rsid w:val="007E0F42"/>
    <w:rsid w:val="007E1190"/>
    <w:rsid w:val="007E15CC"/>
    <w:rsid w:val="007E1644"/>
    <w:rsid w:val="007E1A42"/>
    <w:rsid w:val="007E1A68"/>
    <w:rsid w:val="007E1ACC"/>
    <w:rsid w:val="007E1ED9"/>
    <w:rsid w:val="007E1F80"/>
    <w:rsid w:val="007E206C"/>
    <w:rsid w:val="007E207B"/>
    <w:rsid w:val="007E257A"/>
    <w:rsid w:val="007E277F"/>
    <w:rsid w:val="007E279C"/>
    <w:rsid w:val="007E29FC"/>
    <w:rsid w:val="007E2EF1"/>
    <w:rsid w:val="007E2FA0"/>
    <w:rsid w:val="007E3370"/>
    <w:rsid w:val="007E35E9"/>
    <w:rsid w:val="007E36C3"/>
    <w:rsid w:val="007E3961"/>
    <w:rsid w:val="007E39A9"/>
    <w:rsid w:val="007E3AC0"/>
    <w:rsid w:val="007E3BA2"/>
    <w:rsid w:val="007E3D1E"/>
    <w:rsid w:val="007E3E5F"/>
    <w:rsid w:val="007E462A"/>
    <w:rsid w:val="007E4729"/>
    <w:rsid w:val="007E4876"/>
    <w:rsid w:val="007E4A08"/>
    <w:rsid w:val="007E4C62"/>
    <w:rsid w:val="007E4EC7"/>
    <w:rsid w:val="007E50EF"/>
    <w:rsid w:val="007E51BE"/>
    <w:rsid w:val="007E5205"/>
    <w:rsid w:val="007E544C"/>
    <w:rsid w:val="007E597A"/>
    <w:rsid w:val="007E59E0"/>
    <w:rsid w:val="007E5CC8"/>
    <w:rsid w:val="007E5CDD"/>
    <w:rsid w:val="007E5D40"/>
    <w:rsid w:val="007E5DCD"/>
    <w:rsid w:val="007E5E4C"/>
    <w:rsid w:val="007E5F06"/>
    <w:rsid w:val="007E6513"/>
    <w:rsid w:val="007E6644"/>
    <w:rsid w:val="007E66F4"/>
    <w:rsid w:val="007E67BA"/>
    <w:rsid w:val="007E6B0B"/>
    <w:rsid w:val="007E6B9C"/>
    <w:rsid w:val="007E6CE8"/>
    <w:rsid w:val="007E6EDB"/>
    <w:rsid w:val="007E6FB0"/>
    <w:rsid w:val="007E73B8"/>
    <w:rsid w:val="007E73E9"/>
    <w:rsid w:val="007E7486"/>
    <w:rsid w:val="007E75C4"/>
    <w:rsid w:val="007E75D2"/>
    <w:rsid w:val="007E772E"/>
    <w:rsid w:val="007E78A1"/>
    <w:rsid w:val="007E7BA9"/>
    <w:rsid w:val="007E7CB7"/>
    <w:rsid w:val="007E7F3F"/>
    <w:rsid w:val="007F04C7"/>
    <w:rsid w:val="007F08E2"/>
    <w:rsid w:val="007F0AC3"/>
    <w:rsid w:val="007F0B27"/>
    <w:rsid w:val="007F1039"/>
    <w:rsid w:val="007F1201"/>
    <w:rsid w:val="007F12F2"/>
    <w:rsid w:val="007F14E8"/>
    <w:rsid w:val="007F155E"/>
    <w:rsid w:val="007F15E1"/>
    <w:rsid w:val="007F17B2"/>
    <w:rsid w:val="007F1839"/>
    <w:rsid w:val="007F199E"/>
    <w:rsid w:val="007F1A4C"/>
    <w:rsid w:val="007F1AB6"/>
    <w:rsid w:val="007F1DA2"/>
    <w:rsid w:val="007F1FF3"/>
    <w:rsid w:val="007F21FF"/>
    <w:rsid w:val="007F2434"/>
    <w:rsid w:val="007F2475"/>
    <w:rsid w:val="007F24E8"/>
    <w:rsid w:val="007F29BC"/>
    <w:rsid w:val="007F2BB2"/>
    <w:rsid w:val="007F2F60"/>
    <w:rsid w:val="007F3088"/>
    <w:rsid w:val="007F3462"/>
    <w:rsid w:val="007F36B2"/>
    <w:rsid w:val="007F378C"/>
    <w:rsid w:val="007F3AC4"/>
    <w:rsid w:val="007F3B81"/>
    <w:rsid w:val="007F3C6F"/>
    <w:rsid w:val="007F3F0F"/>
    <w:rsid w:val="007F3F5F"/>
    <w:rsid w:val="007F3FA2"/>
    <w:rsid w:val="007F42D3"/>
    <w:rsid w:val="007F4526"/>
    <w:rsid w:val="007F4606"/>
    <w:rsid w:val="007F4647"/>
    <w:rsid w:val="007F47FE"/>
    <w:rsid w:val="007F4A4A"/>
    <w:rsid w:val="007F4BB4"/>
    <w:rsid w:val="007F4D09"/>
    <w:rsid w:val="007F4F90"/>
    <w:rsid w:val="007F51EB"/>
    <w:rsid w:val="007F545C"/>
    <w:rsid w:val="007F55DE"/>
    <w:rsid w:val="007F57C9"/>
    <w:rsid w:val="007F5803"/>
    <w:rsid w:val="007F5B34"/>
    <w:rsid w:val="007F5DBA"/>
    <w:rsid w:val="007F5F93"/>
    <w:rsid w:val="007F5FD4"/>
    <w:rsid w:val="007F61E5"/>
    <w:rsid w:val="007F63A3"/>
    <w:rsid w:val="007F66EF"/>
    <w:rsid w:val="007F6803"/>
    <w:rsid w:val="007F68AB"/>
    <w:rsid w:val="007F68FB"/>
    <w:rsid w:val="007F69CC"/>
    <w:rsid w:val="007F6BD7"/>
    <w:rsid w:val="007F6C3E"/>
    <w:rsid w:val="007F723F"/>
    <w:rsid w:val="007F7339"/>
    <w:rsid w:val="007F739F"/>
    <w:rsid w:val="007F7707"/>
    <w:rsid w:val="007F7822"/>
    <w:rsid w:val="0080045E"/>
    <w:rsid w:val="008007E1"/>
    <w:rsid w:val="00800B87"/>
    <w:rsid w:val="00800DD3"/>
    <w:rsid w:val="00800F49"/>
    <w:rsid w:val="00801084"/>
    <w:rsid w:val="00801592"/>
    <w:rsid w:val="00801A6A"/>
    <w:rsid w:val="00801B2F"/>
    <w:rsid w:val="00801B4F"/>
    <w:rsid w:val="00801FE5"/>
    <w:rsid w:val="0080205B"/>
    <w:rsid w:val="008022C3"/>
    <w:rsid w:val="00802355"/>
    <w:rsid w:val="00802426"/>
    <w:rsid w:val="0080259E"/>
    <w:rsid w:val="00802928"/>
    <w:rsid w:val="00802A10"/>
    <w:rsid w:val="00802B5E"/>
    <w:rsid w:val="00802D3D"/>
    <w:rsid w:val="00802F9B"/>
    <w:rsid w:val="00803091"/>
    <w:rsid w:val="0080322C"/>
    <w:rsid w:val="00803569"/>
    <w:rsid w:val="008036E4"/>
    <w:rsid w:val="00803DA7"/>
    <w:rsid w:val="008041E6"/>
    <w:rsid w:val="00804257"/>
    <w:rsid w:val="008042B8"/>
    <w:rsid w:val="008042D5"/>
    <w:rsid w:val="008043CB"/>
    <w:rsid w:val="008046A9"/>
    <w:rsid w:val="008048EE"/>
    <w:rsid w:val="0080498D"/>
    <w:rsid w:val="00804A60"/>
    <w:rsid w:val="00804C69"/>
    <w:rsid w:val="00805007"/>
    <w:rsid w:val="008051D7"/>
    <w:rsid w:val="008053A5"/>
    <w:rsid w:val="00805609"/>
    <w:rsid w:val="00805846"/>
    <w:rsid w:val="00805C7D"/>
    <w:rsid w:val="00806010"/>
    <w:rsid w:val="0080612B"/>
    <w:rsid w:val="0080613C"/>
    <w:rsid w:val="008061E5"/>
    <w:rsid w:val="008062FA"/>
    <w:rsid w:val="0080631D"/>
    <w:rsid w:val="0080656B"/>
    <w:rsid w:val="008065D2"/>
    <w:rsid w:val="00806651"/>
    <w:rsid w:val="0080683F"/>
    <w:rsid w:val="008068A1"/>
    <w:rsid w:val="008068F2"/>
    <w:rsid w:val="00806A62"/>
    <w:rsid w:val="00806B59"/>
    <w:rsid w:val="00806C49"/>
    <w:rsid w:val="00806D67"/>
    <w:rsid w:val="00806D6A"/>
    <w:rsid w:val="00806F1D"/>
    <w:rsid w:val="00807463"/>
    <w:rsid w:val="00807477"/>
    <w:rsid w:val="008075AA"/>
    <w:rsid w:val="00807606"/>
    <w:rsid w:val="00807628"/>
    <w:rsid w:val="008076E6"/>
    <w:rsid w:val="0080783E"/>
    <w:rsid w:val="00807864"/>
    <w:rsid w:val="0080798E"/>
    <w:rsid w:val="008079B7"/>
    <w:rsid w:val="008079CC"/>
    <w:rsid w:val="00807CF9"/>
    <w:rsid w:val="00807D08"/>
    <w:rsid w:val="00807D2D"/>
    <w:rsid w:val="00807DC7"/>
    <w:rsid w:val="00807F03"/>
    <w:rsid w:val="00810768"/>
    <w:rsid w:val="0081082F"/>
    <w:rsid w:val="008108B0"/>
    <w:rsid w:val="00810921"/>
    <w:rsid w:val="00810AB9"/>
    <w:rsid w:val="00810BE6"/>
    <w:rsid w:val="00810CBE"/>
    <w:rsid w:val="00811116"/>
    <w:rsid w:val="008113E8"/>
    <w:rsid w:val="008121E8"/>
    <w:rsid w:val="0081238F"/>
    <w:rsid w:val="008124BA"/>
    <w:rsid w:val="008125C7"/>
    <w:rsid w:val="0081278D"/>
    <w:rsid w:val="0081282E"/>
    <w:rsid w:val="008129D3"/>
    <w:rsid w:val="00812DCD"/>
    <w:rsid w:val="00812F13"/>
    <w:rsid w:val="00812F49"/>
    <w:rsid w:val="00813079"/>
    <w:rsid w:val="0081331E"/>
    <w:rsid w:val="0081347C"/>
    <w:rsid w:val="008136EE"/>
    <w:rsid w:val="00813759"/>
    <w:rsid w:val="008137A9"/>
    <w:rsid w:val="00813878"/>
    <w:rsid w:val="00813CD5"/>
    <w:rsid w:val="00813DC2"/>
    <w:rsid w:val="00813F61"/>
    <w:rsid w:val="00813F6F"/>
    <w:rsid w:val="00814171"/>
    <w:rsid w:val="008143B9"/>
    <w:rsid w:val="008144C0"/>
    <w:rsid w:val="00814529"/>
    <w:rsid w:val="00814534"/>
    <w:rsid w:val="0081466B"/>
    <w:rsid w:val="00814684"/>
    <w:rsid w:val="00814853"/>
    <w:rsid w:val="00814BD9"/>
    <w:rsid w:val="00814CC4"/>
    <w:rsid w:val="00814FB9"/>
    <w:rsid w:val="0081517D"/>
    <w:rsid w:val="008154A5"/>
    <w:rsid w:val="00815521"/>
    <w:rsid w:val="00815578"/>
    <w:rsid w:val="00815591"/>
    <w:rsid w:val="0081582F"/>
    <w:rsid w:val="00815A8A"/>
    <w:rsid w:val="0081676C"/>
    <w:rsid w:val="008167BD"/>
    <w:rsid w:val="008168D1"/>
    <w:rsid w:val="0081694C"/>
    <w:rsid w:val="00816AC0"/>
    <w:rsid w:val="0081706D"/>
    <w:rsid w:val="00817442"/>
    <w:rsid w:val="0081781C"/>
    <w:rsid w:val="0081782B"/>
    <w:rsid w:val="00817B25"/>
    <w:rsid w:val="00817C8D"/>
    <w:rsid w:val="00817EE0"/>
    <w:rsid w:val="0082017B"/>
    <w:rsid w:val="00820186"/>
    <w:rsid w:val="008203D9"/>
    <w:rsid w:val="008205E3"/>
    <w:rsid w:val="0082068D"/>
    <w:rsid w:val="00820796"/>
    <w:rsid w:val="00820E17"/>
    <w:rsid w:val="0082146F"/>
    <w:rsid w:val="00821617"/>
    <w:rsid w:val="0082194C"/>
    <w:rsid w:val="00821C4A"/>
    <w:rsid w:val="00822094"/>
    <w:rsid w:val="0082216E"/>
    <w:rsid w:val="00822237"/>
    <w:rsid w:val="008222FF"/>
    <w:rsid w:val="008223D3"/>
    <w:rsid w:val="008224C6"/>
    <w:rsid w:val="008226BC"/>
    <w:rsid w:val="008226E2"/>
    <w:rsid w:val="008227ED"/>
    <w:rsid w:val="00822E17"/>
    <w:rsid w:val="00822E65"/>
    <w:rsid w:val="008231DF"/>
    <w:rsid w:val="00823311"/>
    <w:rsid w:val="008233B6"/>
    <w:rsid w:val="008233E9"/>
    <w:rsid w:val="00823937"/>
    <w:rsid w:val="00823BDA"/>
    <w:rsid w:val="00823C70"/>
    <w:rsid w:val="00824007"/>
    <w:rsid w:val="008241FF"/>
    <w:rsid w:val="00824369"/>
    <w:rsid w:val="00824427"/>
    <w:rsid w:val="008245EE"/>
    <w:rsid w:val="008249C4"/>
    <w:rsid w:val="008249EA"/>
    <w:rsid w:val="00824C29"/>
    <w:rsid w:val="00824F87"/>
    <w:rsid w:val="00824FA7"/>
    <w:rsid w:val="00825117"/>
    <w:rsid w:val="008251D9"/>
    <w:rsid w:val="008254F8"/>
    <w:rsid w:val="00825603"/>
    <w:rsid w:val="008256C4"/>
    <w:rsid w:val="0082574C"/>
    <w:rsid w:val="0082575D"/>
    <w:rsid w:val="0082580E"/>
    <w:rsid w:val="00825BC7"/>
    <w:rsid w:val="00825DC2"/>
    <w:rsid w:val="00825F23"/>
    <w:rsid w:val="0082625C"/>
    <w:rsid w:val="00826835"/>
    <w:rsid w:val="00826998"/>
    <w:rsid w:val="008269FA"/>
    <w:rsid w:val="00826BF9"/>
    <w:rsid w:val="00826CA8"/>
    <w:rsid w:val="00826D1D"/>
    <w:rsid w:val="00826EA9"/>
    <w:rsid w:val="00826F6C"/>
    <w:rsid w:val="008270F2"/>
    <w:rsid w:val="0082711A"/>
    <w:rsid w:val="00827387"/>
    <w:rsid w:val="00827396"/>
    <w:rsid w:val="00827454"/>
    <w:rsid w:val="008274A5"/>
    <w:rsid w:val="00827626"/>
    <w:rsid w:val="00827A69"/>
    <w:rsid w:val="00830748"/>
    <w:rsid w:val="008308B6"/>
    <w:rsid w:val="00830D2B"/>
    <w:rsid w:val="00830D6C"/>
    <w:rsid w:val="00830E0E"/>
    <w:rsid w:val="00830FCA"/>
    <w:rsid w:val="0083103D"/>
    <w:rsid w:val="008311CA"/>
    <w:rsid w:val="008312BD"/>
    <w:rsid w:val="00831320"/>
    <w:rsid w:val="00831489"/>
    <w:rsid w:val="00831569"/>
    <w:rsid w:val="008315C5"/>
    <w:rsid w:val="00831719"/>
    <w:rsid w:val="00832323"/>
    <w:rsid w:val="008326CC"/>
    <w:rsid w:val="00832931"/>
    <w:rsid w:val="008329AE"/>
    <w:rsid w:val="00832A42"/>
    <w:rsid w:val="00832D67"/>
    <w:rsid w:val="00832EB7"/>
    <w:rsid w:val="008330DF"/>
    <w:rsid w:val="00833121"/>
    <w:rsid w:val="008331AA"/>
    <w:rsid w:val="0083331E"/>
    <w:rsid w:val="00833547"/>
    <w:rsid w:val="008335A6"/>
    <w:rsid w:val="0083377D"/>
    <w:rsid w:val="00833814"/>
    <w:rsid w:val="00833B76"/>
    <w:rsid w:val="00833FB2"/>
    <w:rsid w:val="0083402E"/>
    <w:rsid w:val="00834054"/>
    <w:rsid w:val="00834333"/>
    <w:rsid w:val="00834667"/>
    <w:rsid w:val="008346A3"/>
    <w:rsid w:val="00834757"/>
    <w:rsid w:val="00834CF8"/>
    <w:rsid w:val="00834D27"/>
    <w:rsid w:val="00834D5A"/>
    <w:rsid w:val="00834DF0"/>
    <w:rsid w:val="00834E4A"/>
    <w:rsid w:val="00834EF2"/>
    <w:rsid w:val="008350A7"/>
    <w:rsid w:val="00835227"/>
    <w:rsid w:val="0083539D"/>
    <w:rsid w:val="008353C7"/>
    <w:rsid w:val="008356D0"/>
    <w:rsid w:val="00835815"/>
    <w:rsid w:val="0083599E"/>
    <w:rsid w:val="008359F9"/>
    <w:rsid w:val="00835A21"/>
    <w:rsid w:val="00835A7A"/>
    <w:rsid w:val="00835AD6"/>
    <w:rsid w:val="00835B9E"/>
    <w:rsid w:val="00835CA1"/>
    <w:rsid w:val="00836317"/>
    <w:rsid w:val="008363FC"/>
    <w:rsid w:val="0083659B"/>
    <w:rsid w:val="00836861"/>
    <w:rsid w:val="008369C0"/>
    <w:rsid w:val="00836CC9"/>
    <w:rsid w:val="00836DD6"/>
    <w:rsid w:val="00836FC8"/>
    <w:rsid w:val="00837224"/>
    <w:rsid w:val="0083757C"/>
    <w:rsid w:val="008375AB"/>
    <w:rsid w:val="008375CC"/>
    <w:rsid w:val="00837828"/>
    <w:rsid w:val="00837845"/>
    <w:rsid w:val="00837938"/>
    <w:rsid w:val="00837994"/>
    <w:rsid w:val="00837B60"/>
    <w:rsid w:val="00837C4A"/>
    <w:rsid w:val="00837CB0"/>
    <w:rsid w:val="0084003B"/>
    <w:rsid w:val="008401BD"/>
    <w:rsid w:val="00840339"/>
    <w:rsid w:val="00840769"/>
    <w:rsid w:val="008408C3"/>
    <w:rsid w:val="008409EE"/>
    <w:rsid w:val="00840B01"/>
    <w:rsid w:val="00840EBD"/>
    <w:rsid w:val="00840EC1"/>
    <w:rsid w:val="00841004"/>
    <w:rsid w:val="0084106C"/>
    <w:rsid w:val="0084111F"/>
    <w:rsid w:val="008411E9"/>
    <w:rsid w:val="00841420"/>
    <w:rsid w:val="008415BA"/>
    <w:rsid w:val="00841617"/>
    <w:rsid w:val="0084166E"/>
    <w:rsid w:val="0084186D"/>
    <w:rsid w:val="008418E9"/>
    <w:rsid w:val="00841AB7"/>
    <w:rsid w:val="00841B38"/>
    <w:rsid w:val="00841B5D"/>
    <w:rsid w:val="00841BDC"/>
    <w:rsid w:val="00841CE5"/>
    <w:rsid w:val="00841DAE"/>
    <w:rsid w:val="0084200F"/>
    <w:rsid w:val="0084263A"/>
    <w:rsid w:val="00842924"/>
    <w:rsid w:val="00842A80"/>
    <w:rsid w:val="00842BA1"/>
    <w:rsid w:val="00842F51"/>
    <w:rsid w:val="00843130"/>
    <w:rsid w:val="00843676"/>
    <w:rsid w:val="00843858"/>
    <w:rsid w:val="008438D5"/>
    <w:rsid w:val="008439A2"/>
    <w:rsid w:val="008439B0"/>
    <w:rsid w:val="00843B2C"/>
    <w:rsid w:val="00843BF0"/>
    <w:rsid w:val="0084433F"/>
    <w:rsid w:val="00844474"/>
    <w:rsid w:val="008445FC"/>
    <w:rsid w:val="0084461B"/>
    <w:rsid w:val="00844674"/>
    <w:rsid w:val="00844691"/>
    <w:rsid w:val="0084492B"/>
    <w:rsid w:val="00844B59"/>
    <w:rsid w:val="00844CB1"/>
    <w:rsid w:val="00844D39"/>
    <w:rsid w:val="00844F16"/>
    <w:rsid w:val="0084500B"/>
    <w:rsid w:val="00845305"/>
    <w:rsid w:val="00845AF9"/>
    <w:rsid w:val="00845DC4"/>
    <w:rsid w:val="00845E81"/>
    <w:rsid w:val="00845F6F"/>
    <w:rsid w:val="00846AEC"/>
    <w:rsid w:val="00846C44"/>
    <w:rsid w:val="00846D22"/>
    <w:rsid w:val="00846D91"/>
    <w:rsid w:val="00846DB8"/>
    <w:rsid w:val="00847208"/>
    <w:rsid w:val="00847328"/>
    <w:rsid w:val="008473DC"/>
    <w:rsid w:val="008474C2"/>
    <w:rsid w:val="008476D9"/>
    <w:rsid w:val="00847745"/>
    <w:rsid w:val="0084774B"/>
    <w:rsid w:val="00847B7A"/>
    <w:rsid w:val="0085018C"/>
    <w:rsid w:val="008501B1"/>
    <w:rsid w:val="008501E2"/>
    <w:rsid w:val="00850286"/>
    <w:rsid w:val="00850332"/>
    <w:rsid w:val="008503FF"/>
    <w:rsid w:val="00850A56"/>
    <w:rsid w:val="00851028"/>
    <w:rsid w:val="008510F8"/>
    <w:rsid w:val="008513B6"/>
    <w:rsid w:val="008515B0"/>
    <w:rsid w:val="008517A8"/>
    <w:rsid w:val="00851818"/>
    <w:rsid w:val="00851844"/>
    <w:rsid w:val="00851B5A"/>
    <w:rsid w:val="00851B9F"/>
    <w:rsid w:val="00851E15"/>
    <w:rsid w:val="00852004"/>
    <w:rsid w:val="00852425"/>
    <w:rsid w:val="0085275F"/>
    <w:rsid w:val="0085294D"/>
    <w:rsid w:val="00852B46"/>
    <w:rsid w:val="00852BDF"/>
    <w:rsid w:val="00852C42"/>
    <w:rsid w:val="00852C46"/>
    <w:rsid w:val="00852DCD"/>
    <w:rsid w:val="00852E55"/>
    <w:rsid w:val="0085318D"/>
    <w:rsid w:val="00853398"/>
    <w:rsid w:val="008534D8"/>
    <w:rsid w:val="0085357D"/>
    <w:rsid w:val="0085365A"/>
    <w:rsid w:val="00853883"/>
    <w:rsid w:val="008538C2"/>
    <w:rsid w:val="00853985"/>
    <w:rsid w:val="00853AFF"/>
    <w:rsid w:val="00853B2F"/>
    <w:rsid w:val="00853BBB"/>
    <w:rsid w:val="00853C0C"/>
    <w:rsid w:val="00853C2C"/>
    <w:rsid w:val="00853C70"/>
    <w:rsid w:val="008540B8"/>
    <w:rsid w:val="0085423C"/>
    <w:rsid w:val="00854247"/>
    <w:rsid w:val="00854320"/>
    <w:rsid w:val="008547E7"/>
    <w:rsid w:val="0085493E"/>
    <w:rsid w:val="00854A95"/>
    <w:rsid w:val="00854D45"/>
    <w:rsid w:val="00854DA4"/>
    <w:rsid w:val="00855020"/>
    <w:rsid w:val="00855350"/>
    <w:rsid w:val="00855409"/>
    <w:rsid w:val="0085553C"/>
    <w:rsid w:val="008558DD"/>
    <w:rsid w:val="00855DB3"/>
    <w:rsid w:val="00855E81"/>
    <w:rsid w:val="00855E88"/>
    <w:rsid w:val="00855F4E"/>
    <w:rsid w:val="00855F5C"/>
    <w:rsid w:val="00855FF9"/>
    <w:rsid w:val="0085611D"/>
    <w:rsid w:val="0085619E"/>
    <w:rsid w:val="008563F3"/>
    <w:rsid w:val="00856648"/>
    <w:rsid w:val="0085688B"/>
    <w:rsid w:val="00856892"/>
    <w:rsid w:val="008568ED"/>
    <w:rsid w:val="00856A3A"/>
    <w:rsid w:val="00856AEE"/>
    <w:rsid w:val="00856BF1"/>
    <w:rsid w:val="00856C7B"/>
    <w:rsid w:val="00857147"/>
    <w:rsid w:val="008571ED"/>
    <w:rsid w:val="008575C1"/>
    <w:rsid w:val="00857842"/>
    <w:rsid w:val="00857C02"/>
    <w:rsid w:val="00857C70"/>
    <w:rsid w:val="00857CC6"/>
    <w:rsid w:val="0086038A"/>
    <w:rsid w:val="00860460"/>
    <w:rsid w:val="00860669"/>
    <w:rsid w:val="0086081E"/>
    <w:rsid w:val="00860C78"/>
    <w:rsid w:val="00860DE1"/>
    <w:rsid w:val="00860ECF"/>
    <w:rsid w:val="00860F67"/>
    <w:rsid w:val="008611C9"/>
    <w:rsid w:val="008612E0"/>
    <w:rsid w:val="008614EC"/>
    <w:rsid w:val="008616D6"/>
    <w:rsid w:val="00861732"/>
    <w:rsid w:val="008617A1"/>
    <w:rsid w:val="00861AFA"/>
    <w:rsid w:val="00861B96"/>
    <w:rsid w:val="00861DAF"/>
    <w:rsid w:val="00861EDC"/>
    <w:rsid w:val="00862337"/>
    <w:rsid w:val="00862478"/>
    <w:rsid w:val="0086248E"/>
    <w:rsid w:val="008624F0"/>
    <w:rsid w:val="00862635"/>
    <w:rsid w:val="00862650"/>
    <w:rsid w:val="00862681"/>
    <w:rsid w:val="00862746"/>
    <w:rsid w:val="0086277A"/>
    <w:rsid w:val="00862841"/>
    <w:rsid w:val="008628C6"/>
    <w:rsid w:val="00862C8B"/>
    <w:rsid w:val="00863052"/>
    <w:rsid w:val="00863213"/>
    <w:rsid w:val="008637A2"/>
    <w:rsid w:val="00863E34"/>
    <w:rsid w:val="00863E9D"/>
    <w:rsid w:val="008640B0"/>
    <w:rsid w:val="00864162"/>
    <w:rsid w:val="008641E8"/>
    <w:rsid w:val="00864265"/>
    <w:rsid w:val="008644D1"/>
    <w:rsid w:val="0086455F"/>
    <w:rsid w:val="00864842"/>
    <w:rsid w:val="00864AB5"/>
    <w:rsid w:val="00864B25"/>
    <w:rsid w:val="00864B42"/>
    <w:rsid w:val="00864BD7"/>
    <w:rsid w:val="00864CCB"/>
    <w:rsid w:val="00864E76"/>
    <w:rsid w:val="00864FD3"/>
    <w:rsid w:val="00865122"/>
    <w:rsid w:val="00865153"/>
    <w:rsid w:val="0086519A"/>
    <w:rsid w:val="008651BA"/>
    <w:rsid w:val="008654CD"/>
    <w:rsid w:val="008654F8"/>
    <w:rsid w:val="00865535"/>
    <w:rsid w:val="00865A5B"/>
    <w:rsid w:val="00865AF6"/>
    <w:rsid w:val="00865D49"/>
    <w:rsid w:val="00865F7E"/>
    <w:rsid w:val="008662BD"/>
    <w:rsid w:val="00866350"/>
    <w:rsid w:val="00866513"/>
    <w:rsid w:val="00866609"/>
    <w:rsid w:val="00866649"/>
    <w:rsid w:val="00866895"/>
    <w:rsid w:val="008668A8"/>
    <w:rsid w:val="00866A31"/>
    <w:rsid w:val="00866B42"/>
    <w:rsid w:val="00866C7C"/>
    <w:rsid w:val="00866F1A"/>
    <w:rsid w:val="00867055"/>
    <w:rsid w:val="008671DB"/>
    <w:rsid w:val="008671F9"/>
    <w:rsid w:val="00867419"/>
    <w:rsid w:val="0086751F"/>
    <w:rsid w:val="0086764A"/>
    <w:rsid w:val="00867741"/>
    <w:rsid w:val="00867899"/>
    <w:rsid w:val="00867D9F"/>
    <w:rsid w:val="00867DDA"/>
    <w:rsid w:val="0087007B"/>
    <w:rsid w:val="0087011A"/>
    <w:rsid w:val="008703C9"/>
    <w:rsid w:val="008703CD"/>
    <w:rsid w:val="008703F5"/>
    <w:rsid w:val="0087045E"/>
    <w:rsid w:val="00870798"/>
    <w:rsid w:val="0087084F"/>
    <w:rsid w:val="0087086B"/>
    <w:rsid w:val="008708FA"/>
    <w:rsid w:val="00870CB2"/>
    <w:rsid w:val="00870D24"/>
    <w:rsid w:val="00870E35"/>
    <w:rsid w:val="00870E99"/>
    <w:rsid w:val="00870F14"/>
    <w:rsid w:val="00870F32"/>
    <w:rsid w:val="00871710"/>
    <w:rsid w:val="008719DF"/>
    <w:rsid w:val="00871DD4"/>
    <w:rsid w:val="00872369"/>
    <w:rsid w:val="0087264F"/>
    <w:rsid w:val="0087267F"/>
    <w:rsid w:val="008726AF"/>
    <w:rsid w:val="008726B6"/>
    <w:rsid w:val="0087281C"/>
    <w:rsid w:val="00872F44"/>
    <w:rsid w:val="00873194"/>
    <w:rsid w:val="00873254"/>
    <w:rsid w:val="00873709"/>
    <w:rsid w:val="008739A1"/>
    <w:rsid w:val="00873A7B"/>
    <w:rsid w:val="00873DA7"/>
    <w:rsid w:val="00873E02"/>
    <w:rsid w:val="00874548"/>
    <w:rsid w:val="00874582"/>
    <w:rsid w:val="00874BC2"/>
    <w:rsid w:val="00874C0F"/>
    <w:rsid w:val="00875276"/>
    <w:rsid w:val="008752B8"/>
    <w:rsid w:val="00875331"/>
    <w:rsid w:val="00875415"/>
    <w:rsid w:val="00875A27"/>
    <w:rsid w:val="00875B54"/>
    <w:rsid w:val="00875D5A"/>
    <w:rsid w:val="00875D87"/>
    <w:rsid w:val="00875DBF"/>
    <w:rsid w:val="00875EC2"/>
    <w:rsid w:val="00875F68"/>
    <w:rsid w:val="00875F75"/>
    <w:rsid w:val="00876305"/>
    <w:rsid w:val="00876633"/>
    <w:rsid w:val="00876750"/>
    <w:rsid w:val="0087688A"/>
    <w:rsid w:val="0087689D"/>
    <w:rsid w:val="008768AD"/>
    <w:rsid w:val="00876BC8"/>
    <w:rsid w:val="00877133"/>
    <w:rsid w:val="00877387"/>
    <w:rsid w:val="00877438"/>
    <w:rsid w:val="0087751F"/>
    <w:rsid w:val="00877B91"/>
    <w:rsid w:val="00877C7F"/>
    <w:rsid w:val="00877D46"/>
    <w:rsid w:val="00877DC3"/>
    <w:rsid w:val="00877EEB"/>
    <w:rsid w:val="008800E4"/>
    <w:rsid w:val="0088035E"/>
    <w:rsid w:val="00880362"/>
    <w:rsid w:val="00880490"/>
    <w:rsid w:val="00880AC4"/>
    <w:rsid w:val="00880AF3"/>
    <w:rsid w:val="00880AFD"/>
    <w:rsid w:val="00880DBB"/>
    <w:rsid w:val="00880E3B"/>
    <w:rsid w:val="00880F3B"/>
    <w:rsid w:val="00881003"/>
    <w:rsid w:val="0088112D"/>
    <w:rsid w:val="008811DF"/>
    <w:rsid w:val="008813E7"/>
    <w:rsid w:val="008814B5"/>
    <w:rsid w:val="0088181C"/>
    <w:rsid w:val="00881890"/>
    <w:rsid w:val="0088237F"/>
    <w:rsid w:val="008826E8"/>
    <w:rsid w:val="0088272A"/>
    <w:rsid w:val="008829E9"/>
    <w:rsid w:val="00882AE9"/>
    <w:rsid w:val="00882B31"/>
    <w:rsid w:val="00882BCA"/>
    <w:rsid w:val="00882CF7"/>
    <w:rsid w:val="00882FCB"/>
    <w:rsid w:val="00883325"/>
    <w:rsid w:val="00883714"/>
    <w:rsid w:val="00883755"/>
    <w:rsid w:val="008837E1"/>
    <w:rsid w:val="00883815"/>
    <w:rsid w:val="00883A12"/>
    <w:rsid w:val="00883CC6"/>
    <w:rsid w:val="00883DEA"/>
    <w:rsid w:val="00883E23"/>
    <w:rsid w:val="00884067"/>
    <w:rsid w:val="00884290"/>
    <w:rsid w:val="00884959"/>
    <w:rsid w:val="00884B6D"/>
    <w:rsid w:val="008852A9"/>
    <w:rsid w:val="0088538F"/>
    <w:rsid w:val="008853C4"/>
    <w:rsid w:val="008856EC"/>
    <w:rsid w:val="00885B87"/>
    <w:rsid w:val="00885C89"/>
    <w:rsid w:val="00885DA6"/>
    <w:rsid w:val="00885F61"/>
    <w:rsid w:val="00886103"/>
    <w:rsid w:val="008864FA"/>
    <w:rsid w:val="00886657"/>
    <w:rsid w:val="00886777"/>
    <w:rsid w:val="008868F6"/>
    <w:rsid w:val="00886B76"/>
    <w:rsid w:val="00886EAC"/>
    <w:rsid w:val="00886FA0"/>
    <w:rsid w:val="00886FA3"/>
    <w:rsid w:val="00887264"/>
    <w:rsid w:val="008877EB"/>
    <w:rsid w:val="00887886"/>
    <w:rsid w:val="00887F75"/>
    <w:rsid w:val="008905E1"/>
    <w:rsid w:val="008909E9"/>
    <w:rsid w:val="00890AD8"/>
    <w:rsid w:val="00890DED"/>
    <w:rsid w:val="00891010"/>
    <w:rsid w:val="00891247"/>
    <w:rsid w:val="008912AA"/>
    <w:rsid w:val="008913EA"/>
    <w:rsid w:val="0089148A"/>
    <w:rsid w:val="00891CEF"/>
    <w:rsid w:val="00891DE4"/>
    <w:rsid w:val="00892178"/>
    <w:rsid w:val="008921E9"/>
    <w:rsid w:val="00892310"/>
    <w:rsid w:val="00892320"/>
    <w:rsid w:val="00892335"/>
    <w:rsid w:val="008924B7"/>
    <w:rsid w:val="008926F8"/>
    <w:rsid w:val="0089278A"/>
    <w:rsid w:val="0089286E"/>
    <w:rsid w:val="00892A26"/>
    <w:rsid w:val="00892A8C"/>
    <w:rsid w:val="00892AEF"/>
    <w:rsid w:val="00892BAB"/>
    <w:rsid w:val="00892C36"/>
    <w:rsid w:val="00892DF3"/>
    <w:rsid w:val="00892E3A"/>
    <w:rsid w:val="00892F71"/>
    <w:rsid w:val="00892FB1"/>
    <w:rsid w:val="00893109"/>
    <w:rsid w:val="00893661"/>
    <w:rsid w:val="00893785"/>
    <w:rsid w:val="0089382C"/>
    <w:rsid w:val="00893AE8"/>
    <w:rsid w:val="00893B44"/>
    <w:rsid w:val="00893CDB"/>
    <w:rsid w:val="00893CFA"/>
    <w:rsid w:val="00893FCF"/>
    <w:rsid w:val="00894332"/>
    <w:rsid w:val="00894396"/>
    <w:rsid w:val="008946C9"/>
    <w:rsid w:val="008948B6"/>
    <w:rsid w:val="008948E8"/>
    <w:rsid w:val="008948EC"/>
    <w:rsid w:val="008949C6"/>
    <w:rsid w:val="00894C46"/>
    <w:rsid w:val="00894E12"/>
    <w:rsid w:val="00894E1B"/>
    <w:rsid w:val="00894E29"/>
    <w:rsid w:val="00894F00"/>
    <w:rsid w:val="0089510B"/>
    <w:rsid w:val="008957BE"/>
    <w:rsid w:val="00895AC0"/>
    <w:rsid w:val="00895D33"/>
    <w:rsid w:val="00895E6E"/>
    <w:rsid w:val="00896000"/>
    <w:rsid w:val="008960C1"/>
    <w:rsid w:val="008963F5"/>
    <w:rsid w:val="00896428"/>
    <w:rsid w:val="0089645C"/>
    <w:rsid w:val="0089650B"/>
    <w:rsid w:val="00896867"/>
    <w:rsid w:val="0089692A"/>
    <w:rsid w:val="0089693B"/>
    <w:rsid w:val="00896A6F"/>
    <w:rsid w:val="00896AFA"/>
    <w:rsid w:val="00896B02"/>
    <w:rsid w:val="00896D8C"/>
    <w:rsid w:val="00897264"/>
    <w:rsid w:val="00897447"/>
    <w:rsid w:val="008974DA"/>
    <w:rsid w:val="0089790A"/>
    <w:rsid w:val="00897948"/>
    <w:rsid w:val="00897E7B"/>
    <w:rsid w:val="00897F01"/>
    <w:rsid w:val="00897F73"/>
    <w:rsid w:val="00897FF0"/>
    <w:rsid w:val="008A00B3"/>
    <w:rsid w:val="008A04BD"/>
    <w:rsid w:val="008A0B33"/>
    <w:rsid w:val="008A0D2C"/>
    <w:rsid w:val="008A1159"/>
    <w:rsid w:val="008A156E"/>
    <w:rsid w:val="008A168D"/>
    <w:rsid w:val="008A1DBA"/>
    <w:rsid w:val="008A1E2A"/>
    <w:rsid w:val="008A1EB3"/>
    <w:rsid w:val="008A25BD"/>
    <w:rsid w:val="008A26A8"/>
    <w:rsid w:val="008A29E4"/>
    <w:rsid w:val="008A2AAC"/>
    <w:rsid w:val="008A2B66"/>
    <w:rsid w:val="008A2CE4"/>
    <w:rsid w:val="008A2E3F"/>
    <w:rsid w:val="008A2E7F"/>
    <w:rsid w:val="008A2EA4"/>
    <w:rsid w:val="008A33F3"/>
    <w:rsid w:val="008A3676"/>
    <w:rsid w:val="008A3769"/>
    <w:rsid w:val="008A39FF"/>
    <w:rsid w:val="008A3B1C"/>
    <w:rsid w:val="008A3BB3"/>
    <w:rsid w:val="008A3DD4"/>
    <w:rsid w:val="008A3EC6"/>
    <w:rsid w:val="008A45AF"/>
    <w:rsid w:val="008A460E"/>
    <w:rsid w:val="008A4900"/>
    <w:rsid w:val="008A4BEA"/>
    <w:rsid w:val="008A50C3"/>
    <w:rsid w:val="008A53E8"/>
    <w:rsid w:val="008A55FE"/>
    <w:rsid w:val="008A5693"/>
    <w:rsid w:val="008A58AB"/>
    <w:rsid w:val="008A5B68"/>
    <w:rsid w:val="008A5D57"/>
    <w:rsid w:val="008A5D71"/>
    <w:rsid w:val="008A5E17"/>
    <w:rsid w:val="008A5E5E"/>
    <w:rsid w:val="008A5FED"/>
    <w:rsid w:val="008A64EE"/>
    <w:rsid w:val="008A6846"/>
    <w:rsid w:val="008A68A2"/>
    <w:rsid w:val="008A68DF"/>
    <w:rsid w:val="008A69B9"/>
    <w:rsid w:val="008A6B2B"/>
    <w:rsid w:val="008A6D14"/>
    <w:rsid w:val="008A725A"/>
    <w:rsid w:val="008A779E"/>
    <w:rsid w:val="008A786F"/>
    <w:rsid w:val="008A799B"/>
    <w:rsid w:val="008A7C86"/>
    <w:rsid w:val="008A7D56"/>
    <w:rsid w:val="008A7DC3"/>
    <w:rsid w:val="008A7FA4"/>
    <w:rsid w:val="008AD47B"/>
    <w:rsid w:val="008B006F"/>
    <w:rsid w:val="008B056D"/>
    <w:rsid w:val="008B069A"/>
    <w:rsid w:val="008B0908"/>
    <w:rsid w:val="008B0B46"/>
    <w:rsid w:val="008B0BF8"/>
    <w:rsid w:val="008B0E43"/>
    <w:rsid w:val="008B146B"/>
    <w:rsid w:val="008B146D"/>
    <w:rsid w:val="008B15FE"/>
    <w:rsid w:val="008B1796"/>
    <w:rsid w:val="008B1922"/>
    <w:rsid w:val="008B1C97"/>
    <w:rsid w:val="008B1D04"/>
    <w:rsid w:val="008B1E85"/>
    <w:rsid w:val="008B1E9E"/>
    <w:rsid w:val="008B1F55"/>
    <w:rsid w:val="008B24A7"/>
    <w:rsid w:val="008B271F"/>
    <w:rsid w:val="008B27C5"/>
    <w:rsid w:val="008B2997"/>
    <w:rsid w:val="008B2A86"/>
    <w:rsid w:val="008B2B6A"/>
    <w:rsid w:val="008B2F09"/>
    <w:rsid w:val="008B3024"/>
    <w:rsid w:val="008B30EC"/>
    <w:rsid w:val="008B34D7"/>
    <w:rsid w:val="008B35E2"/>
    <w:rsid w:val="008B35EC"/>
    <w:rsid w:val="008B375C"/>
    <w:rsid w:val="008B3934"/>
    <w:rsid w:val="008B3BE5"/>
    <w:rsid w:val="008B3CE0"/>
    <w:rsid w:val="008B40FF"/>
    <w:rsid w:val="008B42AD"/>
    <w:rsid w:val="008B435F"/>
    <w:rsid w:val="008B43D0"/>
    <w:rsid w:val="008B451E"/>
    <w:rsid w:val="008B4581"/>
    <w:rsid w:val="008B4A37"/>
    <w:rsid w:val="008B4DCE"/>
    <w:rsid w:val="008B54D1"/>
    <w:rsid w:val="008B558F"/>
    <w:rsid w:val="008B5666"/>
    <w:rsid w:val="008B5976"/>
    <w:rsid w:val="008B5A26"/>
    <w:rsid w:val="008B62CA"/>
    <w:rsid w:val="008B6408"/>
    <w:rsid w:val="008B6427"/>
    <w:rsid w:val="008B6CEC"/>
    <w:rsid w:val="008B6D8B"/>
    <w:rsid w:val="008B6FA9"/>
    <w:rsid w:val="008B6FF2"/>
    <w:rsid w:val="008B70A2"/>
    <w:rsid w:val="008B72AA"/>
    <w:rsid w:val="008B75E8"/>
    <w:rsid w:val="008B75FB"/>
    <w:rsid w:val="008B75FE"/>
    <w:rsid w:val="008B7B15"/>
    <w:rsid w:val="008B7B20"/>
    <w:rsid w:val="008B7DE0"/>
    <w:rsid w:val="008B7EAA"/>
    <w:rsid w:val="008B7F03"/>
    <w:rsid w:val="008B7F70"/>
    <w:rsid w:val="008C0028"/>
    <w:rsid w:val="008C00B0"/>
    <w:rsid w:val="008C013A"/>
    <w:rsid w:val="008C036B"/>
    <w:rsid w:val="008C0444"/>
    <w:rsid w:val="008C057E"/>
    <w:rsid w:val="008C071B"/>
    <w:rsid w:val="008C0C2C"/>
    <w:rsid w:val="008C0FA6"/>
    <w:rsid w:val="008C13D5"/>
    <w:rsid w:val="008C1455"/>
    <w:rsid w:val="008C17AA"/>
    <w:rsid w:val="008C1855"/>
    <w:rsid w:val="008C1D94"/>
    <w:rsid w:val="008C2273"/>
    <w:rsid w:val="008C2279"/>
    <w:rsid w:val="008C2711"/>
    <w:rsid w:val="008C283D"/>
    <w:rsid w:val="008C2FDF"/>
    <w:rsid w:val="008C316D"/>
    <w:rsid w:val="008C3508"/>
    <w:rsid w:val="008C364B"/>
    <w:rsid w:val="008C37AF"/>
    <w:rsid w:val="008C37BD"/>
    <w:rsid w:val="008C3854"/>
    <w:rsid w:val="008C38E5"/>
    <w:rsid w:val="008C3969"/>
    <w:rsid w:val="008C3A4D"/>
    <w:rsid w:val="008C3BB5"/>
    <w:rsid w:val="008C3C07"/>
    <w:rsid w:val="008C3FB1"/>
    <w:rsid w:val="008C40FB"/>
    <w:rsid w:val="008C415A"/>
    <w:rsid w:val="008C4235"/>
    <w:rsid w:val="008C43AD"/>
    <w:rsid w:val="008C467B"/>
    <w:rsid w:val="008C4743"/>
    <w:rsid w:val="008C47F3"/>
    <w:rsid w:val="008C483E"/>
    <w:rsid w:val="008C488D"/>
    <w:rsid w:val="008C4AF1"/>
    <w:rsid w:val="008C4B4F"/>
    <w:rsid w:val="008C4F65"/>
    <w:rsid w:val="008C5246"/>
    <w:rsid w:val="008C52B3"/>
    <w:rsid w:val="008C53D3"/>
    <w:rsid w:val="008C554A"/>
    <w:rsid w:val="008C557B"/>
    <w:rsid w:val="008C55AA"/>
    <w:rsid w:val="008C586E"/>
    <w:rsid w:val="008C5926"/>
    <w:rsid w:val="008C5AAA"/>
    <w:rsid w:val="008C5B7C"/>
    <w:rsid w:val="008C5E13"/>
    <w:rsid w:val="008C6128"/>
    <w:rsid w:val="008C625B"/>
    <w:rsid w:val="008C63A3"/>
    <w:rsid w:val="008C63AC"/>
    <w:rsid w:val="008C67B9"/>
    <w:rsid w:val="008C692D"/>
    <w:rsid w:val="008C694D"/>
    <w:rsid w:val="008C6D62"/>
    <w:rsid w:val="008C7178"/>
    <w:rsid w:val="008C7194"/>
    <w:rsid w:val="008C73D5"/>
    <w:rsid w:val="008C74EE"/>
    <w:rsid w:val="008C7570"/>
    <w:rsid w:val="008C7A6F"/>
    <w:rsid w:val="008C7EDA"/>
    <w:rsid w:val="008D00D9"/>
    <w:rsid w:val="008D012F"/>
    <w:rsid w:val="008D013D"/>
    <w:rsid w:val="008D01E0"/>
    <w:rsid w:val="008D0281"/>
    <w:rsid w:val="008D031B"/>
    <w:rsid w:val="008D03E2"/>
    <w:rsid w:val="008D0648"/>
    <w:rsid w:val="008D0897"/>
    <w:rsid w:val="008D0B66"/>
    <w:rsid w:val="008D0BA7"/>
    <w:rsid w:val="008D0DE5"/>
    <w:rsid w:val="008D146C"/>
    <w:rsid w:val="008D146D"/>
    <w:rsid w:val="008D14B9"/>
    <w:rsid w:val="008D1679"/>
    <w:rsid w:val="008D1B81"/>
    <w:rsid w:val="008D1DD2"/>
    <w:rsid w:val="008D1DD4"/>
    <w:rsid w:val="008D1F20"/>
    <w:rsid w:val="008D2ABC"/>
    <w:rsid w:val="008D3683"/>
    <w:rsid w:val="008D36FC"/>
    <w:rsid w:val="008D37F2"/>
    <w:rsid w:val="008D3818"/>
    <w:rsid w:val="008D3836"/>
    <w:rsid w:val="008D38E2"/>
    <w:rsid w:val="008D3A08"/>
    <w:rsid w:val="008D3BAB"/>
    <w:rsid w:val="008D3CE0"/>
    <w:rsid w:val="008D3D0E"/>
    <w:rsid w:val="008D3E8F"/>
    <w:rsid w:val="008D41CA"/>
    <w:rsid w:val="008D42AB"/>
    <w:rsid w:val="008D45EB"/>
    <w:rsid w:val="008D4727"/>
    <w:rsid w:val="008D4BF9"/>
    <w:rsid w:val="008D4D9A"/>
    <w:rsid w:val="008D4E15"/>
    <w:rsid w:val="008D4E9E"/>
    <w:rsid w:val="008D4EA0"/>
    <w:rsid w:val="008D4EAE"/>
    <w:rsid w:val="008D5065"/>
    <w:rsid w:val="008D50C6"/>
    <w:rsid w:val="008D5178"/>
    <w:rsid w:val="008D58E7"/>
    <w:rsid w:val="008D5CBB"/>
    <w:rsid w:val="008D5D8A"/>
    <w:rsid w:val="008D5E2B"/>
    <w:rsid w:val="008D631C"/>
    <w:rsid w:val="008D6384"/>
    <w:rsid w:val="008D6683"/>
    <w:rsid w:val="008D67E9"/>
    <w:rsid w:val="008D6A7F"/>
    <w:rsid w:val="008D6AEE"/>
    <w:rsid w:val="008D6B66"/>
    <w:rsid w:val="008D6C03"/>
    <w:rsid w:val="008D6C8D"/>
    <w:rsid w:val="008D6E4D"/>
    <w:rsid w:val="008D70AA"/>
    <w:rsid w:val="008D7491"/>
    <w:rsid w:val="008D7511"/>
    <w:rsid w:val="008D7698"/>
    <w:rsid w:val="008D76BB"/>
    <w:rsid w:val="008D788B"/>
    <w:rsid w:val="008D7A0B"/>
    <w:rsid w:val="008D7A53"/>
    <w:rsid w:val="008D7B9B"/>
    <w:rsid w:val="008D7CC1"/>
    <w:rsid w:val="008D7FAC"/>
    <w:rsid w:val="008D7FC7"/>
    <w:rsid w:val="008D7FCF"/>
    <w:rsid w:val="008E0107"/>
    <w:rsid w:val="008E01AD"/>
    <w:rsid w:val="008E01D9"/>
    <w:rsid w:val="008E04D7"/>
    <w:rsid w:val="008E08D5"/>
    <w:rsid w:val="008E0CFD"/>
    <w:rsid w:val="008E0DB9"/>
    <w:rsid w:val="008E0DFA"/>
    <w:rsid w:val="008E0E07"/>
    <w:rsid w:val="008E0FAD"/>
    <w:rsid w:val="008E152D"/>
    <w:rsid w:val="008E1AA5"/>
    <w:rsid w:val="008E1E02"/>
    <w:rsid w:val="008E21A7"/>
    <w:rsid w:val="008E22CC"/>
    <w:rsid w:val="008E2348"/>
    <w:rsid w:val="008E2441"/>
    <w:rsid w:val="008E26DE"/>
    <w:rsid w:val="008E27BA"/>
    <w:rsid w:val="008E29AC"/>
    <w:rsid w:val="008E2DDD"/>
    <w:rsid w:val="008E2E24"/>
    <w:rsid w:val="008E2F5E"/>
    <w:rsid w:val="008E318A"/>
    <w:rsid w:val="008E3203"/>
    <w:rsid w:val="008E325F"/>
    <w:rsid w:val="008E3298"/>
    <w:rsid w:val="008E3369"/>
    <w:rsid w:val="008E347D"/>
    <w:rsid w:val="008E3C9F"/>
    <w:rsid w:val="008E4058"/>
    <w:rsid w:val="008E4305"/>
    <w:rsid w:val="008E45E6"/>
    <w:rsid w:val="008E4841"/>
    <w:rsid w:val="008E4DD4"/>
    <w:rsid w:val="008E4DFC"/>
    <w:rsid w:val="008E4EE1"/>
    <w:rsid w:val="008E4EE7"/>
    <w:rsid w:val="008E52C9"/>
    <w:rsid w:val="008E53FB"/>
    <w:rsid w:val="008E5649"/>
    <w:rsid w:val="008E578C"/>
    <w:rsid w:val="008E58D4"/>
    <w:rsid w:val="008E5986"/>
    <w:rsid w:val="008E59F5"/>
    <w:rsid w:val="008E5ABE"/>
    <w:rsid w:val="008E5DCA"/>
    <w:rsid w:val="008E5EF5"/>
    <w:rsid w:val="008E5FEF"/>
    <w:rsid w:val="008E60A4"/>
    <w:rsid w:val="008E652F"/>
    <w:rsid w:val="008E6542"/>
    <w:rsid w:val="008E6651"/>
    <w:rsid w:val="008E66C9"/>
    <w:rsid w:val="008E673F"/>
    <w:rsid w:val="008E67BF"/>
    <w:rsid w:val="008E6A5B"/>
    <w:rsid w:val="008E6ADF"/>
    <w:rsid w:val="008E709A"/>
    <w:rsid w:val="008E709F"/>
    <w:rsid w:val="008E7152"/>
    <w:rsid w:val="008E7196"/>
    <w:rsid w:val="008E71E6"/>
    <w:rsid w:val="008E7464"/>
    <w:rsid w:val="008E7538"/>
    <w:rsid w:val="008E762B"/>
    <w:rsid w:val="008E7670"/>
    <w:rsid w:val="008E76F6"/>
    <w:rsid w:val="008E7705"/>
    <w:rsid w:val="008E789A"/>
    <w:rsid w:val="008E7A8E"/>
    <w:rsid w:val="008E7B0E"/>
    <w:rsid w:val="008E7B3F"/>
    <w:rsid w:val="008E7C31"/>
    <w:rsid w:val="008E7DE6"/>
    <w:rsid w:val="008F0037"/>
    <w:rsid w:val="008F04C8"/>
    <w:rsid w:val="008F07B8"/>
    <w:rsid w:val="008F0805"/>
    <w:rsid w:val="008F0B7C"/>
    <w:rsid w:val="008F0C90"/>
    <w:rsid w:val="008F0CC2"/>
    <w:rsid w:val="008F0E7E"/>
    <w:rsid w:val="008F0F93"/>
    <w:rsid w:val="008F127E"/>
    <w:rsid w:val="008F1333"/>
    <w:rsid w:val="008F13A7"/>
    <w:rsid w:val="008F14BB"/>
    <w:rsid w:val="008F1D67"/>
    <w:rsid w:val="008F1E0E"/>
    <w:rsid w:val="008F1E15"/>
    <w:rsid w:val="008F201D"/>
    <w:rsid w:val="008F22A6"/>
    <w:rsid w:val="008F28B1"/>
    <w:rsid w:val="008F290A"/>
    <w:rsid w:val="008F2ABD"/>
    <w:rsid w:val="008F2B4B"/>
    <w:rsid w:val="008F2B94"/>
    <w:rsid w:val="008F2BE6"/>
    <w:rsid w:val="008F2E18"/>
    <w:rsid w:val="008F2FA2"/>
    <w:rsid w:val="008F2FCF"/>
    <w:rsid w:val="008F3068"/>
    <w:rsid w:val="008F3198"/>
    <w:rsid w:val="008F334F"/>
    <w:rsid w:val="008F3648"/>
    <w:rsid w:val="008F3C4D"/>
    <w:rsid w:val="008F3DA6"/>
    <w:rsid w:val="008F3DE8"/>
    <w:rsid w:val="008F45A8"/>
    <w:rsid w:val="008F4626"/>
    <w:rsid w:val="008F469C"/>
    <w:rsid w:val="008F46EA"/>
    <w:rsid w:val="008F49E2"/>
    <w:rsid w:val="008F4A33"/>
    <w:rsid w:val="008F4A7A"/>
    <w:rsid w:val="008F4D44"/>
    <w:rsid w:val="008F4D69"/>
    <w:rsid w:val="008F4FF4"/>
    <w:rsid w:val="008F51E1"/>
    <w:rsid w:val="008F523A"/>
    <w:rsid w:val="008F5269"/>
    <w:rsid w:val="008F539C"/>
    <w:rsid w:val="008F53E7"/>
    <w:rsid w:val="008F56FD"/>
    <w:rsid w:val="008F5D16"/>
    <w:rsid w:val="008F5FCC"/>
    <w:rsid w:val="008F607C"/>
    <w:rsid w:val="008F63F9"/>
    <w:rsid w:val="008F6700"/>
    <w:rsid w:val="008F68A7"/>
    <w:rsid w:val="008F6A89"/>
    <w:rsid w:val="008F6C65"/>
    <w:rsid w:val="008F6D45"/>
    <w:rsid w:val="008F6E20"/>
    <w:rsid w:val="008F6F41"/>
    <w:rsid w:val="008F749D"/>
    <w:rsid w:val="008F75D5"/>
    <w:rsid w:val="008F77E9"/>
    <w:rsid w:val="008F7BE2"/>
    <w:rsid w:val="008F7DA4"/>
    <w:rsid w:val="008F7DBD"/>
    <w:rsid w:val="00900054"/>
    <w:rsid w:val="009001F3"/>
    <w:rsid w:val="0090041A"/>
    <w:rsid w:val="00900594"/>
    <w:rsid w:val="0090061C"/>
    <w:rsid w:val="00900727"/>
    <w:rsid w:val="009009E8"/>
    <w:rsid w:val="00900B5D"/>
    <w:rsid w:val="00900CFA"/>
    <w:rsid w:val="00900D5B"/>
    <w:rsid w:val="0090118C"/>
    <w:rsid w:val="00901199"/>
    <w:rsid w:val="00901374"/>
    <w:rsid w:val="009014A8"/>
    <w:rsid w:val="009016FC"/>
    <w:rsid w:val="0090175C"/>
    <w:rsid w:val="009018B8"/>
    <w:rsid w:val="00901C2D"/>
    <w:rsid w:val="00901CA3"/>
    <w:rsid w:val="00901D82"/>
    <w:rsid w:val="00901DA8"/>
    <w:rsid w:val="00901DC2"/>
    <w:rsid w:val="00901F62"/>
    <w:rsid w:val="00902085"/>
    <w:rsid w:val="009020BF"/>
    <w:rsid w:val="009029A0"/>
    <w:rsid w:val="00902A4E"/>
    <w:rsid w:val="00902E21"/>
    <w:rsid w:val="00902FFE"/>
    <w:rsid w:val="00903124"/>
    <w:rsid w:val="0090316F"/>
    <w:rsid w:val="009032CC"/>
    <w:rsid w:val="009033E7"/>
    <w:rsid w:val="0090347F"/>
    <w:rsid w:val="00903857"/>
    <w:rsid w:val="00903965"/>
    <w:rsid w:val="00903A57"/>
    <w:rsid w:val="00903AAF"/>
    <w:rsid w:val="00903B01"/>
    <w:rsid w:val="00903C66"/>
    <w:rsid w:val="00903E9A"/>
    <w:rsid w:val="00903EA7"/>
    <w:rsid w:val="00903F5A"/>
    <w:rsid w:val="00903F81"/>
    <w:rsid w:val="00904265"/>
    <w:rsid w:val="0090433C"/>
    <w:rsid w:val="009043C2"/>
    <w:rsid w:val="00904503"/>
    <w:rsid w:val="00904691"/>
    <w:rsid w:val="009046AF"/>
    <w:rsid w:val="00904705"/>
    <w:rsid w:val="00904A17"/>
    <w:rsid w:val="0090528E"/>
    <w:rsid w:val="0090572A"/>
    <w:rsid w:val="009058FA"/>
    <w:rsid w:val="00905C27"/>
    <w:rsid w:val="00905E6A"/>
    <w:rsid w:val="00905EA1"/>
    <w:rsid w:val="0090603D"/>
    <w:rsid w:val="00906139"/>
    <w:rsid w:val="00906723"/>
    <w:rsid w:val="0090699E"/>
    <w:rsid w:val="009069E0"/>
    <w:rsid w:val="009069E5"/>
    <w:rsid w:val="00906B8B"/>
    <w:rsid w:val="00906F48"/>
    <w:rsid w:val="00906FB3"/>
    <w:rsid w:val="00907110"/>
    <w:rsid w:val="009072EB"/>
    <w:rsid w:val="009074D8"/>
    <w:rsid w:val="00907743"/>
    <w:rsid w:val="009079A4"/>
    <w:rsid w:val="00907D9E"/>
    <w:rsid w:val="00907FA1"/>
    <w:rsid w:val="00907FF7"/>
    <w:rsid w:val="009101B3"/>
    <w:rsid w:val="00910394"/>
    <w:rsid w:val="009104DD"/>
    <w:rsid w:val="009106E5"/>
    <w:rsid w:val="00910B9C"/>
    <w:rsid w:val="00910D7A"/>
    <w:rsid w:val="00910DF8"/>
    <w:rsid w:val="00910E24"/>
    <w:rsid w:val="00910F9F"/>
    <w:rsid w:val="00910FE4"/>
    <w:rsid w:val="00911076"/>
    <w:rsid w:val="00911351"/>
    <w:rsid w:val="00911516"/>
    <w:rsid w:val="00911536"/>
    <w:rsid w:val="009118C4"/>
    <w:rsid w:val="00911AA7"/>
    <w:rsid w:val="00911CC8"/>
    <w:rsid w:val="0091260E"/>
    <w:rsid w:val="009126AF"/>
    <w:rsid w:val="00912D03"/>
    <w:rsid w:val="00912D2F"/>
    <w:rsid w:val="00913014"/>
    <w:rsid w:val="0091313D"/>
    <w:rsid w:val="0091377F"/>
    <w:rsid w:val="009138BC"/>
    <w:rsid w:val="00913C8A"/>
    <w:rsid w:val="00913E59"/>
    <w:rsid w:val="009140C8"/>
    <w:rsid w:val="009140FC"/>
    <w:rsid w:val="00914967"/>
    <w:rsid w:val="00914ADD"/>
    <w:rsid w:val="00914C5C"/>
    <w:rsid w:val="00914C90"/>
    <w:rsid w:val="00914F81"/>
    <w:rsid w:val="00914FF9"/>
    <w:rsid w:val="00915118"/>
    <w:rsid w:val="00915381"/>
    <w:rsid w:val="00915515"/>
    <w:rsid w:val="00915572"/>
    <w:rsid w:val="009155E9"/>
    <w:rsid w:val="0091568D"/>
    <w:rsid w:val="009157B1"/>
    <w:rsid w:val="0091592E"/>
    <w:rsid w:val="0091597D"/>
    <w:rsid w:val="009159C2"/>
    <w:rsid w:val="00915E50"/>
    <w:rsid w:val="00915ED0"/>
    <w:rsid w:val="00916288"/>
    <w:rsid w:val="0091646B"/>
    <w:rsid w:val="00916569"/>
    <w:rsid w:val="00916DE3"/>
    <w:rsid w:val="00916F2C"/>
    <w:rsid w:val="00916FB6"/>
    <w:rsid w:val="00917139"/>
    <w:rsid w:val="009172F2"/>
    <w:rsid w:val="00917455"/>
    <w:rsid w:val="0091748D"/>
    <w:rsid w:val="009174AF"/>
    <w:rsid w:val="00917501"/>
    <w:rsid w:val="0091775F"/>
    <w:rsid w:val="0091781B"/>
    <w:rsid w:val="00917975"/>
    <w:rsid w:val="009179F1"/>
    <w:rsid w:val="00917BCC"/>
    <w:rsid w:val="00917C78"/>
    <w:rsid w:val="00917CDF"/>
    <w:rsid w:val="00917E5F"/>
    <w:rsid w:val="00917E6B"/>
    <w:rsid w:val="00917EA9"/>
    <w:rsid w:val="009200A1"/>
    <w:rsid w:val="00920345"/>
    <w:rsid w:val="009209F1"/>
    <w:rsid w:val="00920AC0"/>
    <w:rsid w:val="00920C8D"/>
    <w:rsid w:val="00920D96"/>
    <w:rsid w:val="00920E37"/>
    <w:rsid w:val="00921337"/>
    <w:rsid w:val="00921340"/>
    <w:rsid w:val="00921634"/>
    <w:rsid w:val="0092182B"/>
    <w:rsid w:val="0092189B"/>
    <w:rsid w:val="00921BA9"/>
    <w:rsid w:val="00921BDD"/>
    <w:rsid w:val="00921D5A"/>
    <w:rsid w:val="00922645"/>
    <w:rsid w:val="0092272D"/>
    <w:rsid w:val="00922761"/>
    <w:rsid w:val="00922944"/>
    <w:rsid w:val="00922A6A"/>
    <w:rsid w:val="00922C83"/>
    <w:rsid w:val="00923142"/>
    <w:rsid w:val="00923301"/>
    <w:rsid w:val="009233E1"/>
    <w:rsid w:val="0092342C"/>
    <w:rsid w:val="00923487"/>
    <w:rsid w:val="009236D7"/>
    <w:rsid w:val="00923800"/>
    <w:rsid w:val="00923ABB"/>
    <w:rsid w:val="009246C1"/>
    <w:rsid w:val="00924738"/>
    <w:rsid w:val="00924786"/>
    <w:rsid w:val="009249B6"/>
    <w:rsid w:val="009249B9"/>
    <w:rsid w:val="00924D50"/>
    <w:rsid w:val="00924E96"/>
    <w:rsid w:val="00924F39"/>
    <w:rsid w:val="009252D5"/>
    <w:rsid w:val="009252F1"/>
    <w:rsid w:val="00925352"/>
    <w:rsid w:val="00925423"/>
    <w:rsid w:val="00925432"/>
    <w:rsid w:val="00925439"/>
    <w:rsid w:val="009254CE"/>
    <w:rsid w:val="00925517"/>
    <w:rsid w:val="00925676"/>
    <w:rsid w:val="009257AF"/>
    <w:rsid w:val="00925E19"/>
    <w:rsid w:val="00925E47"/>
    <w:rsid w:val="00925F63"/>
    <w:rsid w:val="009262CA"/>
    <w:rsid w:val="00926504"/>
    <w:rsid w:val="0092653C"/>
    <w:rsid w:val="009266C0"/>
    <w:rsid w:val="0092681C"/>
    <w:rsid w:val="0092694F"/>
    <w:rsid w:val="00926E78"/>
    <w:rsid w:val="009273CB"/>
    <w:rsid w:val="0092751F"/>
    <w:rsid w:val="009279A7"/>
    <w:rsid w:val="009279ED"/>
    <w:rsid w:val="00927B85"/>
    <w:rsid w:val="00927B8D"/>
    <w:rsid w:val="00927D5E"/>
    <w:rsid w:val="00927F0E"/>
    <w:rsid w:val="00930340"/>
    <w:rsid w:val="00930539"/>
    <w:rsid w:val="00930925"/>
    <w:rsid w:val="00930B07"/>
    <w:rsid w:val="00930EBD"/>
    <w:rsid w:val="00930F45"/>
    <w:rsid w:val="00931185"/>
    <w:rsid w:val="009312AB"/>
    <w:rsid w:val="009312E8"/>
    <w:rsid w:val="0093152A"/>
    <w:rsid w:val="0093174F"/>
    <w:rsid w:val="00931CCB"/>
    <w:rsid w:val="00931E20"/>
    <w:rsid w:val="00931FD9"/>
    <w:rsid w:val="009324D0"/>
    <w:rsid w:val="0093253A"/>
    <w:rsid w:val="00932725"/>
    <w:rsid w:val="0093272E"/>
    <w:rsid w:val="009327E6"/>
    <w:rsid w:val="0093291A"/>
    <w:rsid w:val="0093297C"/>
    <w:rsid w:val="00932CAA"/>
    <w:rsid w:val="00932D18"/>
    <w:rsid w:val="00932DF8"/>
    <w:rsid w:val="00933153"/>
    <w:rsid w:val="009334DA"/>
    <w:rsid w:val="009335FD"/>
    <w:rsid w:val="00933828"/>
    <w:rsid w:val="009339B3"/>
    <w:rsid w:val="00933D43"/>
    <w:rsid w:val="00933DE5"/>
    <w:rsid w:val="009340AD"/>
    <w:rsid w:val="00934233"/>
    <w:rsid w:val="009344AE"/>
    <w:rsid w:val="009344FB"/>
    <w:rsid w:val="0093465E"/>
    <w:rsid w:val="00934874"/>
    <w:rsid w:val="00934927"/>
    <w:rsid w:val="00934A6C"/>
    <w:rsid w:val="00934C29"/>
    <w:rsid w:val="00934C41"/>
    <w:rsid w:val="00934E4F"/>
    <w:rsid w:val="00935012"/>
    <w:rsid w:val="009352A5"/>
    <w:rsid w:val="009352C2"/>
    <w:rsid w:val="009355A3"/>
    <w:rsid w:val="0093569E"/>
    <w:rsid w:val="009356D0"/>
    <w:rsid w:val="00935AB5"/>
    <w:rsid w:val="00935B25"/>
    <w:rsid w:val="00935DAA"/>
    <w:rsid w:val="00936264"/>
    <w:rsid w:val="00936268"/>
    <w:rsid w:val="00936479"/>
    <w:rsid w:val="009366BE"/>
    <w:rsid w:val="00936A7B"/>
    <w:rsid w:val="00936CCD"/>
    <w:rsid w:val="00936CCE"/>
    <w:rsid w:val="00936E21"/>
    <w:rsid w:val="0093717C"/>
    <w:rsid w:val="00937395"/>
    <w:rsid w:val="009374C1"/>
    <w:rsid w:val="0093754F"/>
    <w:rsid w:val="00937846"/>
    <w:rsid w:val="0093791A"/>
    <w:rsid w:val="00937A10"/>
    <w:rsid w:val="00937C1E"/>
    <w:rsid w:val="009400C3"/>
    <w:rsid w:val="00940485"/>
    <w:rsid w:val="0094075A"/>
    <w:rsid w:val="00940761"/>
    <w:rsid w:val="0094076D"/>
    <w:rsid w:val="00940871"/>
    <w:rsid w:val="00940A3F"/>
    <w:rsid w:val="00940C2C"/>
    <w:rsid w:val="00940E69"/>
    <w:rsid w:val="00941197"/>
    <w:rsid w:val="0094120D"/>
    <w:rsid w:val="00941792"/>
    <w:rsid w:val="0094196C"/>
    <w:rsid w:val="00941BB5"/>
    <w:rsid w:val="00941BBD"/>
    <w:rsid w:val="00941E48"/>
    <w:rsid w:val="00941E58"/>
    <w:rsid w:val="00941EC3"/>
    <w:rsid w:val="0094211B"/>
    <w:rsid w:val="0094230F"/>
    <w:rsid w:val="00942318"/>
    <w:rsid w:val="0094251F"/>
    <w:rsid w:val="009426FD"/>
    <w:rsid w:val="009427C3"/>
    <w:rsid w:val="00942906"/>
    <w:rsid w:val="00942A57"/>
    <w:rsid w:val="00942D6A"/>
    <w:rsid w:val="00942DE9"/>
    <w:rsid w:val="009430B2"/>
    <w:rsid w:val="009431DB"/>
    <w:rsid w:val="0094324D"/>
    <w:rsid w:val="00943260"/>
    <w:rsid w:val="00943397"/>
    <w:rsid w:val="00943537"/>
    <w:rsid w:val="00943725"/>
    <w:rsid w:val="00943A9E"/>
    <w:rsid w:val="00943C57"/>
    <w:rsid w:val="00943DCE"/>
    <w:rsid w:val="00943FD5"/>
    <w:rsid w:val="00944216"/>
    <w:rsid w:val="00944290"/>
    <w:rsid w:val="0094435F"/>
    <w:rsid w:val="00944437"/>
    <w:rsid w:val="00944457"/>
    <w:rsid w:val="009444B9"/>
    <w:rsid w:val="0094460A"/>
    <w:rsid w:val="00944770"/>
    <w:rsid w:val="0094497D"/>
    <w:rsid w:val="00944C4E"/>
    <w:rsid w:val="00944D19"/>
    <w:rsid w:val="009458A8"/>
    <w:rsid w:val="00945AB3"/>
    <w:rsid w:val="00946032"/>
    <w:rsid w:val="009460B8"/>
    <w:rsid w:val="00946412"/>
    <w:rsid w:val="009464B0"/>
    <w:rsid w:val="0094688E"/>
    <w:rsid w:val="00946A32"/>
    <w:rsid w:val="00946AD2"/>
    <w:rsid w:val="00947318"/>
    <w:rsid w:val="00947A0F"/>
    <w:rsid w:val="00947CDE"/>
    <w:rsid w:val="00947ED5"/>
    <w:rsid w:val="00947EE9"/>
    <w:rsid w:val="009501D9"/>
    <w:rsid w:val="00950200"/>
    <w:rsid w:val="00950459"/>
    <w:rsid w:val="00950868"/>
    <w:rsid w:val="0095090C"/>
    <w:rsid w:val="00950961"/>
    <w:rsid w:val="00950A25"/>
    <w:rsid w:val="00950C0A"/>
    <w:rsid w:val="00950CDB"/>
    <w:rsid w:val="00950D58"/>
    <w:rsid w:val="00950F52"/>
    <w:rsid w:val="0095117D"/>
    <w:rsid w:val="009511B0"/>
    <w:rsid w:val="0095122F"/>
    <w:rsid w:val="009512BB"/>
    <w:rsid w:val="00951324"/>
    <w:rsid w:val="0095151B"/>
    <w:rsid w:val="0095190C"/>
    <w:rsid w:val="00951947"/>
    <w:rsid w:val="00951AFC"/>
    <w:rsid w:val="00951B92"/>
    <w:rsid w:val="00951BBE"/>
    <w:rsid w:val="00951DD8"/>
    <w:rsid w:val="00951E41"/>
    <w:rsid w:val="00951EB1"/>
    <w:rsid w:val="009520AF"/>
    <w:rsid w:val="009525DB"/>
    <w:rsid w:val="00952861"/>
    <w:rsid w:val="00952AA4"/>
    <w:rsid w:val="00952BEE"/>
    <w:rsid w:val="00952CCF"/>
    <w:rsid w:val="00952D14"/>
    <w:rsid w:val="00952E6E"/>
    <w:rsid w:val="009530A7"/>
    <w:rsid w:val="00953785"/>
    <w:rsid w:val="00953DBB"/>
    <w:rsid w:val="00953DD8"/>
    <w:rsid w:val="0095410B"/>
    <w:rsid w:val="0095429E"/>
    <w:rsid w:val="00954F26"/>
    <w:rsid w:val="0095501F"/>
    <w:rsid w:val="00955049"/>
    <w:rsid w:val="0095537D"/>
    <w:rsid w:val="0095540A"/>
    <w:rsid w:val="009559A6"/>
    <w:rsid w:val="00955B1E"/>
    <w:rsid w:val="00955E01"/>
    <w:rsid w:val="00956351"/>
    <w:rsid w:val="00956383"/>
    <w:rsid w:val="009565E8"/>
    <w:rsid w:val="00956642"/>
    <w:rsid w:val="00956805"/>
    <w:rsid w:val="00956A63"/>
    <w:rsid w:val="00956CBF"/>
    <w:rsid w:val="009571C5"/>
    <w:rsid w:val="00957851"/>
    <w:rsid w:val="00957944"/>
    <w:rsid w:val="00957987"/>
    <w:rsid w:val="009579B7"/>
    <w:rsid w:val="009579EA"/>
    <w:rsid w:val="00957D9D"/>
    <w:rsid w:val="009603A8"/>
    <w:rsid w:val="0096040C"/>
    <w:rsid w:val="0096046F"/>
    <w:rsid w:val="0096061F"/>
    <w:rsid w:val="0096066E"/>
    <w:rsid w:val="0096068D"/>
    <w:rsid w:val="00960881"/>
    <w:rsid w:val="00960886"/>
    <w:rsid w:val="00960888"/>
    <w:rsid w:val="0096099E"/>
    <w:rsid w:val="00960A71"/>
    <w:rsid w:val="00960DBE"/>
    <w:rsid w:val="009610FD"/>
    <w:rsid w:val="0096185E"/>
    <w:rsid w:val="00961947"/>
    <w:rsid w:val="00961A6B"/>
    <w:rsid w:val="00961B0B"/>
    <w:rsid w:val="00961B81"/>
    <w:rsid w:val="00961BCE"/>
    <w:rsid w:val="00961F77"/>
    <w:rsid w:val="0096202D"/>
    <w:rsid w:val="00962130"/>
    <w:rsid w:val="0096228A"/>
    <w:rsid w:val="00962292"/>
    <w:rsid w:val="00962505"/>
    <w:rsid w:val="0096255A"/>
    <w:rsid w:val="009625D1"/>
    <w:rsid w:val="009628A5"/>
    <w:rsid w:val="00962D73"/>
    <w:rsid w:val="00962DE5"/>
    <w:rsid w:val="00962F68"/>
    <w:rsid w:val="00963441"/>
    <w:rsid w:val="00963467"/>
    <w:rsid w:val="009634C1"/>
    <w:rsid w:val="0096365C"/>
    <w:rsid w:val="009637FD"/>
    <w:rsid w:val="0096396D"/>
    <w:rsid w:val="00963AB3"/>
    <w:rsid w:val="00963D77"/>
    <w:rsid w:val="009645AC"/>
    <w:rsid w:val="00964739"/>
    <w:rsid w:val="009647D3"/>
    <w:rsid w:val="009648A4"/>
    <w:rsid w:val="00964A10"/>
    <w:rsid w:val="00964A78"/>
    <w:rsid w:val="00964B4F"/>
    <w:rsid w:val="00964D52"/>
    <w:rsid w:val="00964F0D"/>
    <w:rsid w:val="009651FD"/>
    <w:rsid w:val="00965228"/>
    <w:rsid w:val="00965410"/>
    <w:rsid w:val="00965960"/>
    <w:rsid w:val="00965CF3"/>
    <w:rsid w:val="00965DE8"/>
    <w:rsid w:val="00965E41"/>
    <w:rsid w:val="00965EBE"/>
    <w:rsid w:val="00965F1E"/>
    <w:rsid w:val="00966115"/>
    <w:rsid w:val="0096619D"/>
    <w:rsid w:val="009664D8"/>
    <w:rsid w:val="00966559"/>
    <w:rsid w:val="009665C0"/>
    <w:rsid w:val="009666B9"/>
    <w:rsid w:val="00966A48"/>
    <w:rsid w:val="00966A91"/>
    <w:rsid w:val="00966B7E"/>
    <w:rsid w:val="00966BB5"/>
    <w:rsid w:val="00966CC9"/>
    <w:rsid w:val="00966DD6"/>
    <w:rsid w:val="00966E93"/>
    <w:rsid w:val="00967267"/>
    <w:rsid w:val="00967470"/>
    <w:rsid w:val="00967472"/>
    <w:rsid w:val="00967508"/>
    <w:rsid w:val="009675D3"/>
    <w:rsid w:val="0096775E"/>
    <w:rsid w:val="009677C8"/>
    <w:rsid w:val="0096780E"/>
    <w:rsid w:val="009678F4"/>
    <w:rsid w:val="00967BB9"/>
    <w:rsid w:val="00967BE0"/>
    <w:rsid w:val="009700F8"/>
    <w:rsid w:val="0097064C"/>
    <w:rsid w:val="00970659"/>
    <w:rsid w:val="0097073E"/>
    <w:rsid w:val="009707C4"/>
    <w:rsid w:val="00970840"/>
    <w:rsid w:val="009709DB"/>
    <w:rsid w:val="00970BCB"/>
    <w:rsid w:val="00971022"/>
    <w:rsid w:val="009711E1"/>
    <w:rsid w:val="009714DD"/>
    <w:rsid w:val="0097150B"/>
    <w:rsid w:val="00971574"/>
    <w:rsid w:val="00971627"/>
    <w:rsid w:val="0097197E"/>
    <w:rsid w:val="00971993"/>
    <w:rsid w:val="009719E8"/>
    <w:rsid w:val="00971A5D"/>
    <w:rsid w:val="00971A62"/>
    <w:rsid w:val="00971B15"/>
    <w:rsid w:val="00971CE7"/>
    <w:rsid w:val="00972297"/>
    <w:rsid w:val="009723BC"/>
    <w:rsid w:val="00972524"/>
    <w:rsid w:val="00972812"/>
    <w:rsid w:val="00972878"/>
    <w:rsid w:val="009728E5"/>
    <w:rsid w:val="009729E8"/>
    <w:rsid w:val="00972C2D"/>
    <w:rsid w:val="00972DCC"/>
    <w:rsid w:val="00972FE0"/>
    <w:rsid w:val="00973419"/>
    <w:rsid w:val="009737D9"/>
    <w:rsid w:val="00973B05"/>
    <w:rsid w:val="00973B37"/>
    <w:rsid w:val="00973F33"/>
    <w:rsid w:val="00973FC9"/>
    <w:rsid w:val="009743B8"/>
    <w:rsid w:val="009743DE"/>
    <w:rsid w:val="0097460A"/>
    <w:rsid w:val="00974B69"/>
    <w:rsid w:val="00974E5B"/>
    <w:rsid w:val="00974ECA"/>
    <w:rsid w:val="009751E1"/>
    <w:rsid w:val="00975277"/>
    <w:rsid w:val="009755DB"/>
    <w:rsid w:val="00975756"/>
    <w:rsid w:val="009757AD"/>
    <w:rsid w:val="00975882"/>
    <w:rsid w:val="00975935"/>
    <w:rsid w:val="009759A8"/>
    <w:rsid w:val="00975CD7"/>
    <w:rsid w:val="00975D72"/>
    <w:rsid w:val="00975E22"/>
    <w:rsid w:val="00975E4A"/>
    <w:rsid w:val="00975E5C"/>
    <w:rsid w:val="00976048"/>
    <w:rsid w:val="00976302"/>
    <w:rsid w:val="00976466"/>
    <w:rsid w:val="00976867"/>
    <w:rsid w:val="009769C0"/>
    <w:rsid w:val="00976C25"/>
    <w:rsid w:val="00976D13"/>
    <w:rsid w:val="00977092"/>
    <w:rsid w:val="00977105"/>
    <w:rsid w:val="009772BD"/>
    <w:rsid w:val="0097741B"/>
    <w:rsid w:val="0097754B"/>
    <w:rsid w:val="009775A7"/>
    <w:rsid w:val="009775F9"/>
    <w:rsid w:val="009779CD"/>
    <w:rsid w:val="009779F3"/>
    <w:rsid w:val="0098038F"/>
    <w:rsid w:val="009805B6"/>
    <w:rsid w:val="009807DB"/>
    <w:rsid w:val="00980CBE"/>
    <w:rsid w:val="00980F1F"/>
    <w:rsid w:val="00981199"/>
    <w:rsid w:val="009812E6"/>
    <w:rsid w:val="00981739"/>
    <w:rsid w:val="009817C2"/>
    <w:rsid w:val="009819DE"/>
    <w:rsid w:val="00981F39"/>
    <w:rsid w:val="009822E8"/>
    <w:rsid w:val="00982724"/>
    <w:rsid w:val="0098274D"/>
    <w:rsid w:val="009827AF"/>
    <w:rsid w:val="00982B35"/>
    <w:rsid w:val="00982FCD"/>
    <w:rsid w:val="00983125"/>
    <w:rsid w:val="0098314B"/>
    <w:rsid w:val="009831B0"/>
    <w:rsid w:val="0098332E"/>
    <w:rsid w:val="00983363"/>
    <w:rsid w:val="009833F2"/>
    <w:rsid w:val="009834C0"/>
    <w:rsid w:val="009837B5"/>
    <w:rsid w:val="009837D4"/>
    <w:rsid w:val="00983937"/>
    <w:rsid w:val="00983C9E"/>
    <w:rsid w:val="00983CFE"/>
    <w:rsid w:val="00983E97"/>
    <w:rsid w:val="00983FE2"/>
    <w:rsid w:val="0098417D"/>
    <w:rsid w:val="00984554"/>
    <w:rsid w:val="009845FB"/>
    <w:rsid w:val="009846C2"/>
    <w:rsid w:val="009846DD"/>
    <w:rsid w:val="009847DD"/>
    <w:rsid w:val="00984C9D"/>
    <w:rsid w:val="00984D53"/>
    <w:rsid w:val="00984E98"/>
    <w:rsid w:val="00984F7D"/>
    <w:rsid w:val="00985337"/>
    <w:rsid w:val="00985723"/>
    <w:rsid w:val="009858C8"/>
    <w:rsid w:val="00985B86"/>
    <w:rsid w:val="00985BC9"/>
    <w:rsid w:val="00985C7A"/>
    <w:rsid w:val="00985E4A"/>
    <w:rsid w:val="00985EC1"/>
    <w:rsid w:val="00985FBF"/>
    <w:rsid w:val="0098650A"/>
    <w:rsid w:val="0098665E"/>
    <w:rsid w:val="009866D6"/>
    <w:rsid w:val="0098671B"/>
    <w:rsid w:val="0098687C"/>
    <w:rsid w:val="00986AAC"/>
    <w:rsid w:val="00986C6B"/>
    <w:rsid w:val="00987258"/>
    <w:rsid w:val="00987284"/>
    <w:rsid w:val="00987326"/>
    <w:rsid w:val="00987BDB"/>
    <w:rsid w:val="00990195"/>
    <w:rsid w:val="00990439"/>
    <w:rsid w:val="009904CA"/>
    <w:rsid w:val="009905FA"/>
    <w:rsid w:val="0099084A"/>
    <w:rsid w:val="0099086D"/>
    <w:rsid w:val="009908AA"/>
    <w:rsid w:val="00990A18"/>
    <w:rsid w:val="00990AE8"/>
    <w:rsid w:val="00990B48"/>
    <w:rsid w:val="00990CF2"/>
    <w:rsid w:val="00990E6C"/>
    <w:rsid w:val="00990F81"/>
    <w:rsid w:val="00990F9F"/>
    <w:rsid w:val="00991342"/>
    <w:rsid w:val="009914A1"/>
    <w:rsid w:val="00991D28"/>
    <w:rsid w:val="009920E4"/>
    <w:rsid w:val="0099216F"/>
    <w:rsid w:val="00992272"/>
    <w:rsid w:val="0099232E"/>
    <w:rsid w:val="0099237F"/>
    <w:rsid w:val="009923C4"/>
    <w:rsid w:val="00992430"/>
    <w:rsid w:val="00992460"/>
    <w:rsid w:val="00992476"/>
    <w:rsid w:val="009925D5"/>
    <w:rsid w:val="00992695"/>
    <w:rsid w:val="009928E6"/>
    <w:rsid w:val="00992970"/>
    <w:rsid w:val="00992AFA"/>
    <w:rsid w:val="00992C06"/>
    <w:rsid w:val="00992DF5"/>
    <w:rsid w:val="00992DFB"/>
    <w:rsid w:val="00992FCF"/>
    <w:rsid w:val="0099354B"/>
    <w:rsid w:val="00993777"/>
    <w:rsid w:val="00993952"/>
    <w:rsid w:val="00993D52"/>
    <w:rsid w:val="00993D7C"/>
    <w:rsid w:val="00993FA8"/>
    <w:rsid w:val="00993FB0"/>
    <w:rsid w:val="0099444F"/>
    <w:rsid w:val="00994534"/>
    <w:rsid w:val="0099454C"/>
    <w:rsid w:val="009945C5"/>
    <w:rsid w:val="009946B6"/>
    <w:rsid w:val="00994B4B"/>
    <w:rsid w:val="00994B67"/>
    <w:rsid w:val="00994CF7"/>
    <w:rsid w:val="00994F24"/>
    <w:rsid w:val="00995526"/>
    <w:rsid w:val="0099571C"/>
    <w:rsid w:val="00995773"/>
    <w:rsid w:val="00995934"/>
    <w:rsid w:val="009959DE"/>
    <w:rsid w:val="00995DCD"/>
    <w:rsid w:val="00995EFC"/>
    <w:rsid w:val="00996023"/>
    <w:rsid w:val="009960D6"/>
    <w:rsid w:val="0099634B"/>
    <w:rsid w:val="009965F0"/>
    <w:rsid w:val="0099664D"/>
    <w:rsid w:val="009966EC"/>
    <w:rsid w:val="00996848"/>
    <w:rsid w:val="0099684D"/>
    <w:rsid w:val="00996AF6"/>
    <w:rsid w:val="00996C78"/>
    <w:rsid w:val="00996C7B"/>
    <w:rsid w:val="00996CED"/>
    <w:rsid w:val="009978CF"/>
    <w:rsid w:val="00997CAF"/>
    <w:rsid w:val="00997D0D"/>
    <w:rsid w:val="009A0196"/>
    <w:rsid w:val="009A01F2"/>
    <w:rsid w:val="009A0230"/>
    <w:rsid w:val="009A044E"/>
    <w:rsid w:val="009A04C1"/>
    <w:rsid w:val="009A0597"/>
    <w:rsid w:val="009A099B"/>
    <w:rsid w:val="009A0A39"/>
    <w:rsid w:val="009A0AF5"/>
    <w:rsid w:val="009A0BD9"/>
    <w:rsid w:val="009A0C8E"/>
    <w:rsid w:val="009A0CF8"/>
    <w:rsid w:val="009A0DC6"/>
    <w:rsid w:val="009A0E50"/>
    <w:rsid w:val="009A193C"/>
    <w:rsid w:val="009A1A29"/>
    <w:rsid w:val="009A1C34"/>
    <w:rsid w:val="009A1DA2"/>
    <w:rsid w:val="009A1EDD"/>
    <w:rsid w:val="009A1F14"/>
    <w:rsid w:val="009A1FDE"/>
    <w:rsid w:val="009A2171"/>
    <w:rsid w:val="009A2214"/>
    <w:rsid w:val="009A227B"/>
    <w:rsid w:val="009A2549"/>
    <w:rsid w:val="009A2639"/>
    <w:rsid w:val="009A2913"/>
    <w:rsid w:val="009A2CED"/>
    <w:rsid w:val="009A3003"/>
    <w:rsid w:val="009A31F9"/>
    <w:rsid w:val="009A3524"/>
    <w:rsid w:val="009A35AA"/>
    <w:rsid w:val="009A3704"/>
    <w:rsid w:val="009A37AE"/>
    <w:rsid w:val="009A38D7"/>
    <w:rsid w:val="009A38E4"/>
    <w:rsid w:val="009A3FEE"/>
    <w:rsid w:val="009A4185"/>
    <w:rsid w:val="009A419B"/>
    <w:rsid w:val="009A4285"/>
    <w:rsid w:val="009A42AB"/>
    <w:rsid w:val="009A4739"/>
    <w:rsid w:val="009A49B8"/>
    <w:rsid w:val="009A4CE3"/>
    <w:rsid w:val="009A4DD6"/>
    <w:rsid w:val="009A4DDF"/>
    <w:rsid w:val="009A4E9D"/>
    <w:rsid w:val="009A5038"/>
    <w:rsid w:val="009A56A1"/>
    <w:rsid w:val="009A57A2"/>
    <w:rsid w:val="009A5908"/>
    <w:rsid w:val="009A59F2"/>
    <w:rsid w:val="009A5A95"/>
    <w:rsid w:val="009A5FD1"/>
    <w:rsid w:val="009A61F6"/>
    <w:rsid w:val="009A627D"/>
    <w:rsid w:val="009A63AD"/>
    <w:rsid w:val="009A65F5"/>
    <w:rsid w:val="009A674F"/>
    <w:rsid w:val="009A684D"/>
    <w:rsid w:val="009A6B63"/>
    <w:rsid w:val="009A6D22"/>
    <w:rsid w:val="009A6ECE"/>
    <w:rsid w:val="009A6EEE"/>
    <w:rsid w:val="009A70CB"/>
    <w:rsid w:val="009A731F"/>
    <w:rsid w:val="009A7487"/>
    <w:rsid w:val="009A773C"/>
    <w:rsid w:val="009A77EA"/>
    <w:rsid w:val="009A78EB"/>
    <w:rsid w:val="009A7B0B"/>
    <w:rsid w:val="009A7B45"/>
    <w:rsid w:val="009B0188"/>
    <w:rsid w:val="009B02A4"/>
    <w:rsid w:val="009B048A"/>
    <w:rsid w:val="009B056E"/>
    <w:rsid w:val="009B066C"/>
    <w:rsid w:val="009B0772"/>
    <w:rsid w:val="009B07B0"/>
    <w:rsid w:val="009B080A"/>
    <w:rsid w:val="009B0A9B"/>
    <w:rsid w:val="009B0AB1"/>
    <w:rsid w:val="009B0B42"/>
    <w:rsid w:val="009B0B77"/>
    <w:rsid w:val="009B0CA2"/>
    <w:rsid w:val="009B0E33"/>
    <w:rsid w:val="009B11D5"/>
    <w:rsid w:val="009B1226"/>
    <w:rsid w:val="009B12D8"/>
    <w:rsid w:val="009B140E"/>
    <w:rsid w:val="009B199C"/>
    <w:rsid w:val="009B19D8"/>
    <w:rsid w:val="009B1A87"/>
    <w:rsid w:val="009B2017"/>
    <w:rsid w:val="009B2491"/>
    <w:rsid w:val="009B2A5A"/>
    <w:rsid w:val="009B2FFD"/>
    <w:rsid w:val="009B30C2"/>
    <w:rsid w:val="009B32BC"/>
    <w:rsid w:val="009B32FC"/>
    <w:rsid w:val="009B366B"/>
    <w:rsid w:val="009B37A2"/>
    <w:rsid w:val="009B3849"/>
    <w:rsid w:val="009B38E5"/>
    <w:rsid w:val="009B3975"/>
    <w:rsid w:val="009B39CE"/>
    <w:rsid w:val="009B4046"/>
    <w:rsid w:val="009B4197"/>
    <w:rsid w:val="009B44B4"/>
    <w:rsid w:val="009B44D0"/>
    <w:rsid w:val="009B4751"/>
    <w:rsid w:val="009B491B"/>
    <w:rsid w:val="009B4E2C"/>
    <w:rsid w:val="009B4FFA"/>
    <w:rsid w:val="009B512F"/>
    <w:rsid w:val="009B51BB"/>
    <w:rsid w:val="009B51FD"/>
    <w:rsid w:val="009B53D8"/>
    <w:rsid w:val="009B53EA"/>
    <w:rsid w:val="009B542F"/>
    <w:rsid w:val="009B5445"/>
    <w:rsid w:val="009B5679"/>
    <w:rsid w:val="009B56C0"/>
    <w:rsid w:val="009B585E"/>
    <w:rsid w:val="009B5979"/>
    <w:rsid w:val="009B5991"/>
    <w:rsid w:val="009B5C19"/>
    <w:rsid w:val="009B5FE6"/>
    <w:rsid w:val="009B6018"/>
    <w:rsid w:val="009B61F1"/>
    <w:rsid w:val="009B6253"/>
    <w:rsid w:val="009B62E0"/>
    <w:rsid w:val="009B6687"/>
    <w:rsid w:val="009B67F2"/>
    <w:rsid w:val="009B688B"/>
    <w:rsid w:val="009B689E"/>
    <w:rsid w:val="009B68E9"/>
    <w:rsid w:val="009B69A1"/>
    <w:rsid w:val="009B6AAB"/>
    <w:rsid w:val="009B6E01"/>
    <w:rsid w:val="009B6E06"/>
    <w:rsid w:val="009B6E68"/>
    <w:rsid w:val="009B6F45"/>
    <w:rsid w:val="009B7035"/>
    <w:rsid w:val="009B73C4"/>
    <w:rsid w:val="009B75C2"/>
    <w:rsid w:val="009B75D8"/>
    <w:rsid w:val="009B7608"/>
    <w:rsid w:val="009B766B"/>
    <w:rsid w:val="009B76F6"/>
    <w:rsid w:val="009B77E9"/>
    <w:rsid w:val="009B7A59"/>
    <w:rsid w:val="009B7B96"/>
    <w:rsid w:val="009B7BFE"/>
    <w:rsid w:val="009B7C00"/>
    <w:rsid w:val="009B7E90"/>
    <w:rsid w:val="009B7F1A"/>
    <w:rsid w:val="009C0129"/>
    <w:rsid w:val="009C01BD"/>
    <w:rsid w:val="009C04A6"/>
    <w:rsid w:val="009C063E"/>
    <w:rsid w:val="009C11C8"/>
    <w:rsid w:val="009C1719"/>
    <w:rsid w:val="009C1937"/>
    <w:rsid w:val="009C1D0B"/>
    <w:rsid w:val="009C1D2D"/>
    <w:rsid w:val="009C226F"/>
    <w:rsid w:val="009C23A9"/>
    <w:rsid w:val="009C28BD"/>
    <w:rsid w:val="009C2C37"/>
    <w:rsid w:val="009C2FE7"/>
    <w:rsid w:val="009C31B3"/>
    <w:rsid w:val="009C369B"/>
    <w:rsid w:val="009C36B4"/>
    <w:rsid w:val="009C3916"/>
    <w:rsid w:val="009C3A9E"/>
    <w:rsid w:val="009C3BF9"/>
    <w:rsid w:val="009C3CED"/>
    <w:rsid w:val="009C3D88"/>
    <w:rsid w:val="009C3E18"/>
    <w:rsid w:val="009C41C9"/>
    <w:rsid w:val="009C44BE"/>
    <w:rsid w:val="009C4543"/>
    <w:rsid w:val="009C4653"/>
    <w:rsid w:val="009C4765"/>
    <w:rsid w:val="009C4A26"/>
    <w:rsid w:val="009C4AD9"/>
    <w:rsid w:val="009C4ADE"/>
    <w:rsid w:val="009C4ADF"/>
    <w:rsid w:val="009C4AFB"/>
    <w:rsid w:val="009C4C6C"/>
    <w:rsid w:val="009C4E27"/>
    <w:rsid w:val="009C5151"/>
    <w:rsid w:val="009C51E1"/>
    <w:rsid w:val="009C53E1"/>
    <w:rsid w:val="009C5A3E"/>
    <w:rsid w:val="009C5C75"/>
    <w:rsid w:val="009C5D07"/>
    <w:rsid w:val="009C5DD4"/>
    <w:rsid w:val="009C5E3B"/>
    <w:rsid w:val="009C67C5"/>
    <w:rsid w:val="009C68CE"/>
    <w:rsid w:val="009C690F"/>
    <w:rsid w:val="009C6D92"/>
    <w:rsid w:val="009C712B"/>
    <w:rsid w:val="009C7139"/>
    <w:rsid w:val="009C71F1"/>
    <w:rsid w:val="009C7287"/>
    <w:rsid w:val="009C73C7"/>
    <w:rsid w:val="009C7602"/>
    <w:rsid w:val="009C78EA"/>
    <w:rsid w:val="009C7900"/>
    <w:rsid w:val="009C7A4A"/>
    <w:rsid w:val="009C7BB9"/>
    <w:rsid w:val="009C7C13"/>
    <w:rsid w:val="009C7D71"/>
    <w:rsid w:val="009C7DA2"/>
    <w:rsid w:val="009CAE91"/>
    <w:rsid w:val="009D0359"/>
    <w:rsid w:val="009D04B0"/>
    <w:rsid w:val="009D060E"/>
    <w:rsid w:val="009D06A2"/>
    <w:rsid w:val="009D0983"/>
    <w:rsid w:val="009D0AA5"/>
    <w:rsid w:val="009D0E2E"/>
    <w:rsid w:val="009D122B"/>
    <w:rsid w:val="009D13D2"/>
    <w:rsid w:val="009D1428"/>
    <w:rsid w:val="009D14A8"/>
    <w:rsid w:val="009D156A"/>
    <w:rsid w:val="009D16BD"/>
    <w:rsid w:val="009D1739"/>
    <w:rsid w:val="009D1954"/>
    <w:rsid w:val="009D1ADA"/>
    <w:rsid w:val="009D1C26"/>
    <w:rsid w:val="009D25F8"/>
    <w:rsid w:val="009D279C"/>
    <w:rsid w:val="009D29D9"/>
    <w:rsid w:val="009D2A26"/>
    <w:rsid w:val="009D2DE2"/>
    <w:rsid w:val="009D318B"/>
    <w:rsid w:val="009D31CE"/>
    <w:rsid w:val="009D31CF"/>
    <w:rsid w:val="009D3350"/>
    <w:rsid w:val="009D34D1"/>
    <w:rsid w:val="009D3672"/>
    <w:rsid w:val="009D382F"/>
    <w:rsid w:val="009D3949"/>
    <w:rsid w:val="009D3BAF"/>
    <w:rsid w:val="009D3C9A"/>
    <w:rsid w:val="009D3CBF"/>
    <w:rsid w:val="009D407D"/>
    <w:rsid w:val="009D4167"/>
    <w:rsid w:val="009D42CC"/>
    <w:rsid w:val="009D4398"/>
    <w:rsid w:val="009D453C"/>
    <w:rsid w:val="009D4792"/>
    <w:rsid w:val="009D497C"/>
    <w:rsid w:val="009D498A"/>
    <w:rsid w:val="009D4A7B"/>
    <w:rsid w:val="009D4D69"/>
    <w:rsid w:val="009D4E46"/>
    <w:rsid w:val="009D4F43"/>
    <w:rsid w:val="009D4FAE"/>
    <w:rsid w:val="009D4FC9"/>
    <w:rsid w:val="009D4FD1"/>
    <w:rsid w:val="009D5048"/>
    <w:rsid w:val="009D52E6"/>
    <w:rsid w:val="009D53E3"/>
    <w:rsid w:val="009D5502"/>
    <w:rsid w:val="009D55E5"/>
    <w:rsid w:val="009D57B7"/>
    <w:rsid w:val="009D596B"/>
    <w:rsid w:val="009D5B0E"/>
    <w:rsid w:val="009D5B19"/>
    <w:rsid w:val="009D5F38"/>
    <w:rsid w:val="009D6187"/>
    <w:rsid w:val="009D62A7"/>
    <w:rsid w:val="009D6362"/>
    <w:rsid w:val="009D63CC"/>
    <w:rsid w:val="009D6470"/>
    <w:rsid w:val="009D6553"/>
    <w:rsid w:val="009D6706"/>
    <w:rsid w:val="009D6933"/>
    <w:rsid w:val="009D6B39"/>
    <w:rsid w:val="009D6B59"/>
    <w:rsid w:val="009D6B5E"/>
    <w:rsid w:val="009D709F"/>
    <w:rsid w:val="009D70AE"/>
    <w:rsid w:val="009D7421"/>
    <w:rsid w:val="009D74BB"/>
    <w:rsid w:val="009D764D"/>
    <w:rsid w:val="009D7727"/>
    <w:rsid w:val="009D79E5"/>
    <w:rsid w:val="009D7C26"/>
    <w:rsid w:val="009D7CD4"/>
    <w:rsid w:val="009D7E24"/>
    <w:rsid w:val="009D7E3E"/>
    <w:rsid w:val="009D7E8F"/>
    <w:rsid w:val="009E0238"/>
    <w:rsid w:val="009E02AC"/>
    <w:rsid w:val="009E02E7"/>
    <w:rsid w:val="009E0664"/>
    <w:rsid w:val="009E09EC"/>
    <w:rsid w:val="009E0C93"/>
    <w:rsid w:val="009E0ECD"/>
    <w:rsid w:val="009E12CC"/>
    <w:rsid w:val="009E14D1"/>
    <w:rsid w:val="009E14F8"/>
    <w:rsid w:val="009E1651"/>
    <w:rsid w:val="009E1C14"/>
    <w:rsid w:val="009E1D00"/>
    <w:rsid w:val="009E1D71"/>
    <w:rsid w:val="009E1F18"/>
    <w:rsid w:val="009E2031"/>
    <w:rsid w:val="009E213C"/>
    <w:rsid w:val="009E2330"/>
    <w:rsid w:val="009E236F"/>
    <w:rsid w:val="009E23B1"/>
    <w:rsid w:val="009E25B0"/>
    <w:rsid w:val="009E25FB"/>
    <w:rsid w:val="009E2870"/>
    <w:rsid w:val="009E2E4C"/>
    <w:rsid w:val="009E2E8E"/>
    <w:rsid w:val="009E2F92"/>
    <w:rsid w:val="009E308C"/>
    <w:rsid w:val="009E30D6"/>
    <w:rsid w:val="009E31A0"/>
    <w:rsid w:val="009E31A2"/>
    <w:rsid w:val="009E334C"/>
    <w:rsid w:val="009E334E"/>
    <w:rsid w:val="009E35D8"/>
    <w:rsid w:val="009E37D0"/>
    <w:rsid w:val="009E3858"/>
    <w:rsid w:val="009E3A40"/>
    <w:rsid w:val="009E3BD4"/>
    <w:rsid w:val="009E3C7E"/>
    <w:rsid w:val="009E3ECA"/>
    <w:rsid w:val="009E3EFC"/>
    <w:rsid w:val="009E4196"/>
    <w:rsid w:val="009E4474"/>
    <w:rsid w:val="009E4662"/>
    <w:rsid w:val="009E467D"/>
    <w:rsid w:val="009E47D9"/>
    <w:rsid w:val="009E4B88"/>
    <w:rsid w:val="009E4C23"/>
    <w:rsid w:val="009E5143"/>
    <w:rsid w:val="009E533C"/>
    <w:rsid w:val="009E5560"/>
    <w:rsid w:val="009E55E5"/>
    <w:rsid w:val="009E56AB"/>
    <w:rsid w:val="009E572E"/>
    <w:rsid w:val="009E57C8"/>
    <w:rsid w:val="009E58DF"/>
    <w:rsid w:val="009E612F"/>
    <w:rsid w:val="009E648D"/>
    <w:rsid w:val="009E64F1"/>
    <w:rsid w:val="009E66EC"/>
    <w:rsid w:val="009E6772"/>
    <w:rsid w:val="009E6777"/>
    <w:rsid w:val="009E67CF"/>
    <w:rsid w:val="009E680E"/>
    <w:rsid w:val="009E6939"/>
    <w:rsid w:val="009E696B"/>
    <w:rsid w:val="009E69DC"/>
    <w:rsid w:val="009E6E4B"/>
    <w:rsid w:val="009E6EBB"/>
    <w:rsid w:val="009E6F52"/>
    <w:rsid w:val="009E70DD"/>
    <w:rsid w:val="009E72BF"/>
    <w:rsid w:val="009E737D"/>
    <w:rsid w:val="009E75F0"/>
    <w:rsid w:val="009E760B"/>
    <w:rsid w:val="009E7645"/>
    <w:rsid w:val="009E77DD"/>
    <w:rsid w:val="009E7850"/>
    <w:rsid w:val="009E7927"/>
    <w:rsid w:val="009E7998"/>
    <w:rsid w:val="009E79DC"/>
    <w:rsid w:val="009E7CD2"/>
    <w:rsid w:val="009E7CF8"/>
    <w:rsid w:val="009F0100"/>
    <w:rsid w:val="009F0157"/>
    <w:rsid w:val="009F0216"/>
    <w:rsid w:val="009F073D"/>
    <w:rsid w:val="009F07BA"/>
    <w:rsid w:val="009F0BB0"/>
    <w:rsid w:val="009F0BEB"/>
    <w:rsid w:val="009F0D30"/>
    <w:rsid w:val="009F0E74"/>
    <w:rsid w:val="009F12C2"/>
    <w:rsid w:val="009F148A"/>
    <w:rsid w:val="009F18EB"/>
    <w:rsid w:val="009F1A1F"/>
    <w:rsid w:val="009F1A6B"/>
    <w:rsid w:val="009F1CAE"/>
    <w:rsid w:val="009F1E02"/>
    <w:rsid w:val="009F2071"/>
    <w:rsid w:val="009F2480"/>
    <w:rsid w:val="009F2592"/>
    <w:rsid w:val="009F2647"/>
    <w:rsid w:val="009F267F"/>
    <w:rsid w:val="009F2845"/>
    <w:rsid w:val="009F2A06"/>
    <w:rsid w:val="009F2A78"/>
    <w:rsid w:val="009F2C92"/>
    <w:rsid w:val="009F2ED9"/>
    <w:rsid w:val="009F2FA3"/>
    <w:rsid w:val="009F2FB0"/>
    <w:rsid w:val="009F3149"/>
    <w:rsid w:val="009F3231"/>
    <w:rsid w:val="009F3367"/>
    <w:rsid w:val="009F3644"/>
    <w:rsid w:val="009F365B"/>
    <w:rsid w:val="009F3C14"/>
    <w:rsid w:val="009F439B"/>
    <w:rsid w:val="009F43EB"/>
    <w:rsid w:val="009F4539"/>
    <w:rsid w:val="009F46EF"/>
    <w:rsid w:val="009F4889"/>
    <w:rsid w:val="009F4AA2"/>
    <w:rsid w:val="009F4B84"/>
    <w:rsid w:val="009F4BFD"/>
    <w:rsid w:val="009F4D74"/>
    <w:rsid w:val="009F5000"/>
    <w:rsid w:val="009F501F"/>
    <w:rsid w:val="009F50C9"/>
    <w:rsid w:val="009F511E"/>
    <w:rsid w:val="009F5455"/>
    <w:rsid w:val="009F55BB"/>
    <w:rsid w:val="009F56A5"/>
    <w:rsid w:val="009F5C58"/>
    <w:rsid w:val="009F5CF4"/>
    <w:rsid w:val="009F5F29"/>
    <w:rsid w:val="009F5FA7"/>
    <w:rsid w:val="009F6064"/>
    <w:rsid w:val="009F61BC"/>
    <w:rsid w:val="009F61FB"/>
    <w:rsid w:val="009F6407"/>
    <w:rsid w:val="009F65F6"/>
    <w:rsid w:val="009F662D"/>
    <w:rsid w:val="009F6643"/>
    <w:rsid w:val="009F6A1F"/>
    <w:rsid w:val="009F6AE9"/>
    <w:rsid w:val="009F6DED"/>
    <w:rsid w:val="009F6E72"/>
    <w:rsid w:val="009F6F40"/>
    <w:rsid w:val="009F6FDD"/>
    <w:rsid w:val="009F751C"/>
    <w:rsid w:val="009F7548"/>
    <w:rsid w:val="009F79D5"/>
    <w:rsid w:val="009F7BEC"/>
    <w:rsid w:val="009F7E03"/>
    <w:rsid w:val="009F7E0E"/>
    <w:rsid w:val="009F7E4D"/>
    <w:rsid w:val="009F7F95"/>
    <w:rsid w:val="00A00071"/>
    <w:rsid w:val="00A00399"/>
    <w:rsid w:val="00A00451"/>
    <w:rsid w:val="00A00561"/>
    <w:rsid w:val="00A005BE"/>
    <w:rsid w:val="00A006A5"/>
    <w:rsid w:val="00A008E1"/>
    <w:rsid w:val="00A00A7B"/>
    <w:rsid w:val="00A00B03"/>
    <w:rsid w:val="00A00C3E"/>
    <w:rsid w:val="00A00F67"/>
    <w:rsid w:val="00A013B7"/>
    <w:rsid w:val="00A017DC"/>
    <w:rsid w:val="00A01906"/>
    <w:rsid w:val="00A01AAB"/>
    <w:rsid w:val="00A01C94"/>
    <w:rsid w:val="00A01EC2"/>
    <w:rsid w:val="00A01EE9"/>
    <w:rsid w:val="00A021CE"/>
    <w:rsid w:val="00A0227B"/>
    <w:rsid w:val="00A022D3"/>
    <w:rsid w:val="00A023A0"/>
    <w:rsid w:val="00A0261C"/>
    <w:rsid w:val="00A02725"/>
    <w:rsid w:val="00A02817"/>
    <w:rsid w:val="00A02862"/>
    <w:rsid w:val="00A02A37"/>
    <w:rsid w:val="00A02D8F"/>
    <w:rsid w:val="00A02E8F"/>
    <w:rsid w:val="00A02ECD"/>
    <w:rsid w:val="00A02F42"/>
    <w:rsid w:val="00A02FD8"/>
    <w:rsid w:val="00A0323B"/>
    <w:rsid w:val="00A03338"/>
    <w:rsid w:val="00A034F7"/>
    <w:rsid w:val="00A034F9"/>
    <w:rsid w:val="00A03790"/>
    <w:rsid w:val="00A037D5"/>
    <w:rsid w:val="00A038BB"/>
    <w:rsid w:val="00A038C0"/>
    <w:rsid w:val="00A03C88"/>
    <w:rsid w:val="00A03D53"/>
    <w:rsid w:val="00A03ED6"/>
    <w:rsid w:val="00A04653"/>
    <w:rsid w:val="00A049EA"/>
    <w:rsid w:val="00A04AF0"/>
    <w:rsid w:val="00A04BBC"/>
    <w:rsid w:val="00A04DEF"/>
    <w:rsid w:val="00A04E12"/>
    <w:rsid w:val="00A051D1"/>
    <w:rsid w:val="00A05395"/>
    <w:rsid w:val="00A054DF"/>
    <w:rsid w:val="00A055DB"/>
    <w:rsid w:val="00A056F7"/>
    <w:rsid w:val="00A058EF"/>
    <w:rsid w:val="00A05905"/>
    <w:rsid w:val="00A05A57"/>
    <w:rsid w:val="00A05B36"/>
    <w:rsid w:val="00A05E21"/>
    <w:rsid w:val="00A05E30"/>
    <w:rsid w:val="00A05E48"/>
    <w:rsid w:val="00A05EBC"/>
    <w:rsid w:val="00A05F1A"/>
    <w:rsid w:val="00A061F6"/>
    <w:rsid w:val="00A06450"/>
    <w:rsid w:val="00A06B80"/>
    <w:rsid w:val="00A06C07"/>
    <w:rsid w:val="00A06CF8"/>
    <w:rsid w:val="00A06F7E"/>
    <w:rsid w:val="00A06FF7"/>
    <w:rsid w:val="00A07230"/>
    <w:rsid w:val="00A074FC"/>
    <w:rsid w:val="00A075D0"/>
    <w:rsid w:val="00A0772D"/>
    <w:rsid w:val="00A07873"/>
    <w:rsid w:val="00A07932"/>
    <w:rsid w:val="00A07C6D"/>
    <w:rsid w:val="00A07D2D"/>
    <w:rsid w:val="00A07F18"/>
    <w:rsid w:val="00A07F19"/>
    <w:rsid w:val="00A10177"/>
    <w:rsid w:val="00A1064E"/>
    <w:rsid w:val="00A1067E"/>
    <w:rsid w:val="00A10769"/>
    <w:rsid w:val="00A107B2"/>
    <w:rsid w:val="00A10BC3"/>
    <w:rsid w:val="00A10CB2"/>
    <w:rsid w:val="00A10F0C"/>
    <w:rsid w:val="00A1109E"/>
    <w:rsid w:val="00A111E2"/>
    <w:rsid w:val="00A111EF"/>
    <w:rsid w:val="00A11237"/>
    <w:rsid w:val="00A112EA"/>
    <w:rsid w:val="00A1143C"/>
    <w:rsid w:val="00A1149C"/>
    <w:rsid w:val="00A114C3"/>
    <w:rsid w:val="00A1151A"/>
    <w:rsid w:val="00A1153D"/>
    <w:rsid w:val="00A11735"/>
    <w:rsid w:val="00A1192E"/>
    <w:rsid w:val="00A11B0F"/>
    <w:rsid w:val="00A11CBE"/>
    <w:rsid w:val="00A12023"/>
    <w:rsid w:val="00A12062"/>
    <w:rsid w:val="00A120D2"/>
    <w:rsid w:val="00A121E6"/>
    <w:rsid w:val="00A121F2"/>
    <w:rsid w:val="00A12433"/>
    <w:rsid w:val="00A12546"/>
    <w:rsid w:val="00A1258A"/>
    <w:rsid w:val="00A1258F"/>
    <w:rsid w:val="00A12648"/>
    <w:rsid w:val="00A1272A"/>
    <w:rsid w:val="00A12A89"/>
    <w:rsid w:val="00A12C3A"/>
    <w:rsid w:val="00A12D91"/>
    <w:rsid w:val="00A12FC3"/>
    <w:rsid w:val="00A13354"/>
    <w:rsid w:val="00A13367"/>
    <w:rsid w:val="00A13454"/>
    <w:rsid w:val="00A13540"/>
    <w:rsid w:val="00A13884"/>
    <w:rsid w:val="00A13CFD"/>
    <w:rsid w:val="00A13E15"/>
    <w:rsid w:val="00A13EB5"/>
    <w:rsid w:val="00A13EE1"/>
    <w:rsid w:val="00A14109"/>
    <w:rsid w:val="00A14165"/>
    <w:rsid w:val="00A14234"/>
    <w:rsid w:val="00A142C4"/>
    <w:rsid w:val="00A14410"/>
    <w:rsid w:val="00A147A1"/>
    <w:rsid w:val="00A148D4"/>
    <w:rsid w:val="00A14EAA"/>
    <w:rsid w:val="00A152B5"/>
    <w:rsid w:val="00A15626"/>
    <w:rsid w:val="00A1562B"/>
    <w:rsid w:val="00A156A0"/>
    <w:rsid w:val="00A1573A"/>
    <w:rsid w:val="00A1594E"/>
    <w:rsid w:val="00A15A5C"/>
    <w:rsid w:val="00A1625F"/>
    <w:rsid w:val="00A162C2"/>
    <w:rsid w:val="00A1645D"/>
    <w:rsid w:val="00A16487"/>
    <w:rsid w:val="00A16568"/>
    <w:rsid w:val="00A168E0"/>
    <w:rsid w:val="00A168F6"/>
    <w:rsid w:val="00A1694A"/>
    <w:rsid w:val="00A16AFB"/>
    <w:rsid w:val="00A16B7C"/>
    <w:rsid w:val="00A16B96"/>
    <w:rsid w:val="00A16BFD"/>
    <w:rsid w:val="00A16D80"/>
    <w:rsid w:val="00A1701F"/>
    <w:rsid w:val="00A170F4"/>
    <w:rsid w:val="00A1725F"/>
    <w:rsid w:val="00A17534"/>
    <w:rsid w:val="00A1779A"/>
    <w:rsid w:val="00A17884"/>
    <w:rsid w:val="00A17D29"/>
    <w:rsid w:val="00A17D60"/>
    <w:rsid w:val="00A2047E"/>
    <w:rsid w:val="00A20497"/>
    <w:rsid w:val="00A20679"/>
    <w:rsid w:val="00A20766"/>
    <w:rsid w:val="00A20A92"/>
    <w:rsid w:val="00A20D2F"/>
    <w:rsid w:val="00A20D98"/>
    <w:rsid w:val="00A20E94"/>
    <w:rsid w:val="00A210ED"/>
    <w:rsid w:val="00A2119D"/>
    <w:rsid w:val="00A21408"/>
    <w:rsid w:val="00A21430"/>
    <w:rsid w:val="00A21554"/>
    <w:rsid w:val="00A217D6"/>
    <w:rsid w:val="00A21CFD"/>
    <w:rsid w:val="00A21E75"/>
    <w:rsid w:val="00A22171"/>
    <w:rsid w:val="00A22271"/>
    <w:rsid w:val="00A2231A"/>
    <w:rsid w:val="00A2232F"/>
    <w:rsid w:val="00A22407"/>
    <w:rsid w:val="00A224C9"/>
    <w:rsid w:val="00A22926"/>
    <w:rsid w:val="00A229D0"/>
    <w:rsid w:val="00A22C52"/>
    <w:rsid w:val="00A232CD"/>
    <w:rsid w:val="00A236DA"/>
    <w:rsid w:val="00A237EE"/>
    <w:rsid w:val="00A23804"/>
    <w:rsid w:val="00A23BA4"/>
    <w:rsid w:val="00A23C9D"/>
    <w:rsid w:val="00A23DEB"/>
    <w:rsid w:val="00A23E42"/>
    <w:rsid w:val="00A23E63"/>
    <w:rsid w:val="00A241A9"/>
    <w:rsid w:val="00A24488"/>
    <w:rsid w:val="00A244B6"/>
    <w:rsid w:val="00A244C1"/>
    <w:rsid w:val="00A24609"/>
    <w:rsid w:val="00A24936"/>
    <w:rsid w:val="00A24A11"/>
    <w:rsid w:val="00A24AB2"/>
    <w:rsid w:val="00A253FB"/>
    <w:rsid w:val="00A254C2"/>
    <w:rsid w:val="00A254CB"/>
    <w:rsid w:val="00A25507"/>
    <w:rsid w:val="00A2552E"/>
    <w:rsid w:val="00A25590"/>
    <w:rsid w:val="00A25737"/>
    <w:rsid w:val="00A257DC"/>
    <w:rsid w:val="00A258B9"/>
    <w:rsid w:val="00A259E4"/>
    <w:rsid w:val="00A25A1B"/>
    <w:rsid w:val="00A25B78"/>
    <w:rsid w:val="00A26490"/>
    <w:rsid w:val="00A26A5F"/>
    <w:rsid w:val="00A26BFF"/>
    <w:rsid w:val="00A26D11"/>
    <w:rsid w:val="00A26D41"/>
    <w:rsid w:val="00A26E6F"/>
    <w:rsid w:val="00A26E7F"/>
    <w:rsid w:val="00A26F6B"/>
    <w:rsid w:val="00A271DF"/>
    <w:rsid w:val="00A274EC"/>
    <w:rsid w:val="00A276F4"/>
    <w:rsid w:val="00A27B01"/>
    <w:rsid w:val="00A27BDB"/>
    <w:rsid w:val="00A27CAB"/>
    <w:rsid w:val="00A300E9"/>
    <w:rsid w:val="00A3047A"/>
    <w:rsid w:val="00A304B1"/>
    <w:rsid w:val="00A3059D"/>
    <w:rsid w:val="00A307FE"/>
    <w:rsid w:val="00A30A62"/>
    <w:rsid w:val="00A30CDF"/>
    <w:rsid w:val="00A3102D"/>
    <w:rsid w:val="00A31126"/>
    <w:rsid w:val="00A31382"/>
    <w:rsid w:val="00A316EA"/>
    <w:rsid w:val="00A31764"/>
    <w:rsid w:val="00A317AA"/>
    <w:rsid w:val="00A3180A"/>
    <w:rsid w:val="00A318F9"/>
    <w:rsid w:val="00A31AE8"/>
    <w:rsid w:val="00A320D4"/>
    <w:rsid w:val="00A320D9"/>
    <w:rsid w:val="00A32372"/>
    <w:rsid w:val="00A325E0"/>
    <w:rsid w:val="00A32714"/>
    <w:rsid w:val="00A328D1"/>
    <w:rsid w:val="00A329DA"/>
    <w:rsid w:val="00A32B09"/>
    <w:rsid w:val="00A32D17"/>
    <w:rsid w:val="00A32FB0"/>
    <w:rsid w:val="00A33198"/>
    <w:rsid w:val="00A3322D"/>
    <w:rsid w:val="00A332A0"/>
    <w:rsid w:val="00A3331E"/>
    <w:rsid w:val="00A33477"/>
    <w:rsid w:val="00A33787"/>
    <w:rsid w:val="00A33999"/>
    <w:rsid w:val="00A33A94"/>
    <w:rsid w:val="00A33B3E"/>
    <w:rsid w:val="00A33C19"/>
    <w:rsid w:val="00A33C68"/>
    <w:rsid w:val="00A33D63"/>
    <w:rsid w:val="00A34328"/>
    <w:rsid w:val="00A343CD"/>
    <w:rsid w:val="00A34CC8"/>
    <w:rsid w:val="00A3519B"/>
    <w:rsid w:val="00A353A0"/>
    <w:rsid w:val="00A35930"/>
    <w:rsid w:val="00A35B0C"/>
    <w:rsid w:val="00A35B84"/>
    <w:rsid w:val="00A35BE8"/>
    <w:rsid w:val="00A35D30"/>
    <w:rsid w:val="00A35E67"/>
    <w:rsid w:val="00A360D6"/>
    <w:rsid w:val="00A36125"/>
    <w:rsid w:val="00A36141"/>
    <w:rsid w:val="00A36283"/>
    <w:rsid w:val="00A36A4C"/>
    <w:rsid w:val="00A37253"/>
    <w:rsid w:val="00A372F8"/>
    <w:rsid w:val="00A375FF"/>
    <w:rsid w:val="00A3764F"/>
    <w:rsid w:val="00A377D5"/>
    <w:rsid w:val="00A378C2"/>
    <w:rsid w:val="00A37BF1"/>
    <w:rsid w:val="00A37D9F"/>
    <w:rsid w:val="00A37F88"/>
    <w:rsid w:val="00A400CC"/>
    <w:rsid w:val="00A402E9"/>
    <w:rsid w:val="00A4030E"/>
    <w:rsid w:val="00A40345"/>
    <w:rsid w:val="00A403D4"/>
    <w:rsid w:val="00A40495"/>
    <w:rsid w:val="00A404A0"/>
    <w:rsid w:val="00A4054D"/>
    <w:rsid w:val="00A40613"/>
    <w:rsid w:val="00A40785"/>
    <w:rsid w:val="00A40A6F"/>
    <w:rsid w:val="00A40D58"/>
    <w:rsid w:val="00A411D3"/>
    <w:rsid w:val="00A41478"/>
    <w:rsid w:val="00A414E3"/>
    <w:rsid w:val="00A41577"/>
    <w:rsid w:val="00A41659"/>
    <w:rsid w:val="00A417C9"/>
    <w:rsid w:val="00A41A7A"/>
    <w:rsid w:val="00A41A8C"/>
    <w:rsid w:val="00A41B66"/>
    <w:rsid w:val="00A41D65"/>
    <w:rsid w:val="00A41EB2"/>
    <w:rsid w:val="00A42038"/>
    <w:rsid w:val="00A42477"/>
    <w:rsid w:val="00A42481"/>
    <w:rsid w:val="00A42819"/>
    <w:rsid w:val="00A42D29"/>
    <w:rsid w:val="00A430DC"/>
    <w:rsid w:val="00A431E2"/>
    <w:rsid w:val="00A43521"/>
    <w:rsid w:val="00A43963"/>
    <w:rsid w:val="00A439CC"/>
    <w:rsid w:val="00A43A06"/>
    <w:rsid w:val="00A43C71"/>
    <w:rsid w:val="00A43D27"/>
    <w:rsid w:val="00A43E3A"/>
    <w:rsid w:val="00A43FA1"/>
    <w:rsid w:val="00A440C3"/>
    <w:rsid w:val="00A441F0"/>
    <w:rsid w:val="00A444B5"/>
    <w:rsid w:val="00A44502"/>
    <w:rsid w:val="00A44552"/>
    <w:rsid w:val="00A445BA"/>
    <w:rsid w:val="00A448D8"/>
    <w:rsid w:val="00A44909"/>
    <w:rsid w:val="00A44B63"/>
    <w:rsid w:val="00A44C10"/>
    <w:rsid w:val="00A450ED"/>
    <w:rsid w:val="00A45221"/>
    <w:rsid w:val="00A45307"/>
    <w:rsid w:val="00A453EA"/>
    <w:rsid w:val="00A45465"/>
    <w:rsid w:val="00A457A7"/>
    <w:rsid w:val="00A459A8"/>
    <w:rsid w:val="00A45A52"/>
    <w:rsid w:val="00A45B65"/>
    <w:rsid w:val="00A45CB0"/>
    <w:rsid w:val="00A45CB3"/>
    <w:rsid w:val="00A46059"/>
    <w:rsid w:val="00A46288"/>
    <w:rsid w:val="00A466F9"/>
    <w:rsid w:val="00A46816"/>
    <w:rsid w:val="00A468D3"/>
    <w:rsid w:val="00A46967"/>
    <w:rsid w:val="00A46A02"/>
    <w:rsid w:val="00A46BA8"/>
    <w:rsid w:val="00A46E9E"/>
    <w:rsid w:val="00A46EA6"/>
    <w:rsid w:val="00A46F2E"/>
    <w:rsid w:val="00A47054"/>
    <w:rsid w:val="00A47242"/>
    <w:rsid w:val="00A4726F"/>
    <w:rsid w:val="00A47497"/>
    <w:rsid w:val="00A47634"/>
    <w:rsid w:val="00A47852"/>
    <w:rsid w:val="00A47B03"/>
    <w:rsid w:val="00A47D28"/>
    <w:rsid w:val="00A50265"/>
    <w:rsid w:val="00A5028B"/>
    <w:rsid w:val="00A50603"/>
    <w:rsid w:val="00A507FE"/>
    <w:rsid w:val="00A50A03"/>
    <w:rsid w:val="00A50B59"/>
    <w:rsid w:val="00A50B7C"/>
    <w:rsid w:val="00A50C02"/>
    <w:rsid w:val="00A510E1"/>
    <w:rsid w:val="00A5160C"/>
    <w:rsid w:val="00A5182E"/>
    <w:rsid w:val="00A51BB8"/>
    <w:rsid w:val="00A51C48"/>
    <w:rsid w:val="00A5240B"/>
    <w:rsid w:val="00A524A9"/>
    <w:rsid w:val="00A52521"/>
    <w:rsid w:val="00A52653"/>
    <w:rsid w:val="00A52893"/>
    <w:rsid w:val="00A5290C"/>
    <w:rsid w:val="00A52A71"/>
    <w:rsid w:val="00A52D8A"/>
    <w:rsid w:val="00A534BC"/>
    <w:rsid w:val="00A534D5"/>
    <w:rsid w:val="00A534DB"/>
    <w:rsid w:val="00A534F3"/>
    <w:rsid w:val="00A5355F"/>
    <w:rsid w:val="00A535B7"/>
    <w:rsid w:val="00A537AC"/>
    <w:rsid w:val="00A53D07"/>
    <w:rsid w:val="00A53D69"/>
    <w:rsid w:val="00A54240"/>
    <w:rsid w:val="00A543AA"/>
    <w:rsid w:val="00A5441E"/>
    <w:rsid w:val="00A54C3F"/>
    <w:rsid w:val="00A54D00"/>
    <w:rsid w:val="00A54D20"/>
    <w:rsid w:val="00A54E3D"/>
    <w:rsid w:val="00A550CE"/>
    <w:rsid w:val="00A551C3"/>
    <w:rsid w:val="00A55299"/>
    <w:rsid w:val="00A55385"/>
    <w:rsid w:val="00A55468"/>
    <w:rsid w:val="00A554B5"/>
    <w:rsid w:val="00A55836"/>
    <w:rsid w:val="00A5585C"/>
    <w:rsid w:val="00A55904"/>
    <w:rsid w:val="00A55B3C"/>
    <w:rsid w:val="00A5617E"/>
    <w:rsid w:val="00A561A2"/>
    <w:rsid w:val="00A562D8"/>
    <w:rsid w:val="00A565D4"/>
    <w:rsid w:val="00A5662C"/>
    <w:rsid w:val="00A5667C"/>
    <w:rsid w:val="00A56782"/>
    <w:rsid w:val="00A56BA5"/>
    <w:rsid w:val="00A56BDE"/>
    <w:rsid w:val="00A56EFF"/>
    <w:rsid w:val="00A5701F"/>
    <w:rsid w:val="00A577FF"/>
    <w:rsid w:val="00A57A60"/>
    <w:rsid w:val="00A57D22"/>
    <w:rsid w:val="00A57F88"/>
    <w:rsid w:val="00A600CF"/>
    <w:rsid w:val="00A603AE"/>
    <w:rsid w:val="00A60403"/>
    <w:rsid w:val="00A6044B"/>
    <w:rsid w:val="00A60721"/>
    <w:rsid w:val="00A607D8"/>
    <w:rsid w:val="00A608D0"/>
    <w:rsid w:val="00A60AE4"/>
    <w:rsid w:val="00A60B87"/>
    <w:rsid w:val="00A60BBA"/>
    <w:rsid w:val="00A60BC9"/>
    <w:rsid w:val="00A60D7C"/>
    <w:rsid w:val="00A60ED5"/>
    <w:rsid w:val="00A60F26"/>
    <w:rsid w:val="00A60F2B"/>
    <w:rsid w:val="00A60FAA"/>
    <w:rsid w:val="00A612FE"/>
    <w:rsid w:val="00A6152D"/>
    <w:rsid w:val="00A61597"/>
    <w:rsid w:val="00A615B9"/>
    <w:rsid w:val="00A615F8"/>
    <w:rsid w:val="00A61922"/>
    <w:rsid w:val="00A61962"/>
    <w:rsid w:val="00A61A73"/>
    <w:rsid w:val="00A61CCC"/>
    <w:rsid w:val="00A61E80"/>
    <w:rsid w:val="00A6206C"/>
    <w:rsid w:val="00A624E2"/>
    <w:rsid w:val="00A625CB"/>
    <w:rsid w:val="00A628B7"/>
    <w:rsid w:val="00A628C2"/>
    <w:rsid w:val="00A62B55"/>
    <w:rsid w:val="00A62BE5"/>
    <w:rsid w:val="00A62BF8"/>
    <w:rsid w:val="00A63070"/>
    <w:rsid w:val="00A63334"/>
    <w:rsid w:val="00A63379"/>
    <w:rsid w:val="00A6351A"/>
    <w:rsid w:val="00A635B2"/>
    <w:rsid w:val="00A635C3"/>
    <w:rsid w:val="00A63A7C"/>
    <w:rsid w:val="00A63C3C"/>
    <w:rsid w:val="00A63D9B"/>
    <w:rsid w:val="00A64297"/>
    <w:rsid w:val="00A643C0"/>
    <w:rsid w:val="00A64A8D"/>
    <w:rsid w:val="00A64ABF"/>
    <w:rsid w:val="00A64EE2"/>
    <w:rsid w:val="00A64F30"/>
    <w:rsid w:val="00A65062"/>
    <w:rsid w:val="00A6507A"/>
    <w:rsid w:val="00A6511E"/>
    <w:rsid w:val="00A65191"/>
    <w:rsid w:val="00A65299"/>
    <w:rsid w:val="00A652A2"/>
    <w:rsid w:val="00A655A2"/>
    <w:rsid w:val="00A65757"/>
    <w:rsid w:val="00A658AB"/>
    <w:rsid w:val="00A65C02"/>
    <w:rsid w:val="00A65F99"/>
    <w:rsid w:val="00A6601E"/>
    <w:rsid w:val="00A66325"/>
    <w:rsid w:val="00A66B02"/>
    <w:rsid w:val="00A66B8C"/>
    <w:rsid w:val="00A66B9D"/>
    <w:rsid w:val="00A66CB7"/>
    <w:rsid w:val="00A66CD4"/>
    <w:rsid w:val="00A66F4D"/>
    <w:rsid w:val="00A66FA4"/>
    <w:rsid w:val="00A6713D"/>
    <w:rsid w:val="00A6715E"/>
    <w:rsid w:val="00A6730E"/>
    <w:rsid w:val="00A677CB"/>
    <w:rsid w:val="00A678D8"/>
    <w:rsid w:val="00A67920"/>
    <w:rsid w:val="00A67B11"/>
    <w:rsid w:val="00A67CA5"/>
    <w:rsid w:val="00A70055"/>
    <w:rsid w:val="00A70060"/>
    <w:rsid w:val="00A7021C"/>
    <w:rsid w:val="00A703B3"/>
    <w:rsid w:val="00A70724"/>
    <w:rsid w:val="00A70B49"/>
    <w:rsid w:val="00A70B77"/>
    <w:rsid w:val="00A70C4C"/>
    <w:rsid w:val="00A70D26"/>
    <w:rsid w:val="00A70EAC"/>
    <w:rsid w:val="00A71385"/>
    <w:rsid w:val="00A7143A"/>
    <w:rsid w:val="00A7147C"/>
    <w:rsid w:val="00A7183C"/>
    <w:rsid w:val="00A7189D"/>
    <w:rsid w:val="00A71915"/>
    <w:rsid w:val="00A71944"/>
    <w:rsid w:val="00A71D95"/>
    <w:rsid w:val="00A71DAD"/>
    <w:rsid w:val="00A72448"/>
    <w:rsid w:val="00A72954"/>
    <w:rsid w:val="00A72967"/>
    <w:rsid w:val="00A729CC"/>
    <w:rsid w:val="00A72DDB"/>
    <w:rsid w:val="00A72E59"/>
    <w:rsid w:val="00A72FA2"/>
    <w:rsid w:val="00A72FC5"/>
    <w:rsid w:val="00A73027"/>
    <w:rsid w:val="00A73109"/>
    <w:rsid w:val="00A73253"/>
    <w:rsid w:val="00A733EC"/>
    <w:rsid w:val="00A734B6"/>
    <w:rsid w:val="00A734FA"/>
    <w:rsid w:val="00A73599"/>
    <w:rsid w:val="00A73603"/>
    <w:rsid w:val="00A73831"/>
    <w:rsid w:val="00A739BD"/>
    <w:rsid w:val="00A73D65"/>
    <w:rsid w:val="00A73E4E"/>
    <w:rsid w:val="00A740D4"/>
    <w:rsid w:val="00A74278"/>
    <w:rsid w:val="00A743A4"/>
    <w:rsid w:val="00A743B1"/>
    <w:rsid w:val="00A744D4"/>
    <w:rsid w:val="00A744EA"/>
    <w:rsid w:val="00A74676"/>
    <w:rsid w:val="00A74A4E"/>
    <w:rsid w:val="00A74B03"/>
    <w:rsid w:val="00A74B41"/>
    <w:rsid w:val="00A74C35"/>
    <w:rsid w:val="00A74DEA"/>
    <w:rsid w:val="00A74E91"/>
    <w:rsid w:val="00A75473"/>
    <w:rsid w:val="00A754FD"/>
    <w:rsid w:val="00A75633"/>
    <w:rsid w:val="00A757C8"/>
    <w:rsid w:val="00A758B9"/>
    <w:rsid w:val="00A759FD"/>
    <w:rsid w:val="00A75A0C"/>
    <w:rsid w:val="00A75AA4"/>
    <w:rsid w:val="00A7605C"/>
    <w:rsid w:val="00A761D9"/>
    <w:rsid w:val="00A7620C"/>
    <w:rsid w:val="00A766B1"/>
    <w:rsid w:val="00A766EF"/>
    <w:rsid w:val="00A76779"/>
    <w:rsid w:val="00A76904"/>
    <w:rsid w:val="00A7694A"/>
    <w:rsid w:val="00A76D86"/>
    <w:rsid w:val="00A76DB2"/>
    <w:rsid w:val="00A76EA6"/>
    <w:rsid w:val="00A76EBE"/>
    <w:rsid w:val="00A77270"/>
    <w:rsid w:val="00A772A0"/>
    <w:rsid w:val="00A77653"/>
    <w:rsid w:val="00A77713"/>
    <w:rsid w:val="00A77A44"/>
    <w:rsid w:val="00A77B95"/>
    <w:rsid w:val="00A77D28"/>
    <w:rsid w:val="00A77E24"/>
    <w:rsid w:val="00A77FF7"/>
    <w:rsid w:val="00A80163"/>
    <w:rsid w:val="00A80429"/>
    <w:rsid w:val="00A8084F"/>
    <w:rsid w:val="00A80A62"/>
    <w:rsid w:val="00A80A7F"/>
    <w:rsid w:val="00A81144"/>
    <w:rsid w:val="00A812BA"/>
    <w:rsid w:val="00A816FD"/>
    <w:rsid w:val="00A81993"/>
    <w:rsid w:val="00A81A43"/>
    <w:rsid w:val="00A81C53"/>
    <w:rsid w:val="00A81D2D"/>
    <w:rsid w:val="00A81E47"/>
    <w:rsid w:val="00A81F45"/>
    <w:rsid w:val="00A81F81"/>
    <w:rsid w:val="00A82311"/>
    <w:rsid w:val="00A82455"/>
    <w:rsid w:val="00A8258B"/>
    <w:rsid w:val="00A829F6"/>
    <w:rsid w:val="00A82C0B"/>
    <w:rsid w:val="00A82CFA"/>
    <w:rsid w:val="00A8311A"/>
    <w:rsid w:val="00A831DF"/>
    <w:rsid w:val="00A832B7"/>
    <w:rsid w:val="00A835A5"/>
    <w:rsid w:val="00A83E3B"/>
    <w:rsid w:val="00A84136"/>
    <w:rsid w:val="00A8454F"/>
    <w:rsid w:val="00A845E0"/>
    <w:rsid w:val="00A848C4"/>
    <w:rsid w:val="00A84917"/>
    <w:rsid w:val="00A849EA"/>
    <w:rsid w:val="00A84BE3"/>
    <w:rsid w:val="00A855CF"/>
    <w:rsid w:val="00A85764"/>
    <w:rsid w:val="00A85788"/>
    <w:rsid w:val="00A859C5"/>
    <w:rsid w:val="00A85D3F"/>
    <w:rsid w:val="00A860A5"/>
    <w:rsid w:val="00A86224"/>
    <w:rsid w:val="00A865CD"/>
    <w:rsid w:val="00A86D74"/>
    <w:rsid w:val="00A86E17"/>
    <w:rsid w:val="00A86E1B"/>
    <w:rsid w:val="00A8706B"/>
    <w:rsid w:val="00A870F4"/>
    <w:rsid w:val="00A872A0"/>
    <w:rsid w:val="00A872CB"/>
    <w:rsid w:val="00A87719"/>
    <w:rsid w:val="00A87749"/>
    <w:rsid w:val="00A8797E"/>
    <w:rsid w:val="00A87988"/>
    <w:rsid w:val="00A87ED1"/>
    <w:rsid w:val="00A900F4"/>
    <w:rsid w:val="00A902D8"/>
    <w:rsid w:val="00A9050A"/>
    <w:rsid w:val="00A909B6"/>
    <w:rsid w:val="00A90B1F"/>
    <w:rsid w:val="00A90BC3"/>
    <w:rsid w:val="00A90EC1"/>
    <w:rsid w:val="00A91169"/>
    <w:rsid w:val="00A91535"/>
    <w:rsid w:val="00A91629"/>
    <w:rsid w:val="00A9169D"/>
    <w:rsid w:val="00A917B6"/>
    <w:rsid w:val="00A91AB4"/>
    <w:rsid w:val="00A91B83"/>
    <w:rsid w:val="00A91DC7"/>
    <w:rsid w:val="00A91E08"/>
    <w:rsid w:val="00A91FE6"/>
    <w:rsid w:val="00A9201A"/>
    <w:rsid w:val="00A92272"/>
    <w:rsid w:val="00A9253A"/>
    <w:rsid w:val="00A925DF"/>
    <w:rsid w:val="00A9287E"/>
    <w:rsid w:val="00A92B32"/>
    <w:rsid w:val="00A92C60"/>
    <w:rsid w:val="00A92C9A"/>
    <w:rsid w:val="00A92D94"/>
    <w:rsid w:val="00A931A7"/>
    <w:rsid w:val="00A932AE"/>
    <w:rsid w:val="00A9333A"/>
    <w:rsid w:val="00A93453"/>
    <w:rsid w:val="00A93897"/>
    <w:rsid w:val="00A93BC8"/>
    <w:rsid w:val="00A93C7B"/>
    <w:rsid w:val="00A93D24"/>
    <w:rsid w:val="00A93D2A"/>
    <w:rsid w:val="00A93F61"/>
    <w:rsid w:val="00A93FD2"/>
    <w:rsid w:val="00A9428E"/>
    <w:rsid w:val="00A942B6"/>
    <w:rsid w:val="00A942EF"/>
    <w:rsid w:val="00A9431F"/>
    <w:rsid w:val="00A94582"/>
    <w:rsid w:val="00A946D9"/>
    <w:rsid w:val="00A94B20"/>
    <w:rsid w:val="00A94E71"/>
    <w:rsid w:val="00A94F06"/>
    <w:rsid w:val="00A9501E"/>
    <w:rsid w:val="00A957EE"/>
    <w:rsid w:val="00A95DC3"/>
    <w:rsid w:val="00A95DCA"/>
    <w:rsid w:val="00A95E3A"/>
    <w:rsid w:val="00A9611F"/>
    <w:rsid w:val="00A96367"/>
    <w:rsid w:val="00A964EC"/>
    <w:rsid w:val="00A96508"/>
    <w:rsid w:val="00A96531"/>
    <w:rsid w:val="00A96612"/>
    <w:rsid w:val="00A96988"/>
    <w:rsid w:val="00A96AE7"/>
    <w:rsid w:val="00A96B72"/>
    <w:rsid w:val="00A96BA8"/>
    <w:rsid w:val="00A96D5D"/>
    <w:rsid w:val="00A96FA3"/>
    <w:rsid w:val="00A9702B"/>
    <w:rsid w:val="00A9711D"/>
    <w:rsid w:val="00A971C8"/>
    <w:rsid w:val="00A9756B"/>
    <w:rsid w:val="00A97575"/>
    <w:rsid w:val="00A9795C"/>
    <w:rsid w:val="00A97BEA"/>
    <w:rsid w:val="00A97D55"/>
    <w:rsid w:val="00A97DF4"/>
    <w:rsid w:val="00A97EB4"/>
    <w:rsid w:val="00AA00A2"/>
    <w:rsid w:val="00AA00EC"/>
    <w:rsid w:val="00AA0403"/>
    <w:rsid w:val="00AA04ED"/>
    <w:rsid w:val="00AA091A"/>
    <w:rsid w:val="00AA0AC4"/>
    <w:rsid w:val="00AA0B2D"/>
    <w:rsid w:val="00AA146F"/>
    <w:rsid w:val="00AA168C"/>
    <w:rsid w:val="00AA17B4"/>
    <w:rsid w:val="00AA19E1"/>
    <w:rsid w:val="00AA1A4F"/>
    <w:rsid w:val="00AA1D21"/>
    <w:rsid w:val="00AA1F03"/>
    <w:rsid w:val="00AA20D8"/>
    <w:rsid w:val="00AA26B8"/>
    <w:rsid w:val="00AA2836"/>
    <w:rsid w:val="00AA291D"/>
    <w:rsid w:val="00AA2927"/>
    <w:rsid w:val="00AA2CCC"/>
    <w:rsid w:val="00AA2D50"/>
    <w:rsid w:val="00AA2DE7"/>
    <w:rsid w:val="00AA2E3A"/>
    <w:rsid w:val="00AA2EA5"/>
    <w:rsid w:val="00AA31A6"/>
    <w:rsid w:val="00AA31C8"/>
    <w:rsid w:val="00AA33F3"/>
    <w:rsid w:val="00AA349A"/>
    <w:rsid w:val="00AA35C9"/>
    <w:rsid w:val="00AA362D"/>
    <w:rsid w:val="00AA3D24"/>
    <w:rsid w:val="00AA3EAC"/>
    <w:rsid w:val="00AA416F"/>
    <w:rsid w:val="00AA4185"/>
    <w:rsid w:val="00AA424C"/>
    <w:rsid w:val="00AA425D"/>
    <w:rsid w:val="00AA427E"/>
    <w:rsid w:val="00AA4288"/>
    <w:rsid w:val="00AA44C0"/>
    <w:rsid w:val="00AA4595"/>
    <w:rsid w:val="00AA45C4"/>
    <w:rsid w:val="00AA45C7"/>
    <w:rsid w:val="00AA45DE"/>
    <w:rsid w:val="00AA46F5"/>
    <w:rsid w:val="00AA4907"/>
    <w:rsid w:val="00AA4976"/>
    <w:rsid w:val="00AA4B32"/>
    <w:rsid w:val="00AA4CC1"/>
    <w:rsid w:val="00AA4D4A"/>
    <w:rsid w:val="00AA4E20"/>
    <w:rsid w:val="00AA50A8"/>
    <w:rsid w:val="00AA51DC"/>
    <w:rsid w:val="00AA567A"/>
    <w:rsid w:val="00AA57C7"/>
    <w:rsid w:val="00AA5847"/>
    <w:rsid w:val="00AA5C5B"/>
    <w:rsid w:val="00AA5F67"/>
    <w:rsid w:val="00AA6653"/>
    <w:rsid w:val="00AA6B2B"/>
    <w:rsid w:val="00AA6B3D"/>
    <w:rsid w:val="00AA6C78"/>
    <w:rsid w:val="00AA7780"/>
    <w:rsid w:val="00AA7B1E"/>
    <w:rsid w:val="00AA7BB6"/>
    <w:rsid w:val="00AA7C73"/>
    <w:rsid w:val="00AA7DB9"/>
    <w:rsid w:val="00AA7E87"/>
    <w:rsid w:val="00AA7E91"/>
    <w:rsid w:val="00AA7F58"/>
    <w:rsid w:val="00AB0258"/>
    <w:rsid w:val="00AB0483"/>
    <w:rsid w:val="00AB0563"/>
    <w:rsid w:val="00AB06C8"/>
    <w:rsid w:val="00AB06F2"/>
    <w:rsid w:val="00AB0B43"/>
    <w:rsid w:val="00AB0CEE"/>
    <w:rsid w:val="00AB0D7A"/>
    <w:rsid w:val="00AB0DD0"/>
    <w:rsid w:val="00AB1040"/>
    <w:rsid w:val="00AB1259"/>
    <w:rsid w:val="00AB12C4"/>
    <w:rsid w:val="00AB1498"/>
    <w:rsid w:val="00AB15E6"/>
    <w:rsid w:val="00AB1AE0"/>
    <w:rsid w:val="00AB1B76"/>
    <w:rsid w:val="00AB1E9E"/>
    <w:rsid w:val="00AB1EBC"/>
    <w:rsid w:val="00AB200D"/>
    <w:rsid w:val="00AB2153"/>
    <w:rsid w:val="00AB22C6"/>
    <w:rsid w:val="00AB232D"/>
    <w:rsid w:val="00AB24E4"/>
    <w:rsid w:val="00AB27A6"/>
    <w:rsid w:val="00AB27ED"/>
    <w:rsid w:val="00AB2A60"/>
    <w:rsid w:val="00AB2DAF"/>
    <w:rsid w:val="00AB300C"/>
    <w:rsid w:val="00AB33A4"/>
    <w:rsid w:val="00AB37E7"/>
    <w:rsid w:val="00AB39F5"/>
    <w:rsid w:val="00AB4146"/>
    <w:rsid w:val="00AB4188"/>
    <w:rsid w:val="00AB49CB"/>
    <w:rsid w:val="00AB4F31"/>
    <w:rsid w:val="00AB50F7"/>
    <w:rsid w:val="00AB511E"/>
    <w:rsid w:val="00AB53E8"/>
    <w:rsid w:val="00AB5BE2"/>
    <w:rsid w:val="00AB635A"/>
    <w:rsid w:val="00AB6360"/>
    <w:rsid w:val="00AB6528"/>
    <w:rsid w:val="00AB68BC"/>
    <w:rsid w:val="00AB6968"/>
    <w:rsid w:val="00AB69A7"/>
    <w:rsid w:val="00AB6E68"/>
    <w:rsid w:val="00AB6EA8"/>
    <w:rsid w:val="00AB71F3"/>
    <w:rsid w:val="00AB740A"/>
    <w:rsid w:val="00AB7B27"/>
    <w:rsid w:val="00AB7C56"/>
    <w:rsid w:val="00AB7DAB"/>
    <w:rsid w:val="00AB7F76"/>
    <w:rsid w:val="00AC00FF"/>
    <w:rsid w:val="00AC028F"/>
    <w:rsid w:val="00AC0383"/>
    <w:rsid w:val="00AC04A5"/>
    <w:rsid w:val="00AC0589"/>
    <w:rsid w:val="00AC05FE"/>
    <w:rsid w:val="00AC08C1"/>
    <w:rsid w:val="00AC08DF"/>
    <w:rsid w:val="00AC099D"/>
    <w:rsid w:val="00AC0B87"/>
    <w:rsid w:val="00AC0BF9"/>
    <w:rsid w:val="00AC0E17"/>
    <w:rsid w:val="00AC1280"/>
    <w:rsid w:val="00AC147E"/>
    <w:rsid w:val="00AC14E2"/>
    <w:rsid w:val="00AC1995"/>
    <w:rsid w:val="00AC19B2"/>
    <w:rsid w:val="00AC2137"/>
    <w:rsid w:val="00AC2342"/>
    <w:rsid w:val="00AC2624"/>
    <w:rsid w:val="00AC28D4"/>
    <w:rsid w:val="00AC2A52"/>
    <w:rsid w:val="00AC2AF7"/>
    <w:rsid w:val="00AC2F30"/>
    <w:rsid w:val="00AC3164"/>
    <w:rsid w:val="00AC32A8"/>
    <w:rsid w:val="00AC344F"/>
    <w:rsid w:val="00AC37ED"/>
    <w:rsid w:val="00AC3CD1"/>
    <w:rsid w:val="00AC3FE5"/>
    <w:rsid w:val="00AC4228"/>
    <w:rsid w:val="00AC44E4"/>
    <w:rsid w:val="00AC474A"/>
    <w:rsid w:val="00AC494F"/>
    <w:rsid w:val="00AC49FD"/>
    <w:rsid w:val="00AC4BCA"/>
    <w:rsid w:val="00AC4BF5"/>
    <w:rsid w:val="00AC4D2D"/>
    <w:rsid w:val="00AC4D44"/>
    <w:rsid w:val="00AC4DE4"/>
    <w:rsid w:val="00AC4EDE"/>
    <w:rsid w:val="00AC5163"/>
    <w:rsid w:val="00AC5185"/>
    <w:rsid w:val="00AC56CC"/>
    <w:rsid w:val="00AC59B8"/>
    <w:rsid w:val="00AC5A61"/>
    <w:rsid w:val="00AC62C3"/>
    <w:rsid w:val="00AC66CF"/>
    <w:rsid w:val="00AC671A"/>
    <w:rsid w:val="00AC6775"/>
    <w:rsid w:val="00AC67C8"/>
    <w:rsid w:val="00AC6851"/>
    <w:rsid w:val="00AC6A7B"/>
    <w:rsid w:val="00AC6B7E"/>
    <w:rsid w:val="00AC6DF9"/>
    <w:rsid w:val="00AC6EA0"/>
    <w:rsid w:val="00AC721F"/>
    <w:rsid w:val="00AC7418"/>
    <w:rsid w:val="00AC783F"/>
    <w:rsid w:val="00AC798F"/>
    <w:rsid w:val="00AC7A0E"/>
    <w:rsid w:val="00AC7B19"/>
    <w:rsid w:val="00AC7C7C"/>
    <w:rsid w:val="00AC7D53"/>
    <w:rsid w:val="00AC7FD5"/>
    <w:rsid w:val="00AD0460"/>
    <w:rsid w:val="00AD051C"/>
    <w:rsid w:val="00AD05BC"/>
    <w:rsid w:val="00AD0798"/>
    <w:rsid w:val="00AD080A"/>
    <w:rsid w:val="00AD0CDD"/>
    <w:rsid w:val="00AD0F1D"/>
    <w:rsid w:val="00AD0FF7"/>
    <w:rsid w:val="00AD10DE"/>
    <w:rsid w:val="00AD1152"/>
    <w:rsid w:val="00AD12E7"/>
    <w:rsid w:val="00AD1351"/>
    <w:rsid w:val="00AD16CA"/>
    <w:rsid w:val="00AD17C0"/>
    <w:rsid w:val="00AD1AD8"/>
    <w:rsid w:val="00AD1BDE"/>
    <w:rsid w:val="00AD1DA1"/>
    <w:rsid w:val="00AD1E1F"/>
    <w:rsid w:val="00AD1F88"/>
    <w:rsid w:val="00AD20B6"/>
    <w:rsid w:val="00AD219C"/>
    <w:rsid w:val="00AD21A6"/>
    <w:rsid w:val="00AD23DF"/>
    <w:rsid w:val="00AD2541"/>
    <w:rsid w:val="00AD27A2"/>
    <w:rsid w:val="00AD2A67"/>
    <w:rsid w:val="00AD33E5"/>
    <w:rsid w:val="00AD340A"/>
    <w:rsid w:val="00AD3486"/>
    <w:rsid w:val="00AD3583"/>
    <w:rsid w:val="00AD368E"/>
    <w:rsid w:val="00AD3874"/>
    <w:rsid w:val="00AD3DFC"/>
    <w:rsid w:val="00AD3E0A"/>
    <w:rsid w:val="00AD3FB1"/>
    <w:rsid w:val="00AD40A1"/>
    <w:rsid w:val="00AD4229"/>
    <w:rsid w:val="00AD4388"/>
    <w:rsid w:val="00AD4528"/>
    <w:rsid w:val="00AD4826"/>
    <w:rsid w:val="00AD4B11"/>
    <w:rsid w:val="00AD4C23"/>
    <w:rsid w:val="00AD4C56"/>
    <w:rsid w:val="00AD4DF8"/>
    <w:rsid w:val="00AD565A"/>
    <w:rsid w:val="00AD5741"/>
    <w:rsid w:val="00AD58BA"/>
    <w:rsid w:val="00AD58E3"/>
    <w:rsid w:val="00AD5DEA"/>
    <w:rsid w:val="00AD5E7D"/>
    <w:rsid w:val="00AD5FC2"/>
    <w:rsid w:val="00AD6300"/>
    <w:rsid w:val="00AD6327"/>
    <w:rsid w:val="00AD63F7"/>
    <w:rsid w:val="00AD65C2"/>
    <w:rsid w:val="00AD65C8"/>
    <w:rsid w:val="00AD65FE"/>
    <w:rsid w:val="00AD678C"/>
    <w:rsid w:val="00AD68DE"/>
    <w:rsid w:val="00AD6937"/>
    <w:rsid w:val="00AD69B9"/>
    <w:rsid w:val="00AD6AA3"/>
    <w:rsid w:val="00AD6E33"/>
    <w:rsid w:val="00AD6E7B"/>
    <w:rsid w:val="00AD71CA"/>
    <w:rsid w:val="00AD7266"/>
    <w:rsid w:val="00AD753D"/>
    <w:rsid w:val="00AD7599"/>
    <w:rsid w:val="00AD75DC"/>
    <w:rsid w:val="00AD777B"/>
    <w:rsid w:val="00AD7AFC"/>
    <w:rsid w:val="00AD7BFF"/>
    <w:rsid w:val="00AD7C55"/>
    <w:rsid w:val="00AD7D4D"/>
    <w:rsid w:val="00AD7D73"/>
    <w:rsid w:val="00AD7E4E"/>
    <w:rsid w:val="00AD7F3D"/>
    <w:rsid w:val="00AD7FAD"/>
    <w:rsid w:val="00AE07E0"/>
    <w:rsid w:val="00AE084D"/>
    <w:rsid w:val="00AE08A9"/>
    <w:rsid w:val="00AE0A9A"/>
    <w:rsid w:val="00AE0AD1"/>
    <w:rsid w:val="00AE0BA2"/>
    <w:rsid w:val="00AE0E29"/>
    <w:rsid w:val="00AE0E97"/>
    <w:rsid w:val="00AE1407"/>
    <w:rsid w:val="00AE1572"/>
    <w:rsid w:val="00AE16CF"/>
    <w:rsid w:val="00AE1D7A"/>
    <w:rsid w:val="00AE1DB9"/>
    <w:rsid w:val="00AE1E80"/>
    <w:rsid w:val="00AE2122"/>
    <w:rsid w:val="00AE2300"/>
    <w:rsid w:val="00AE2438"/>
    <w:rsid w:val="00AE271D"/>
    <w:rsid w:val="00AE2785"/>
    <w:rsid w:val="00AE2919"/>
    <w:rsid w:val="00AE2A29"/>
    <w:rsid w:val="00AE2C07"/>
    <w:rsid w:val="00AE2D29"/>
    <w:rsid w:val="00AE2E2B"/>
    <w:rsid w:val="00AE2F6B"/>
    <w:rsid w:val="00AE3289"/>
    <w:rsid w:val="00AE34B3"/>
    <w:rsid w:val="00AE34F7"/>
    <w:rsid w:val="00AE3770"/>
    <w:rsid w:val="00AE3C2F"/>
    <w:rsid w:val="00AE3ECE"/>
    <w:rsid w:val="00AE3F6F"/>
    <w:rsid w:val="00AE4423"/>
    <w:rsid w:val="00AE456F"/>
    <w:rsid w:val="00AE46C3"/>
    <w:rsid w:val="00AE4784"/>
    <w:rsid w:val="00AE48C9"/>
    <w:rsid w:val="00AE4917"/>
    <w:rsid w:val="00AE497B"/>
    <w:rsid w:val="00AE4A13"/>
    <w:rsid w:val="00AE4AF5"/>
    <w:rsid w:val="00AE4D6A"/>
    <w:rsid w:val="00AE4E47"/>
    <w:rsid w:val="00AE4F96"/>
    <w:rsid w:val="00AE523C"/>
    <w:rsid w:val="00AE54B0"/>
    <w:rsid w:val="00AE56CD"/>
    <w:rsid w:val="00AE5711"/>
    <w:rsid w:val="00AE5836"/>
    <w:rsid w:val="00AE5898"/>
    <w:rsid w:val="00AE5999"/>
    <w:rsid w:val="00AE5F19"/>
    <w:rsid w:val="00AE5F76"/>
    <w:rsid w:val="00AE6205"/>
    <w:rsid w:val="00AE62C3"/>
    <w:rsid w:val="00AE64EE"/>
    <w:rsid w:val="00AE677A"/>
    <w:rsid w:val="00AE6C86"/>
    <w:rsid w:val="00AE6D7E"/>
    <w:rsid w:val="00AE6E2B"/>
    <w:rsid w:val="00AE6ED2"/>
    <w:rsid w:val="00AE70CD"/>
    <w:rsid w:val="00AE7115"/>
    <w:rsid w:val="00AE721E"/>
    <w:rsid w:val="00AE72C2"/>
    <w:rsid w:val="00AE731D"/>
    <w:rsid w:val="00AE753D"/>
    <w:rsid w:val="00AE75BB"/>
    <w:rsid w:val="00AE7699"/>
    <w:rsid w:val="00AE7874"/>
    <w:rsid w:val="00AE7B88"/>
    <w:rsid w:val="00AE7C4C"/>
    <w:rsid w:val="00AF013D"/>
    <w:rsid w:val="00AF064D"/>
    <w:rsid w:val="00AF067D"/>
    <w:rsid w:val="00AF09F9"/>
    <w:rsid w:val="00AF0DFD"/>
    <w:rsid w:val="00AF0E4A"/>
    <w:rsid w:val="00AF0F38"/>
    <w:rsid w:val="00AF1243"/>
    <w:rsid w:val="00AF125F"/>
    <w:rsid w:val="00AF13FC"/>
    <w:rsid w:val="00AF14DC"/>
    <w:rsid w:val="00AF16A9"/>
    <w:rsid w:val="00AF1737"/>
    <w:rsid w:val="00AF184E"/>
    <w:rsid w:val="00AF1AF9"/>
    <w:rsid w:val="00AF1B77"/>
    <w:rsid w:val="00AF1B85"/>
    <w:rsid w:val="00AF1C02"/>
    <w:rsid w:val="00AF1CA4"/>
    <w:rsid w:val="00AF1E4F"/>
    <w:rsid w:val="00AF1EFF"/>
    <w:rsid w:val="00AF1FE3"/>
    <w:rsid w:val="00AF2065"/>
    <w:rsid w:val="00AF2093"/>
    <w:rsid w:val="00AF235B"/>
    <w:rsid w:val="00AF28D8"/>
    <w:rsid w:val="00AF293A"/>
    <w:rsid w:val="00AF2B13"/>
    <w:rsid w:val="00AF2EC0"/>
    <w:rsid w:val="00AF320A"/>
    <w:rsid w:val="00AF32B6"/>
    <w:rsid w:val="00AF3355"/>
    <w:rsid w:val="00AF354F"/>
    <w:rsid w:val="00AF360B"/>
    <w:rsid w:val="00AF4142"/>
    <w:rsid w:val="00AF4339"/>
    <w:rsid w:val="00AF434D"/>
    <w:rsid w:val="00AF448A"/>
    <w:rsid w:val="00AF4515"/>
    <w:rsid w:val="00AF4539"/>
    <w:rsid w:val="00AF49C3"/>
    <w:rsid w:val="00AF4A93"/>
    <w:rsid w:val="00AF4C5F"/>
    <w:rsid w:val="00AF4D58"/>
    <w:rsid w:val="00AF4DC1"/>
    <w:rsid w:val="00AF4FE0"/>
    <w:rsid w:val="00AF53A7"/>
    <w:rsid w:val="00AF5BEA"/>
    <w:rsid w:val="00AF5EF1"/>
    <w:rsid w:val="00AF5F9B"/>
    <w:rsid w:val="00AF619A"/>
    <w:rsid w:val="00AF619C"/>
    <w:rsid w:val="00AF61C9"/>
    <w:rsid w:val="00AF627A"/>
    <w:rsid w:val="00AF64CD"/>
    <w:rsid w:val="00AF65CD"/>
    <w:rsid w:val="00AF6666"/>
    <w:rsid w:val="00AF67C4"/>
    <w:rsid w:val="00AF681F"/>
    <w:rsid w:val="00AF6827"/>
    <w:rsid w:val="00AF6901"/>
    <w:rsid w:val="00AF692D"/>
    <w:rsid w:val="00AF6B18"/>
    <w:rsid w:val="00AF6B39"/>
    <w:rsid w:val="00AF6E1F"/>
    <w:rsid w:val="00AF6FE2"/>
    <w:rsid w:val="00AF70AE"/>
    <w:rsid w:val="00AF70BE"/>
    <w:rsid w:val="00AF727F"/>
    <w:rsid w:val="00AF747B"/>
    <w:rsid w:val="00AF75E0"/>
    <w:rsid w:val="00AF7701"/>
    <w:rsid w:val="00AF7730"/>
    <w:rsid w:val="00AF785B"/>
    <w:rsid w:val="00AF78DF"/>
    <w:rsid w:val="00AF7B96"/>
    <w:rsid w:val="00AF7BC5"/>
    <w:rsid w:val="00AF7D8B"/>
    <w:rsid w:val="00AF7FBF"/>
    <w:rsid w:val="00B00262"/>
    <w:rsid w:val="00B0029A"/>
    <w:rsid w:val="00B002CA"/>
    <w:rsid w:val="00B003B3"/>
    <w:rsid w:val="00B008C2"/>
    <w:rsid w:val="00B00AAF"/>
    <w:rsid w:val="00B00C1F"/>
    <w:rsid w:val="00B00C88"/>
    <w:rsid w:val="00B00E0C"/>
    <w:rsid w:val="00B01196"/>
    <w:rsid w:val="00B014A3"/>
    <w:rsid w:val="00B014F5"/>
    <w:rsid w:val="00B01621"/>
    <w:rsid w:val="00B01776"/>
    <w:rsid w:val="00B018AD"/>
    <w:rsid w:val="00B01BB2"/>
    <w:rsid w:val="00B01CDD"/>
    <w:rsid w:val="00B0226F"/>
    <w:rsid w:val="00B0229F"/>
    <w:rsid w:val="00B02C08"/>
    <w:rsid w:val="00B02C3D"/>
    <w:rsid w:val="00B02D60"/>
    <w:rsid w:val="00B02F6E"/>
    <w:rsid w:val="00B02F7D"/>
    <w:rsid w:val="00B034AC"/>
    <w:rsid w:val="00B0352B"/>
    <w:rsid w:val="00B03677"/>
    <w:rsid w:val="00B039E2"/>
    <w:rsid w:val="00B03B9E"/>
    <w:rsid w:val="00B03CA4"/>
    <w:rsid w:val="00B03D42"/>
    <w:rsid w:val="00B03DA2"/>
    <w:rsid w:val="00B03F92"/>
    <w:rsid w:val="00B0405C"/>
    <w:rsid w:val="00B04063"/>
    <w:rsid w:val="00B04283"/>
    <w:rsid w:val="00B043A4"/>
    <w:rsid w:val="00B04416"/>
    <w:rsid w:val="00B04507"/>
    <w:rsid w:val="00B04680"/>
    <w:rsid w:val="00B04A66"/>
    <w:rsid w:val="00B04A6A"/>
    <w:rsid w:val="00B04CC9"/>
    <w:rsid w:val="00B052CF"/>
    <w:rsid w:val="00B05945"/>
    <w:rsid w:val="00B059D5"/>
    <w:rsid w:val="00B059D6"/>
    <w:rsid w:val="00B05C34"/>
    <w:rsid w:val="00B05C62"/>
    <w:rsid w:val="00B05EEA"/>
    <w:rsid w:val="00B061EB"/>
    <w:rsid w:val="00B0640F"/>
    <w:rsid w:val="00B064BF"/>
    <w:rsid w:val="00B069AC"/>
    <w:rsid w:val="00B071EF"/>
    <w:rsid w:val="00B072DE"/>
    <w:rsid w:val="00B07320"/>
    <w:rsid w:val="00B07AB0"/>
    <w:rsid w:val="00B07B11"/>
    <w:rsid w:val="00B07D39"/>
    <w:rsid w:val="00B07D58"/>
    <w:rsid w:val="00B07E4D"/>
    <w:rsid w:val="00B10154"/>
    <w:rsid w:val="00B10329"/>
    <w:rsid w:val="00B1048B"/>
    <w:rsid w:val="00B105D0"/>
    <w:rsid w:val="00B106C9"/>
    <w:rsid w:val="00B10755"/>
    <w:rsid w:val="00B10831"/>
    <w:rsid w:val="00B1092A"/>
    <w:rsid w:val="00B1092B"/>
    <w:rsid w:val="00B10984"/>
    <w:rsid w:val="00B109A7"/>
    <w:rsid w:val="00B10F85"/>
    <w:rsid w:val="00B11524"/>
    <w:rsid w:val="00B1154C"/>
    <w:rsid w:val="00B116E3"/>
    <w:rsid w:val="00B119C1"/>
    <w:rsid w:val="00B11A57"/>
    <w:rsid w:val="00B11AD8"/>
    <w:rsid w:val="00B11E7B"/>
    <w:rsid w:val="00B11EBD"/>
    <w:rsid w:val="00B11FED"/>
    <w:rsid w:val="00B12133"/>
    <w:rsid w:val="00B123BE"/>
    <w:rsid w:val="00B12508"/>
    <w:rsid w:val="00B12514"/>
    <w:rsid w:val="00B1279D"/>
    <w:rsid w:val="00B12B38"/>
    <w:rsid w:val="00B12B96"/>
    <w:rsid w:val="00B12BCC"/>
    <w:rsid w:val="00B12EDE"/>
    <w:rsid w:val="00B12F36"/>
    <w:rsid w:val="00B13078"/>
    <w:rsid w:val="00B130D2"/>
    <w:rsid w:val="00B130E2"/>
    <w:rsid w:val="00B13192"/>
    <w:rsid w:val="00B1322F"/>
    <w:rsid w:val="00B132E5"/>
    <w:rsid w:val="00B133EE"/>
    <w:rsid w:val="00B133F6"/>
    <w:rsid w:val="00B13505"/>
    <w:rsid w:val="00B13787"/>
    <w:rsid w:val="00B13A08"/>
    <w:rsid w:val="00B13B8C"/>
    <w:rsid w:val="00B13B92"/>
    <w:rsid w:val="00B13D74"/>
    <w:rsid w:val="00B14031"/>
    <w:rsid w:val="00B14075"/>
    <w:rsid w:val="00B14133"/>
    <w:rsid w:val="00B141C3"/>
    <w:rsid w:val="00B142E4"/>
    <w:rsid w:val="00B144E3"/>
    <w:rsid w:val="00B145D0"/>
    <w:rsid w:val="00B147F0"/>
    <w:rsid w:val="00B14856"/>
    <w:rsid w:val="00B14C42"/>
    <w:rsid w:val="00B14C67"/>
    <w:rsid w:val="00B151EC"/>
    <w:rsid w:val="00B15239"/>
    <w:rsid w:val="00B15592"/>
    <w:rsid w:val="00B15B76"/>
    <w:rsid w:val="00B15C3A"/>
    <w:rsid w:val="00B15F4E"/>
    <w:rsid w:val="00B161E6"/>
    <w:rsid w:val="00B1631C"/>
    <w:rsid w:val="00B16441"/>
    <w:rsid w:val="00B1675C"/>
    <w:rsid w:val="00B16964"/>
    <w:rsid w:val="00B16B7F"/>
    <w:rsid w:val="00B16CEC"/>
    <w:rsid w:val="00B16D2B"/>
    <w:rsid w:val="00B16D66"/>
    <w:rsid w:val="00B16E3F"/>
    <w:rsid w:val="00B16E74"/>
    <w:rsid w:val="00B1704B"/>
    <w:rsid w:val="00B17623"/>
    <w:rsid w:val="00B17757"/>
    <w:rsid w:val="00B17775"/>
    <w:rsid w:val="00B178A3"/>
    <w:rsid w:val="00B17AA1"/>
    <w:rsid w:val="00B17EB7"/>
    <w:rsid w:val="00B20095"/>
    <w:rsid w:val="00B20164"/>
    <w:rsid w:val="00B201DC"/>
    <w:rsid w:val="00B20530"/>
    <w:rsid w:val="00B20CB3"/>
    <w:rsid w:val="00B2124E"/>
    <w:rsid w:val="00B21418"/>
    <w:rsid w:val="00B21453"/>
    <w:rsid w:val="00B214BD"/>
    <w:rsid w:val="00B219B2"/>
    <w:rsid w:val="00B21A08"/>
    <w:rsid w:val="00B21A11"/>
    <w:rsid w:val="00B21DB9"/>
    <w:rsid w:val="00B21F28"/>
    <w:rsid w:val="00B22012"/>
    <w:rsid w:val="00B22063"/>
    <w:rsid w:val="00B22150"/>
    <w:rsid w:val="00B2217D"/>
    <w:rsid w:val="00B2226A"/>
    <w:rsid w:val="00B227F5"/>
    <w:rsid w:val="00B22A57"/>
    <w:rsid w:val="00B22BE9"/>
    <w:rsid w:val="00B22F51"/>
    <w:rsid w:val="00B22F7F"/>
    <w:rsid w:val="00B23051"/>
    <w:rsid w:val="00B230CF"/>
    <w:rsid w:val="00B232F8"/>
    <w:rsid w:val="00B23424"/>
    <w:rsid w:val="00B23748"/>
    <w:rsid w:val="00B237AA"/>
    <w:rsid w:val="00B237D3"/>
    <w:rsid w:val="00B238C8"/>
    <w:rsid w:val="00B2399D"/>
    <w:rsid w:val="00B239F7"/>
    <w:rsid w:val="00B23AE9"/>
    <w:rsid w:val="00B23B14"/>
    <w:rsid w:val="00B23D54"/>
    <w:rsid w:val="00B23DD1"/>
    <w:rsid w:val="00B24033"/>
    <w:rsid w:val="00B2407B"/>
    <w:rsid w:val="00B241A5"/>
    <w:rsid w:val="00B241CE"/>
    <w:rsid w:val="00B246EC"/>
    <w:rsid w:val="00B24955"/>
    <w:rsid w:val="00B24A08"/>
    <w:rsid w:val="00B24A99"/>
    <w:rsid w:val="00B24AC3"/>
    <w:rsid w:val="00B24E22"/>
    <w:rsid w:val="00B2504F"/>
    <w:rsid w:val="00B250C9"/>
    <w:rsid w:val="00B25114"/>
    <w:rsid w:val="00B25188"/>
    <w:rsid w:val="00B25256"/>
    <w:rsid w:val="00B25713"/>
    <w:rsid w:val="00B25756"/>
    <w:rsid w:val="00B25772"/>
    <w:rsid w:val="00B25938"/>
    <w:rsid w:val="00B25A45"/>
    <w:rsid w:val="00B25A4B"/>
    <w:rsid w:val="00B25AF1"/>
    <w:rsid w:val="00B25C0E"/>
    <w:rsid w:val="00B25F40"/>
    <w:rsid w:val="00B2619A"/>
    <w:rsid w:val="00B261AE"/>
    <w:rsid w:val="00B26224"/>
    <w:rsid w:val="00B262DD"/>
    <w:rsid w:val="00B263E5"/>
    <w:rsid w:val="00B2646C"/>
    <w:rsid w:val="00B265FE"/>
    <w:rsid w:val="00B26651"/>
    <w:rsid w:val="00B2665A"/>
    <w:rsid w:val="00B26BC1"/>
    <w:rsid w:val="00B26F23"/>
    <w:rsid w:val="00B273A7"/>
    <w:rsid w:val="00B27587"/>
    <w:rsid w:val="00B27825"/>
    <w:rsid w:val="00B27874"/>
    <w:rsid w:val="00B27C9E"/>
    <w:rsid w:val="00B27F53"/>
    <w:rsid w:val="00B300C7"/>
    <w:rsid w:val="00B3012D"/>
    <w:rsid w:val="00B301A4"/>
    <w:rsid w:val="00B3021D"/>
    <w:rsid w:val="00B306B8"/>
    <w:rsid w:val="00B307AB"/>
    <w:rsid w:val="00B30A9C"/>
    <w:rsid w:val="00B30D0A"/>
    <w:rsid w:val="00B30DE8"/>
    <w:rsid w:val="00B30ECE"/>
    <w:rsid w:val="00B31308"/>
    <w:rsid w:val="00B31421"/>
    <w:rsid w:val="00B316F6"/>
    <w:rsid w:val="00B31A8E"/>
    <w:rsid w:val="00B31AAD"/>
    <w:rsid w:val="00B31CE0"/>
    <w:rsid w:val="00B31FB0"/>
    <w:rsid w:val="00B323E1"/>
    <w:rsid w:val="00B323FF"/>
    <w:rsid w:val="00B328D7"/>
    <w:rsid w:val="00B32B63"/>
    <w:rsid w:val="00B32C0B"/>
    <w:rsid w:val="00B32C60"/>
    <w:rsid w:val="00B32DA1"/>
    <w:rsid w:val="00B332DD"/>
    <w:rsid w:val="00B3335B"/>
    <w:rsid w:val="00B334AB"/>
    <w:rsid w:val="00B33ADC"/>
    <w:rsid w:val="00B33B9B"/>
    <w:rsid w:val="00B33CFC"/>
    <w:rsid w:val="00B33DD0"/>
    <w:rsid w:val="00B33FCB"/>
    <w:rsid w:val="00B34103"/>
    <w:rsid w:val="00B342A2"/>
    <w:rsid w:val="00B34859"/>
    <w:rsid w:val="00B3492D"/>
    <w:rsid w:val="00B34ADF"/>
    <w:rsid w:val="00B34D6A"/>
    <w:rsid w:val="00B34F86"/>
    <w:rsid w:val="00B35007"/>
    <w:rsid w:val="00B353D6"/>
    <w:rsid w:val="00B355FA"/>
    <w:rsid w:val="00B3587C"/>
    <w:rsid w:val="00B35C05"/>
    <w:rsid w:val="00B36239"/>
    <w:rsid w:val="00B364AD"/>
    <w:rsid w:val="00B3671F"/>
    <w:rsid w:val="00B3679F"/>
    <w:rsid w:val="00B369D2"/>
    <w:rsid w:val="00B36A95"/>
    <w:rsid w:val="00B36BEE"/>
    <w:rsid w:val="00B36D3A"/>
    <w:rsid w:val="00B36E6D"/>
    <w:rsid w:val="00B36F58"/>
    <w:rsid w:val="00B37105"/>
    <w:rsid w:val="00B37178"/>
    <w:rsid w:val="00B3752B"/>
    <w:rsid w:val="00B377BC"/>
    <w:rsid w:val="00B37972"/>
    <w:rsid w:val="00B37AEA"/>
    <w:rsid w:val="00B37B14"/>
    <w:rsid w:val="00B37D87"/>
    <w:rsid w:val="00B37E82"/>
    <w:rsid w:val="00B37F74"/>
    <w:rsid w:val="00B37FF8"/>
    <w:rsid w:val="00B40127"/>
    <w:rsid w:val="00B402BB"/>
    <w:rsid w:val="00B406D8"/>
    <w:rsid w:val="00B4084D"/>
    <w:rsid w:val="00B4097A"/>
    <w:rsid w:val="00B40B79"/>
    <w:rsid w:val="00B40FF9"/>
    <w:rsid w:val="00B41120"/>
    <w:rsid w:val="00B41165"/>
    <w:rsid w:val="00B4119B"/>
    <w:rsid w:val="00B41438"/>
    <w:rsid w:val="00B41513"/>
    <w:rsid w:val="00B4166E"/>
    <w:rsid w:val="00B416B8"/>
    <w:rsid w:val="00B416DA"/>
    <w:rsid w:val="00B41871"/>
    <w:rsid w:val="00B419BE"/>
    <w:rsid w:val="00B41A07"/>
    <w:rsid w:val="00B41DEC"/>
    <w:rsid w:val="00B41E06"/>
    <w:rsid w:val="00B41F4E"/>
    <w:rsid w:val="00B4200E"/>
    <w:rsid w:val="00B42193"/>
    <w:rsid w:val="00B421AA"/>
    <w:rsid w:val="00B425EB"/>
    <w:rsid w:val="00B42611"/>
    <w:rsid w:val="00B42936"/>
    <w:rsid w:val="00B42ABE"/>
    <w:rsid w:val="00B42ADD"/>
    <w:rsid w:val="00B42D8B"/>
    <w:rsid w:val="00B42F12"/>
    <w:rsid w:val="00B43061"/>
    <w:rsid w:val="00B430A5"/>
    <w:rsid w:val="00B430FC"/>
    <w:rsid w:val="00B43128"/>
    <w:rsid w:val="00B435C5"/>
    <w:rsid w:val="00B4409A"/>
    <w:rsid w:val="00B440BD"/>
    <w:rsid w:val="00B4410A"/>
    <w:rsid w:val="00B4443D"/>
    <w:rsid w:val="00B44AE0"/>
    <w:rsid w:val="00B450B0"/>
    <w:rsid w:val="00B4511F"/>
    <w:rsid w:val="00B4523A"/>
    <w:rsid w:val="00B4545D"/>
    <w:rsid w:val="00B45573"/>
    <w:rsid w:val="00B45587"/>
    <w:rsid w:val="00B45644"/>
    <w:rsid w:val="00B458AC"/>
    <w:rsid w:val="00B45B1F"/>
    <w:rsid w:val="00B45F12"/>
    <w:rsid w:val="00B46043"/>
    <w:rsid w:val="00B4612F"/>
    <w:rsid w:val="00B4662D"/>
    <w:rsid w:val="00B4687C"/>
    <w:rsid w:val="00B469B9"/>
    <w:rsid w:val="00B469BD"/>
    <w:rsid w:val="00B469F7"/>
    <w:rsid w:val="00B46ABC"/>
    <w:rsid w:val="00B46E19"/>
    <w:rsid w:val="00B46FCA"/>
    <w:rsid w:val="00B47042"/>
    <w:rsid w:val="00B471DC"/>
    <w:rsid w:val="00B475C8"/>
    <w:rsid w:val="00B47BDC"/>
    <w:rsid w:val="00B50099"/>
    <w:rsid w:val="00B501AE"/>
    <w:rsid w:val="00B50980"/>
    <w:rsid w:val="00B50A97"/>
    <w:rsid w:val="00B50B87"/>
    <w:rsid w:val="00B50CA1"/>
    <w:rsid w:val="00B510BA"/>
    <w:rsid w:val="00B510D8"/>
    <w:rsid w:val="00B5140B"/>
    <w:rsid w:val="00B51599"/>
    <w:rsid w:val="00B515DB"/>
    <w:rsid w:val="00B51715"/>
    <w:rsid w:val="00B517DE"/>
    <w:rsid w:val="00B5183B"/>
    <w:rsid w:val="00B51992"/>
    <w:rsid w:val="00B51A95"/>
    <w:rsid w:val="00B51AF8"/>
    <w:rsid w:val="00B51BDF"/>
    <w:rsid w:val="00B51D09"/>
    <w:rsid w:val="00B52172"/>
    <w:rsid w:val="00B522FB"/>
    <w:rsid w:val="00B52327"/>
    <w:rsid w:val="00B52747"/>
    <w:rsid w:val="00B5281E"/>
    <w:rsid w:val="00B52A28"/>
    <w:rsid w:val="00B52E28"/>
    <w:rsid w:val="00B53393"/>
    <w:rsid w:val="00B5343B"/>
    <w:rsid w:val="00B53529"/>
    <w:rsid w:val="00B53556"/>
    <w:rsid w:val="00B535CE"/>
    <w:rsid w:val="00B53C42"/>
    <w:rsid w:val="00B54061"/>
    <w:rsid w:val="00B5432B"/>
    <w:rsid w:val="00B5444D"/>
    <w:rsid w:val="00B54A98"/>
    <w:rsid w:val="00B54AA8"/>
    <w:rsid w:val="00B54B62"/>
    <w:rsid w:val="00B54BB3"/>
    <w:rsid w:val="00B54E75"/>
    <w:rsid w:val="00B54F36"/>
    <w:rsid w:val="00B550ED"/>
    <w:rsid w:val="00B551F3"/>
    <w:rsid w:val="00B553BA"/>
    <w:rsid w:val="00B55574"/>
    <w:rsid w:val="00B556E1"/>
    <w:rsid w:val="00B55774"/>
    <w:rsid w:val="00B55854"/>
    <w:rsid w:val="00B5596E"/>
    <w:rsid w:val="00B55A04"/>
    <w:rsid w:val="00B55F1F"/>
    <w:rsid w:val="00B56030"/>
    <w:rsid w:val="00B5647C"/>
    <w:rsid w:val="00B564D4"/>
    <w:rsid w:val="00B56513"/>
    <w:rsid w:val="00B56586"/>
    <w:rsid w:val="00B566A9"/>
    <w:rsid w:val="00B566B5"/>
    <w:rsid w:val="00B567B9"/>
    <w:rsid w:val="00B5681E"/>
    <w:rsid w:val="00B56A8D"/>
    <w:rsid w:val="00B56B37"/>
    <w:rsid w:val="00B56E12"/>
    <w:rsid w:val="00B56F96"/>
    <w:rsid w:val="00B5749B"/>
    <w:rsid w:val="00B57548"/>
    <w:rsid w:val="00B5773F"/>
    <w:rsid w:val="00B57B22"/>
    <w:rsid w:val="00B57B63"/>
    <w:rsid w:val="00B57D0C"/>
    <w:rsid w:val="00B57D71"/>
    <w:rsid w:val="00B60117"/>
    <w:rsid w:val="00B601F6"/>
    <w:rsid w:val="00B603F9"/>
    <w:rsid w:val="00B60449"/>
    <w:rsid w:val="00B60554"/>
    <w:rsid w:val="00B60663"/>
    <w:rsid w:val="00B60676"/>
    <w:rsid w:val="00B60762"/>
    <w:rsid w:val="00B60803"/>
    <w:rsid w:val="00B6087C"/>
    <w:rsid w:val="00B60ABF"/>
    <w:rsid w:val="00B60CDE"/>
    <w:rsid w:val="00B60EE5"/>
    <w:rsid w:val="00B61048"/>
    <w:rsid w:val="00B610C1"/>
    <w:rsid w:val="00B612EF"/>
    <w:rsid w:val="00B61400"/>
    <w:rsid w:val="00B61D4E"/>
    <w:rsid w:val="00B61E6C"/>
    <w:rsid w:val="00B6202C"/>
    <w:rsid w:val="00B62249"/>
    <w:rsid w:val="00B62B85"/>
    <w:rsid w:val="00B62C8B"/>
    <w:rsid w:val="00B630C3"/>
    <w:rsid w:val="00B63328"/>
    <w:rsid w:val="00B634AB"/>
    <w:rsid w:val="00B6353A"/>
    <w:rsid w:val="00B6355C"/>
    <w:rsid w:val="00B635DC"/>
    <w:rsid w:val="00B63A01"/>
    <w:rsid w:val="00B63BE6"/>
    <w:rsid w:val="00B63DE7"/>
    <w:rsid w:val="00B645BD"/>
    <w:rsid w:val="00B646E4"/>
    <w:rsid w:val="00B6490F"/>
    <w:rsid w:val="00B64A8A"/>
    <w:rsid w:val="00B64B74"/>
    <w:rsid w:val="00B64CA8"/>
    <w:rsid w:val="00B64E73"/>
    <w:rsid w:val="00B64E7F"/>
    <w:rsid w:val="00B65016"/>
    <w:rsid w:val="00B651A4"/>
    <w:rsid w:val="00B65282"/>
    <w:rsid w:val="00B653DE"/>
    <w:rsid w:val="00B65460"/>
    <w:rsid w:val="00B655AF"/>
    <w:rsid w:val="00B6562D"/>
    <w:rsid w:val="00B6569E"/>
    <w:rsid w:val="00B657CB"/>
    <w:rsid w:val="00B657E7"/>
    <w:rsid w:val="00B65812"/>
    <w:rsid w:val="00B658D2"/>
    <w:rsid w:val="00B65A9F"/>
    <w:rsid w:val="00B65F97"/>
    <w:rsid w:val="00B6666C"/>
    <w:rsid w:val="00B66826"/>
    <w:rsid w:val="00B66939"/>
    <w:rsid w:val="00B669BD"/>
    <w:rsid w:val="00B66A04"/>
    <w:rsid w:val="00B66A1F"/>
    <w:rsid w:val="00B66A9E"/>
    <w:rsid w:val="00B66AC9"/>
    <w:rsid w:val="00B66D26"/>
    <w:rsid w:val="00B671A2"/>
    <w:rsid w:val="00B673BB"/>
    <w:rsid w:val="00B67519"/>
    <w:rsid w:val="00B6751C"/>
    <w:rsid w:val="00B67976"/>
    <w:rsid w:val="00B67B54"/>
    <w:rsid w:val="00B67F4C"/>
    <w:rsid w:val="00B7023D"/>
    <w:rsid w:val="00B70350"/>
    <w:rsid w:val="00B7061A"/>
    <w:rsid w:val="00B70964"/>
    <w:rsid w:val="00B70ABE"/>
    <w:rsid w:val="00B70B65"/>
    <w:rsid w:val="00B70D95"/>
    <w:rsid w:val="00B71064"/>
    <w:rsid w:val="00B7134F"/>
    <w:rsid w:val="00B71376"/>
    <w:rsid w:val="00B7146C"/>
    <w:rsid w:val="00B718B4"/>
    <w:rsid w:val="00B718ED"/>
    <w:rsid w:val="00B71914"/>
    <w:rsid w:val="00B71995"/>
    <w:rsid w:val="00B71E41"/>
    <w:rsid w:val="00B723C8"/>
    <w:rsid w:val="00B729B7"/>
    <w:rsid w:val="00B729BA"/>
    <w:rsid w:val="00B72A02"/>
    <w:rsid w:val="00B72A32"/>
    <w:rsid w:val="00B72AA0"/>
    <w:rsid w:val="00B72FCB"/>
    <w:rsid w:val="00B730CF"/>
    <w:rsid w:val="00B732FC"/>
    <w:rsid w:val="00B7349D"/>
    <w:rsid w:val="00B73B9C"/>
    <w:rsid w:val="00B73C14"/>
    <w:rsid w:val="00B73EFD"/>
    <w:rsid w:val="00B74365"/>
    <w:rsid w:val="00B74394"/>
    <w:rsid w:val="00B7450D"/>
    <w:rsid w:val="00B74579"/>
    <w:rsid w:val="00B745CB"/>
    <w:rsid w:val="00B74715"/>
    <w:rsid w:val="00B74839"/>
    <w:rsid w:val="00B748F9"/>
    <w:rsid w:val="00B74B95"/>
    <w:rsid w:val="00B74C2F"/>
    <w:rsid w:val="00B74D6C"/>
    <w:rsid w:val="00B74EB7"/>
    <w:rsid w:val="00B74F64"/>
    <w:rsid w:val="00B751D5"/>
    <w:rsid w:val="00B75238"/>
    <w:rsid w:val="00B753BE"/>
    <w:rsid w:val="00B75990"/>
    <w:rsid w:val="00B759F7"/>
    <w:rsid w:val="00B75C98"/>
    <w:rsid w:val="00B75D29"/>
    <w:rsid w:val="00B75E81"/>
    <w:rsid w:val="00B75ED0"/>
    <w:rsid w:val="00B75EE6"/>
    <w:rsid w:val="00B762B1"/>
    <w:rsid w:val="00B762D3"/>
    <w:rsid w:val="00B7668C"/>
    <w:rsid w:val="00B76789"/>
    <w:rsid w:val="00B76B18"/>
    <w:rsid w:val="00B76D6C"/>
    <w:rsid w:val="00B76DD6"/>
    <w:rsid w:val="00B76E62"/>
    <w:rsid w:val="00B77157"/>
    <w:rsid w:val="00B77745"/>
    <w:rsid w:val="00B77A53"/>
    <w:rsid w:val="00B77BE2"/>
    <w:rsid w:val="00B77E4B"/>
    <w:rsid w:val="00B77F89"/>
    <w:rsid w:val="00B77F93"/>
    <w:rsid w:val="00B80049"/>
    <w:rsid w:val="00B80126"/>
    <w:rsid w:val="00B8014F"/>
    <w:rsid w:val="00B8067F"/>
    <w:rsid w:val="00B80735"/>
    <w:rsid w:val="00B80B33"/>
    <w:rsid w:val="00B80B44"/>
    <w:rsid w:val="00B80B4F"/>
    <w:rsid w:val="00B80D80"/>
    <w:rsid w:val="00B80DAF"/>
    <w:rsid w:val="00B81058"/>
    <w:rsid w:val="00B811C7"/>
    <w:rsid w:val="00B81246"/>
    <w:rsid w:val="00B8164E"/>
    <w:rsid w:val="00B816E1"/>
    <w:rsid w:val="00B8171D"/>
    <w:rsid w:val="00B8190D"/>
    <w:rsid w:val="00B8191A"/>
    <w:rsid w:val="00B819F2"/>
    <w:rsid w:val="00B81B44"/>
    <w:rsid w:val="00B81C69"/>
    <w:rsid w:val="00B82034"/>
    <w:rsid w:val="00B8233D"/>
    <w:rsid w:val="00B825F8"/>
    <w:rsid w:val="00B8260B"/>
    <w:rsid w:val="00B828AC"/>
    <w:rsid w:val="00B82AA9"/>
    <w:rsid w:val="00B82AC3"/>
    <w:rsid w:val="00B82E5A"/>
    <w:rsid w:val="00B8304A"/>
    <w:rsid w:val="00B83303"/>
    <w:rsid w:val="00B834DC"/>
    <w:rsid w:val="00B83781"/>
    <w:rsid w:val="00B838CD"/>
    <w:rsid w:val="00B839B5"/>
    <w:rsid w:val="00B839E4"/>
    <w:rsid w:val="00B83A23"/>
    <w:rsid w:val="00B83BC5"/>
    <w:rsid w:val="00B83C51"/>
    <w:rsid w:val="00B83D8C"/>
    <w:rsid w:val="00B83D91"/>
    <w:rsid w:val="00B83DEB"/>
    <w:rsid w:val="00B83FC3"/>
    <w:rsid w:val="00B83FDD"/>
    <w:rsid w:val="00B84253"/>
    <w:rsid w:val="00B842A9"/>
    <w:rsid w:val="00B843E4"/>
    <w:rsid w:val="00B84721"/>
    <w:rsid w:val="00B84832"/>
    <w:rsid w:val="00B84C77"/>
    <w:rsid w:val="00B84EFC"/>
    <w:rsid w:val="00B8513A"/>
    <w:rsid w:val="00B85856"/>
    <w:rsid w:val="00B859D5"/>
    <w:rsid w:val="00B85A80"/>
    <w:rsid w:val="00B85E7B"/>
    <w:rsid w:val="00B8681E"/>
    <w:rsid w:val="00B86855"/>
    <w:rsid w:val="00B8696C"/>
    <w:rsid w:val="00B86A33"/>
    <w:rsid w:val="00B86B3F"/>
    <w:rsid w:val="00B86B7D"/>
    <w:rsid w:val="00B86DB5"/>
    <w:rsid w:val="00B8746A"/>
    <w:rsid w:val="00B8753C"/>
    <w:rsid w:val="00B875B2"/>
    <w:rsid w:val="00B8768C"/>
    <w:rsid w:val="00B87B3C"/>
    <w:rsid w:val="00B87BC0"/>
    <w:rsid w:val="00B87C43"/>
    <w:rsid w:val="00B87CA4"/>
    <w:rsid w:val="00B87CCE"/>
    <w:rsid w:val="00B87ECF"/>
    <w:rsid w:val="00B87F5F"/>
    <w:rsid w:val="00B87F84"/>
    <w:rsid w:val="00B90326"/>
    <w:rsid w:val="00B903D4"/>
    <w:rsid w:val="00B9053B"/>
    <w:rsid w:val="00B9059E"/>
    <w:rsid w:val="00B90684"/>
    <w:rsid w:val="00B907FF"/>
    <w:rsid w:val="00B90906"/>
    <w:rsid w:val="00B90943"/>
    <w:rsid w:val="00B90F3F"/>
    <w:rsid w:val="00B91125"/>
    <w:rsid w:val="00B91171"/>
    <w:rsid w:val="00B9126E"/>
    <w:rsid w:val="00B917D1"/>
    <w:rsid w:val="00B9182F"/>
    <w:rsid w:val="00B91CBB"/>
    <w:rsid w:val="00B922F4"/>
    <w:rsid w:val="00B9264C"/>
    <w:rsid w:val="00B92876"/>
    <w:rsid w:val="00B928BA"/>
    <w:rsid w:val="00B92A51"/>
    <w:rsid w:val="00B92B0B"/>
    <w:rsid w:val="00B92C7E"/>
    <w:rsid w:val="00B92CA7"/>
    <w:rsid w:val="00B92D10"/>
    <w:rsid w:val="00B92D3D"/>
    <w:rsid w:val="00B9320B"/>
    <w:rsid w:val="00B93240"/>
    <w:rsid w:val="00B93385"/>
    <w:rsid w:val="00B934C6"/>
    <w:rsid w:val="00B934DB"/>
    <w:rsid w:val="00B93620"/>
    <w:rsid w:val="00B936D8"/>
    <w:rsid w:val="00B93A40"/>
    <w:rsid w:val="00B93A6E"/>
    <w:rsid w:val="00B93DF1"/>
    <w:rsid w:val="00B93E41"/>
    <w:rsid w:val="00B93E44"/>
    <w:rsid w:val="00B93F9D"/>
    <w:rsid w:val="00B94645"/>
    <w:rsid w:val="00B94720"/>
    <w:rsid w:val="00B94AD8"/>
    <w:rsid w:val="00B94C42"/>
    <w:rsid w:val="00B94C6C"/>
    <w:rsid w:val="00B94D48"/>
    <w:rsid w:val="00B94DA3"/>
    <w:rsid w:val="00B94E01"/>
    <w:rsid w:val="00B94EC8"/>
    <w:rsid w:val="00B95294"/>
    <w:rsid w:val="00B95552"/>
    <w:rsid w:val="00B9578A"/>
    <w:rsid w:val="00B957FB"/>
    <w:rsid w:val="00B958E3"/>
    <w:rsid w:val="00B95939"/>
    <w:rsid w:val="00B959C5"/>
    <w:rsid w:val="00B95AA3"/>
    <w:rsid w:val="00B95B69"/>
    <w:rsid w:val="00B95BEB"/>
    <w:rsid w:val="00B95C42"/>
    <w:rsid w:val="00B95DD1"/>
    <w:rsid w:val="00B95E20"/>
    <w:rsid w:val="00B95FE9"/>
    <w:rsid w:val="00B960CA"/>
    <w:rsid w:val="00B96233"/>
    <w:rsid w:val="00B9624C"/>
    <w:rsid w:val="00B9663F"/>
    <w:rsid w:val="00B9690B"/>
    <w:rsid w:val="00B969D5"/>
    <w:rsid w:val="00B96A2D"/>
    <w:rsid w:val="00B96AEA"/>
    <w:rsid w:val="00B96C8B"/>
    <w:rsid w:val="00B96E29"/>
    <w:rsid w:val="00B9705C"/>
    <w:rsid w:val="00B97115"/>
    <w:rsid w:val="00B9733B"/>
    <w:rsid w:val="00B975CA"/>
    <w:rsid w:val="00B976E1"/>
    <w:rsid w:val="00B9777C"/>
    <w:rsid w:val="00B9782D"/>
    <w:rsid w:val="00B978B6"/>
    <w:rsid w:val="00B97BA5"/>
    <w:rsid w:val="00B97F34"/>
    <w:rsid w:val="00BA0342"/>
    <w:rsid w:val="00BA04DA"/>
    <w:rsid w:val="00BA0C37"/>
    <w:rsid w:val="00BA0EA6"/>
    <w:rsid w:val="00BA100C"/>
    <w:rsid w:val="00BA1022"/>
    <w:rsid w:val="00BA1293"/>
    <w:rsid w:val="00BA1527"/>
    <w:rsid w:val="00BA15DE"/>
    <w:rsid w:val="00BA16D0"/>
    <w:rsid w:val="00BA1768"/>
    <w:rsid w:val="00BA18C1"/>
    <w:rsid w:val="00BA191C"/>
    <w:rsid w:val="00BA196F"/>
    <w:rsid w:val="00BA19C4"/>
    <w:rsid w:val="00BA1B53"/>
    <w:rsid w:val="00BA1B73"/>
    <w:rsid w:val="00BA2350"/>
    <w:rsid w:val="00BA24F0"/>
    <w:rsid w:val="00BA263A"/>
    <w:rsid w:val="00BA2688"/>
    <w:rsid w:val="00BA2740"/>
    <w:rsid w:val="00BA27C5"/>
    <w:rsid w:val="00BA28BF"/>
    <w:rsid w:val="00BA28CA"/>
    <w:rsid w:val="00BA2993"/>
    <w:rsid w:val="00BA2D15"/>
    <w:rsid w:val="00BA2FD1"/>
    <w:rsid w:val="00BA3025"/>
    <w:rsid w:val="00BA3076"/>
    <w:rsid w:val="00BA3382"/>
    <w:rsid w:val="00BA33EC"/>
    <w:rsid w:val="00BA34DD"/>
    <w:rsid w:val="00BA3782"/>
    <w:rsid w:val="00BA3853"/>
    <w:rsid w:val="00BA388F"/>
    <w:rsid w:val="00BA398A"/>
    <w:rsid w:val="00BA3A93"/>
    <w:rsid w:val="00BA3BDE"/>
    <w:rsid w:val="00BA3C44"/>
    <w:rsid w:val="00BA3C9D"/>
    <w:rsid w:val="00BA3D78"/>
    <w:rsid w:val="00BA3FB8"/>
    <w:rsid w:val="00BA4083"/>
    <w:rsid w:val="00BA40C9"/>
    <w:rsid w:val="00BA4251"/>
    <w:rsid w:val="00BA448D"/>
    <w:rsid w:val="00BA44A5"/>
    <w:rsid w:val="00BA462F"/>
    <w:rsid w:val="00BA46FA"/>
    <w:rsid w:val="00BA47AC"/>
    <w:rsid w:val="00BA4959"/>
    <w:rsid w:val="00BA4B38"/>
    <w:rsid w:val="00BA4BB4"/>
    <w:rsid w:val="00BA4BD4"/>
    <w:rsid w:val="00BA4CE2"/>
    <w:rsid w:val="00BA4E30"/>
    <w:rsid w:val="00BA51CB"/>
    <w:rsid w:val="00BA53C8"/>
    <w:rsid w:val="00BA54A0"/>
    <w:rsid w:val="00BA580E"/>
    <w:rsid w:val="00BA58DA"/>
    <w:rsid w:val="00BA59F6"/>
    <w:rsid w:val="00BA5A52"/>
    <w:rsid w:val="00BA5ABE"/>
    <w:rsid w:val="00BA5BEB"/>
    <w:rsid w:val="00BA5D50"/>
    <w:rsid w:val="00BA6008"/>
    <w:rsid w:val="00BA6199"/>
    <w:rsid w:val="00BA65B7"/>
    <w:rsid w:val="00BA6812"/>
    <w:rsid w:val="00BA69FD"/>
    <w:rsid w:val="00BA6EC7"/>
    <w:rsid w:val="00BA702F"/>
    <w:rsid w:val="00BA70B4"/>
    <w:rsid w:val="00BA715F"/>
    <w:rsid w:val="00BA717E"/>
    <w:rsid w:val="00BA77C4"/>
    <w:rsid w:val="00BA7803"/>
    <w:rsid w:val="00BA786B"/>
    <w:rsid w:val="00BA792B"/>
    <w:rsid w:val="00BA7935"/>
    <w:rsid w:val="00BA7BAB"/>
    <w:rsid w:val="00BA7C1B"/>
    <w:rsid w:val="00BB0418"/>
    <w:rsid w:val="00BB042B"/>
    <w:rsid w:val="00BB049C"/>
    <w:rsid w:val="00BB0547"/>
    <w:rsid w:val="00BB0588"/>
    <w:rsid w:val="00BB0871"/>
    <w:rsid w:val="00BB08FF"/>
    <w:rsid w:val="00BB0913"/>
    <w:rsid w:val="00BB0A85"/>
    <w:rsid w:val="00BB0E17"/>
    <w:rsid w:val="00BB119F"/>
    <w:rsid w:val="00BB1464"/>
    <w:rsid w:val="00BB1A78"/>
    <w:rsid w:val="00BB1B34"/>
    <w:rsid w:val="00BB1E6F"/>
    <w:rsid w:val="00BB1FA4"/>
    <w:rsid w:val="00BB2063"/>
    <w:rsid w:val="00BB20D1"/>
    <w:rsid w:val="00BB227E"/>
    <w:rsid w:val="00BB24A3"/>
    <w:rsid w:val="00BB251A"/>
    <w:rsid w:val="00BB26F6"/>
    <w:rsid w:val="00BB2898"/>
    <w:rsid w:val="00BB2C04"/>
    <w:rsid w:val="00BB328C"/>
    <w:rsid w:val="00BB34FF"/>
    <w:rsid w:val="00BB368E"/>
    <w:rsid w:val="00BB3C8F"/>
    <w:rsid w:val="00BB3D4D"/>
    <w:rsid w:val="00BB3E6E"/>
    <w:rsid w:val="00BB3FCF"/>
    <w:rsid w:val="00BB43C7"/>
    <w:rsid w:val="00BB45C8"/>
    <w:rsid w:val="00BB46D2"/>
    <w:rsid w:val="00BB4796"/>
    <w:rsid w:val="00BB48C8"/>
    <w:rsid w:val="00BB48FF"/>
    <w:rsid w:val="00BB4B9D"/>
    <w:rsid w:val="00BB4CB3"/>
    <w:rsid w:val="00BB4D98"/>
    <w:rsid w:val="00BB4DAA"/>
    <w:rsid w:val="00BB4E89"/>
    <w:rsid w:val="00BB4EBF"/>
    <w:rsid w:val="00BB5072"/>
    <w:rsid w:val="00BB517E"/>
    <w:rsid w:val="00BB5295"/>
    <w:rsid w:val="00BB52A6"/>
    <w:rsid w:val="00BB52F2"/>
    <w:rsid w:val="00BB5427"/>
    <w:rsid w:val="00BB558C"/>
    <w:rsid w:val="00BB59E0"/>
    <w:rsid w:val="00BB5A56"/>
    <w:rsid w:val="00BB5D10"/>
    <w:rsid w:val="00BB5DCC"/>
    <w:rsid w:val="00BB5F2D"/>
    <w:rsid w:val="00BB6029"/>
    <w:rsid w:val="00BB6070"/>
    <w:rsid w:val="00BB633D"/>
    <w:rsid w:val="00BB6354"/>
    <w:rsid w:val="00BB65D7"/>
    <w:rsid w:val="00BB671D"/>
    <w:rsid w:val="00BB676B"/>
    <w:rsid w:val="00BB67F1"/>
    <w:rsid w:val="00BB68CE"/>
    <w:rsid w:val="00BB6920"/>
    <w:rsid w:val="00BB6B04"/>
    <w:rsid w:val="00BB6B77"/>
    <w:rsid w:val="00BB6BDF"/>
    <w:rsid w:val="00BB6BE3"/>
    <w:rsid w:val="00BB6F2E"/>
    <w:rsid w:val="00BB703C"/>
    <w:rsid w:val="00BB7061"/>
    <w:rsid w:val="00BB70AB"/>
    <w:rsid w:val="00BB741D"/>
    <w:rsid w:val="00BB7433"/>
    <w:rsid w:val="00BB74FD"/>
    <w:rsid w:val="00BB7739"/>
    <w:rsid w:val="00BB7A75"/>
    <w:rsid w:val="00BB7C48"/>
    <w:rsid w:val="00BB7C76"/>
    <w:rsid w:val="00BB7DF0"/>
    <w:rsid w:val="00BB7FA4"/>
    <w:rsid w:val="00BC0298"/>
    <w:rsid w:val="00BC0394"/>
    <w:rsid w:val="00BC05F7"/>
    <w:rsid w:val="00BC088A"/>
    <w:rsid w:val="00BC0A97"/>
    <w:rsid w:val="00BC0B63"/>
    <w:rsid w:val="00BC1093"/>
    <w:rsid w:val="00BC11BA"/>
    <w:rsid w:val="00BC1544"/>
    <w:rsid w:val="00BC18C4"/>
    <w:rsid w:val="00BC1B48"/>
    <w:rsid w:val="00BC1B68"/>
    <w:rsid w:val="00BC1D1B"/>
    <w:rsid w:val="00BC1F07"/>
    <w:rsid w:val="00BC20CB"/>
    <w:rsid w:val="00BC22D4"/>
    <w:rsid w:val="00BC24BF"/>
    <w:rsid w:val="00BC2707"/>
    <w:rsid w:val="00BC29FB"/>
    <w:rsid w:val="00BC2AB5"/>
    <w:rsid w:val="00BC2B3F"/>
    <w:rsid w:val="00BC2C5B"/>
    <w:rsid w:val="00BC2E87"/>
    <w:rsid w:val="00BC31D0"/>
    <w:rsid w:val="00BC341C"/>
    <w:rsid w:val="00BC3422"/>
    <w:rsid w:val="00BC3560"/>
    <w:rsid w:val="00BC36DB"/>
    <w:rsid w:val="00BC3BA9"/>
    <w:rsid w:val="00BC3C60"/>
    <w:rsid w:val="00BC3E6D"/>
    <w:rsid w:val="00BC3EFE"/>
    <w:rsid w:val="00BC437C"/>
    <w:rsid w:val="00BC47EF"/>
    <w:rsid w:val="00BC4976"/>
    <w:rsid w:val="00BC4A87"/>
    <w:rsid w:val="00BC4C06"/>
    <w:rsid w:val="00BC4ED7"/>
    <w:rsid w:val="00BC51CA"/>
    <w:rsid w:val="00BC528A"/>
    <w:rsid w:val="00BC54CB"/>
    <w:rsid w:val="00BC5694"/>
    <w:rsid w:val="00BC60CE"/>
    <w:rsid w:val="00BC6101"/>
    <w:rsid w:val="00BC6132"/>
    <w:rsid w:val="00BC6192"/>
    <w:rsid w:val="00BC629A"/>
    <w:rsid w:val="00BC650C"/>
    <w:rsid w:val="00BC66BA"/>
    <w:rsid w:val="00BC6817"/>
    <w:rsid w:val="00BC6818"/>
    <w:rsid w:val="00BC6880"/>
    <w:rsid w:val="00BC6C71"/>
    <w:rsid w:val="00BC6D32"/>
    <w:rsid w:val="00BC6E19"/>
    <w:rsid w:val="00BC6EE0"/>
    <w:rsid w:val="00BC7127"/>
    <w:rsid w:val="00BC7293"/>
    <w:rsid w:val="00BC7304"/>
    <w:rsid w:val="00BC7507"/>
    <w:rsid w:val="00BC7651"/>
    <w:rsid w:val="00BC767B"/>
    <w:rsid w:val="00BC7726"/>
    <w:rsid w:val="00BC7729"/>
    <w:rsid w:val="00BC78F8"/>
    <w:rsid w:val="00BC7B86"/>
    <w:rsid w:val="00BC7B88"/>
    <w:rsid w:val="00BC7C7D"/>
    <w:rsid w:val="00BD016A"/>
    <w:rsid w:val="00BD041F"/>
    <w:rsid w:val="00BD04A1"/>
    <w:rsid w:val="00BD05E4"/>
    <w:rsid w:val="00BD05FA"/>
    <w:rsid w:val="00BD0728"/>
    <w:rsid w:val="00BD0735"/>
    <w:rsid w:val="00BD092E"/>
    <w:rsid w:val="00BD0B31"/>
    <w:rsid w:val="00BD0BDE"/>
    <w:rsid w:val="00BD120F"/>
    <w:rsid w:val="00BD135A"/>
    <w:rsid w:val="00BD1372"/>
    <w:rsid w:val="00BD14E6"/>
    <w:rsid w:val="00BD15B8"/>
    <w:rsid w:val="00BD16FE"/>
    <w:rsid w:val="00BD1A56"/>
    <w:rsid w:val="00BD1B15"/>
    <w:rsid w:val="00BD1B6E"/>
    <w:rsid w:val="00BD1CCA"/>
    <w:rsid w:val="00BD23AB"/>
    <w:rsid w:val="00BD26D2"/>
    <w:rsid w:val="00BD2706"/>
    <w:rsid w:val="00BD2B01"/>
    <w:rsid w:val="00BD2C6D"/>
    <w:rsid w:val="00BD2EF3"/>
    <w:rsid w:val="00BD3133"/>
    <w:rsid w:val="00BD313D"/>
    <w:rsid w:val="00BD331D"/>
    <w:rsid w:val="00BD33C3"/>
    <w:rsid w:val="00BD35F0"/>
    <w:rsid w:val="00BD379B"/>
    <w:rsid w:val="00BD38DD"/>
    <w:rsid w:val="00BD3BD8"/>
    <w:rsid w:val="00BD4088"/>
    <w:rsid w:val="00BD426F"/>
    <w:rsid w:val="00BD4A2F"/>
    <w:rsid w:val="00BD4CA2"/>
    <w:rsid w:val="00BD4D98"/>
    <w:rsid w:val="00BD4FF1"/>
    <w:rsid w:val="00BD5018"/>
    <w:rsid w:val="00BD5113"/>
    <w:rsid w:val="00BD54DA"/>
    <w:rsid w:val="00BD564B"/>
    <w:rsid w:val="00BD5964"/>
    <w:rsid w:val="00BD5BE3"/>
    <w:rsid w:val="00BD5DCF"/>
    <w:rsid w:val="00BD62DF"/>
    <w:rsid w:val="00BD6648"/>
    <w:rsid w:val="00BD6714"/>
    <w:rsid w:val="00BD6821"/>
    <w:rsid w:val="00BD6846"/>
    <w:rsid w:val="00BD6B09"/>
    <w:rsid w:val="00BD6CCF"/>
    <w:rsid w:val="00BD6F01"/>
    <w:rsid w:val="00BD7100"/>
    <w:rsid w:val="00BD721A"/>
    <w:rsid w:val="00BD72C4"/>
    <w:rsid w:val="00BD74DE"/>
    <w:rsid w:val="00BD7561"/>
    <w:rsid w:val="00BD758C"/>
    <w:rsid w:val="00BD75A8"/>
    <w:rsid w:val="00BD7839"/>
    <w:rsid w:val="00BD7A2D"/>
    <w:rsid w:val="00BD7B74"/>
    <w:rsid w:val="00BD7D04"/>
    <w:rsid w:val="00BD7DC0"/>
    <w:rsid w:val="00BD7FC7"/>
    <w:rsid w:val="00BE0197"/>
    <w:rsid w:val="00BE05C7"/>
    <w:rsid w:val="00BE077B"/>
    <w:rsid w:val="00BE07FD"/>
    <w:rsid w:val="00BE088E"/>
    <w:rsid w:val="00BE0AE1"/>
    <w:rsid w:val="00BE0E36"/>
    <w:rsid w:val="00BE0F43"/>
    <w:rsid w:val="00BE124A"/>
    <w:rsid w:val="00BE14BF"/>
    <w:rsid w:val="00BE1529"/>
    <w:rsid w:val="00BE1588"/>
    <w:rsid w:val="00BE15ED"/>
    <w:rsid w:val="00BE15FA"/>
    <w:rsid w:val="00BE1608"/>
    <w:rsid w:val="00BE17AA"/>
    <w:rsid w:val="00BE1939"/>
    <w:rsid w:val="00BE1A77"/>
    <w:rsid w:val="00BE1B5E"/>
    <w:rsid w:val="00BE1B65"/>
    <w:rsid w:val="00BE25AD"/>
    <w:rsid w:val="00BE2990"/>
    <w:rsid w:val="00BE2AF5"/>
    <w:rsid w:val="00BE2F24"/>
    <w:rsid w:val="00BE32BE"/>
    <w:rsid w:val="00BE3344"/>
    <w:rsid w:val="00BE355F"/>
    <w:rsid w:val="00BE35FC"/>
    <w:rsid w:val="00BE3A52"/>
    <w:rsid w:val="00BE3BB5"/>
    <w:rsid w:val="00BE3EDB"/>
    <w:rsid w:val="00BE3FA5"/>
    <w:rsid w:val="00BE417E"/>
    <w:rsid w:val="00BE4186"/>
    <w:rsid w:val="00BE43D0"/>
    <w:rsid w:val="00BE442B"/>
    <w:rsid w:val="00BE4599"/>
    <w:rsid w:val="00BE4681"/>
    <w:rsid w:val="00BE490F"/>
    <w:rsid w:val="00BE4AE3"/>
    <w:rsid w:val="00BE4C0A"/>
    <w:rsid w:val="00BE4EDC"/>
    <w:rsid w:val="00BE4FA4"/>
    <w:rsid w:val="00BE5113"/>
    <w:rsid w:val="00BE5394"/>
    <w:rsid w:val="00BE53BC"/>
    <w:rsid w:val="00BE550C"/>
    <w:rsid w:val="00BE571C"/>
    <w:rsid w:val="00BE5ADC"/>
    <w:rsid w:val="00BE63C3"/>
    <w:rsid w:val="00BE69DB"/>
    <w:rsid w:val="00BE6F26"/>
    <w:rsid w:val="00BE70B2"/>
    <w:rsid w:val="00BE77F1"/>
    <w:rsid w:val="00BE7BFC"/>
    <w:rsid w:val="00BE7EB7"/>
    <w:rsid w:val="00BF0240"/>
    <w:rsid w:val="00BF02DF"/>
    <w:rsid w:val="00BF0735"/>
    <w:rsid w:val="00BF07CF"/>
    <w:rsid w:val="00BF0A60"/>
    <w:rsid w:val="00BF0D8B"/>
    <w:rsid w:val="00BF0E1B"/>
    <w:rsid w:val="00BF0E5A"/>
    <w:rsid w:val="00BF0E7C"/>
    <w:rsid w:val="00BF0F1A"/>
    <w:rsid w:val="00BF130E"/>
    <w:rsid w:val="00BF1343"/>
    <w:rsid w:val="00BF14C0"/>
    <w:rsid w:val="00BF151F"/>
    <w:rsid w:val="00BF16F2"/>
    <w:rsid w:val="00BF17ED"/>
    <w:rsid w:val="00BF1ABE"/>
    <w:rsid w:val="00BF1C54"/>
    <w:rsid w:val="00BF201D"/>
    <w:rsid w:val="00BF2289"/>
    <w:rsid w:val="00BF2403"/>
    <w:rsid w:val="00BF25A4"/>
    <w:rsid w:val="00BF2729"/>
    <w:rsid w:val="00BF28C2"/>
    <w:rsid w:val="00BF2929"/>
    <w:rsid w:val="00BF2D82"/>
    <w:rsid w:val="00BF35C5"/>
    <w:rsid w:val="00BF35D6"/>
    <w:rsid w:val="00BF3658"/>
    <w:rsid w:val="00BF36C4"/>
    <w:rsid w:val="00BF3960"/>
    <w:rsid w:val="00BF3C89"/>
    <w:rsid w:val="00BF3CD6"/>
    <w:rsid w:val="00BF3FDA"/>
    <w:rsid w:val="00BF406E"/>
    <w:rsid w:val="00BF4575"/>
    <w:rsid w:val="00BF4588"/>
    <w:rsid w:val="00BF4755"/>
    <w:rsid w:val="00BF4759"/>
    <w:rsid w:val="00BF4868"/>
    <w:rsid w:val="00BF4908"/>
    <w:rsid w:val="00BF49B8"/>
    <w:rsid w:val="00BF4C29"/>
    <w:rsid w:val="00BF4C62"/>
    <w:rsid w:val="00BF4DCA"/>
    <w:rsid w:val="00BF4F11"/>
    <w:rsid w:val="00BF4F96"/>
    <w:rsid w:val="00BF50F2"/>
    <w:rsid w:val="00BF52CC"/>
    <w:rsid w:val="00BF53BA"/>
    <w:rsid w:val="00BF55DD"/>
    <w:rsid w:val="00BF567A"/>
    <w:rsid w:val="00BF5AF1"/>
    <w:rsid w:val="00BF5EBA"/>
    <w:rsid w:val="00BF6051"/>
    <w:rsid w:val="00BF60CE"/>
    <w:rsid w:val="00BF636D"/>
    <w:rsid w:val="00BF63F7"/>
    <w:rsid w:val="00BF68CB"/>
    <w:rsid w:val="00BF6952"/>
    <w:rsid w:val="00BF6A5A"/>
    <w:rsid w:val="00BF6B8E"/>
    <w:rsid w:val="00BF702E"/>
    <w:rsid w:val="00BF726A"/>
    <w:rsid w:val="00BF7539"/>
    <w:rsid w:val="00BF75D3"/>
    <w:rsid w:val="00BF75EF"/>
    <w:rsid w:val="00BF77BA"/>
    <w:rsid w:val="00BF78BA"/>
    <w:rsid w:val="00C00449"/>
    <w:rsid w:val="00C00462"/>
    <w:rsid w:val="00C00618"/>
    <w:rsid w:val="00C006E7"/>
    <w:rsid w:val="00C008C1"/>
    <w:rsid w:val="00C0099A"/>
    <w:rsid w:val="00C009FA"/>
    <w:rsid w:val="00C00C41"/>
    <w:rsid w:val="00C00CC5"/>
    <w:rsid w:val="00C00CCE"/>
    <w:rsid w:val="00C00D38"/>
    <w:rsid w:val="00C00DB2"/>
    <w:rsid w:val="00C00F51"/>
    <w:rsid w:val="00C011D8"/>
    <w:rsid w:val="00C012C6"/>
    <w:rsid w:val="00C01563"/>
    <w:rsid w:val="00C015B9"/>
    <w:rsid w:val="00C0164F"/>
    <w:rsid w:val="00C0188B"/>
    <w:rsid w:val="00C01A34"/>
    <w:rsid w:val="00C01AA9"/>
    <w:rsid w:val="00C01ABE"/>
    <w:rsid w:val="00C01B2B"/>
    <w:rsid w:val="00C01C48"/>
    <w:rsid w:val="00C01D84"/>
    <w:rsid w:val="00C01F43"/>
    <w:rsid w:val="00C0205F"/>
    <w:rsid w:val="00C02115"/>
    <w:rsid w:val="00C021F3"/>
    <w:rsid w:val="00C022F9"/>
    <w:rsid w:val="00C0250A"/>
    <w:rsid w:val="00C02581"/>
    <w:rsid w:val="00C025A4"/>
    <w:rsid w:val="00C025E5"/>
    <w:rsid w:val="00C025F3"/>
    <w:rsid w:val="00C0273B"/>
    <w:rsid w:val="00C02925"/>
    <w:rsid w:val="00C02A90"/>
    <w:rsid w:val="00C02CF7"/>
    <w:rsid w:val="00C02DB9"/>
    <w:rsid w:val="00C02EBE"/>
    <w:rsid w:val="00C02F2A"/>
    <w:rsid w:val="00C0319C"/>
    <w:rsid w:val="00C032EA"/>
    <w:rsid w:val="00C03363"/>
    <w:rsid w:val="00C03512"/>
    <w:rsid w:val="00C0398C"/>
    <w:rsid w:val="00C039F0"/>
    <w:rsid w:val="00C03AA3"/>
    <w:rsid w:val="00C03AED"/>
    <w:rsid w:val="00C03D69"/>
    <w:rsid w:val="00C03E85"/>
    <w:rsid w:val="00C044CB"/>
    <w:rsid w:val="00C045D9"/>
    <w:rsid w:val="00C04978"/>
    <w:rsid w:val="00C04B62"/>
    <w:rsid w:val="00C04C51"/>
    <w:rsid w:val="00C04D3D"/>
    <w:rsid w:val="00C04E7C"/>
    <w:rsid w:val="00C04EBC"/>
    <w:rsid w:val="00C04ED8"/>
    <w:rsid w:val="00C05574"/>
    <w:rsid w:val="00C05589"/>
    <w:rsid w:val="00C0559F"/>
    <w:rsid w:val="00C05932"/>
    <w:rsid w:val="00C05D86"/>
    <w:rsid w:val="00C0612F"/>
    <w:rsid w:val="00C0614B"/>
    <w:rsid w:val="00C063EE"/>
    <w:rsid w:val="00C069F3"/>
    <w:rsid w:val="00C06BC4"/>
    <w:rsid w:val="00C06C87"/>
    <w:rsid w:val="00C06EB5"/>
    <w:rsid w:val="00C06F05"/>
    <w:rsid w:val="00C06FBE"/>
    <w:rsid w:val="00C07335"/>
    <w:rsid w:val="00C073EB"/>
    <w:rsid w:val="00C07769"/>
    <w:rsid w:val="00C078BF"/>
    <w:rsid w:val="00C07955"/>
    <w:rsid w:val="00C07A84"/>
    <w:rsid w:val="00C10848"/>
    <w:rsid w:val="00C108F8"/>
    <w:rsid w:val="00C10933"/>
    <w:rsid w:val="00C10E28"/>
    <w:rsid w:val="00C1142A"/>
    <w:rsid w:val="00C1145F"/>
    <w:rsid w:val="00C11875"/>
    <w:rsid w:val="00C11CD1"/>
    <w:rsid w:val="00C11E39"/>
    <w:rsid w:val="00C11ED4"/>
    <w:rsid w:val="00C12298"/>
    <w:rsid w:val="00C123A7"/>
    <w:rsid w:val="00C12511"/>
    <w:rsid w:val="00C12606"/>
    <w:rsid w:val="00C129D1"/>
    <w:rsid w:val="00C12C7A"/>
    <w:rsid w:val="00C12C80"/>
    <w:rsid w:val="00C12E86"/>
    <w:rsid w:val="00C12F47"/>
    <w:rsid w:val="00C12F9C"/>
    <w:rsid w:val="00C12FC1"/>
    <w:rsid w:val="00C1317D"/>
    <w:rsid w:val="00C13192"/>
    <w:rsid w:val="00C13288"/>
    <w:rsid w:val="00C13834"/>
    <w:rsid w:val="00C13A5E"/>
    <w:rsid w:val="00C13D44"/>
    <w:rsid w:val="00C140C6"/>
    <w:rsid w:val="00C143C9"/>
    <w:rsid w:val="00C144A6"/>
    <w:rsid w:val="00C1487B"/>
    <w:rsid w:val="00C14B66"/>
    <w:rsid w:val="00C14C89"/>
    <w:rsid w:val="00C14DA1"/>
    <w:rsid w:val="00C15701"/>
    <w:rsid w:val="00C157D4"/>
    <w:rsid w:val="00C15D69"/>
    <w:rsid w:val="00C166ED"/>
    <w:rsid w:val="00C169E8"/>
    <w:rsid w:val="00C16BEC"/>
    <w:rsid w:val="00C16F90"/>
    <w:rsid w:val="00C16FC6"/>
    <w:rsid w:val="00C17160"/>
    <w:rsid w:val="00C17230"/>
    <w:rsid w:val="00C17288"/>
    <w:rsid w:val="00C1738A"/>
    <w:rsid w:val="00C1739A"/>
    <w:rsid w:val="00C17651"/>
    <w:rsid w:val="00C17754"/>
    <w:rsid w:val="00C17902"/>
    <w:rsid w:val="00C179BB"/>
    <w:rsid w:val="00C17BEB"/>
    <w:rsid w:val="00C17F74"/>
    <w:rsid w:val="00C2012A"/>
    <w:rsid w:val="00C202D8"/>
    <w:rsid w:val="00C2065E"/>
    <w:rsid w:val="00C20A1F"/>
    <w:rsid w:val="00C210BE"/>
    <w:rsid w:val="00C21181"/>
    <w:rsid w:val="00C21403"/>
    <w:rsid w:val="00C21766"/>
    <w:rsid w:val="00C21C56"/>
    <w:rsid w:val="00C21C9C"/>
    <w:rsid w:val="00C21D70"/>
    <w:rsid w:val="00C21D77"/>
    <w:rsid w:val="00C21DE0"/>
    <w:rsid w:val="00C22175"/>
    <w:rsid w:val="00C22564"/>
    <w:rsid w:val="00C226CA"/>
    <w:rsid w:val="00C226DF"/>
    <w:rsid w:val="00C22A16"/>
    <w:rsid w:val="00C22AA9"/>
    <w:rsid w:val="00C22B6E"/>
    <w:rsid w:val="00C22D0C"/>
    <w:rsid w:val="00C22DCE"/>
    <w:rsid w:val="00C22E4D"/>
    <w:rsid w:val="00C22E65"/>
    <w:rsid w:val="00C22FCF"/>
    <w:rsid w:val="00C2302A"/>
    <w:rsid w:val="00C23707"/>
    <w:rsid w:val="00C2371B"/>
    <w:rsid w:val="00C23874"/>
    <w:rsid w:val="00C23B7B"/>
    <w:rsid w:val="00C23C6D"/>
    <w:rsid w:val="00C23C9B"/>
    <w:rsid w:val="00C23FB6"/>
    <w:rsid w:val="00C23FEF"/>
    <w:rsid w:val="00C242F7"/>
    <w:rsid w:val="00C243ED"/>
    <w:rsid w:val="00C24488"/>
    <w:rsid w:val="00C246C1"/>
    <w:rsid w:val="00C24BA3"/>
    <w:rsid w:val="00C24F21"/>
    <w:rsid w:val="00C24F64"/>
    <w:rsid w:val="00C24F71"/>
    <w:rsid w:val="00C25010"/>
    <w:rsid w:val="00C2534F"/>
    <w:rsid w:val="00C25547"/>
    <w:rsid w:val="00C257A5"/>
    <w:rsid w:val="00C258F2"/>
    <w:rsid w:val="00C25EF1"/>
    <w:rsid w:val="00C260F6"/>
    <w:rsid w:val="00C265DA"/>
    <w:rsid w:val="00C265FC"/>
    <w:rsid w:val="00C266CF"/>
    <w:rsid w:val="00C267B9"/>
    <w:rsid w:val="00C26867"/>
    <w:rsid w:val="00C268CE"/>
    <w:rsid w:val="00C26C95"/>
    <w:rsid w:val="00C2715F"/>
    <w:rsid w:val="00C27167"/>
    <w:rsid w:val="00C27614"/>
    <w:rsid w:val="00C278A8"/>
    <w:rsid w:val="00C2791F"/>
    <w:rsid w:val="00C27CC2"/>
    <w:rsid w:val="00C27E2E"/>
    <w:rsid w:val="00C27E34"/>
    <w:rsid w:val="00C27EF0"/>
    <w:rsid w:val="00C27FE3"/>
    <w:rsid w:val="00C300F7"/>
    <w:rsid w:val="00C30378"/>
    <w:rsid w:val="00C30473"/>
    <w:rsid w:val="00C3079E"/>
    <w:rsid w:val="00C30997"/>
    <w:rsid w:val="00C30BB0"/>
    <w:rsid w:val="00C30BF6"/>
    <w:rsid w:val="00C30C14"/>
    <w:rsid w:val="00C30C44"/>
    <w:rsid w:val="00C30CB5"/>
    <w:rsid w:val="00C31006"/>
    <w:rsid w:val="00C31449"/>
    <w:rsid w:val="00C31472"/>
    <w:rsid w:val="00C31623"/>
    <w:rsid w:val="00C317A6"/>
    <w:rsid w:val="00C31801"/>
    <w:rsid w:val="00C31B5C"/>
    <w:rsid w:val="00C31ED6"/>
    <w:rsid w:val="00C320EB"/>
    <w:rsid w:val="00C32182"/>
    <w:rsid w:val="00C32421"/>
    <w:rsid w:val="00C324E7"/>
    <w:rsid w:val="00C3262A"/>
    <w:rsid w:val="00C327CD"/>
    <w:rsid w:val="00C32809"/>
    <w:rsid w:val="00C329A3"/>
    <w:rsid w:val="00C32ACE"/>
    <w:rsid w:val="00C32C81"/>
    <w:rsid w:val="00C32D49"/>
    <w:rsid w:val="00C33765"/>
    <w:rsid w:val="00C33922"/>
    <w:rsid w:val="00C33AD3"/>
    <w:rsid w:val="00C33B99"/>
    <w:rsid w:val="00C33D02"/>
    <w:rsid w:val="00C33EB3"/>
    <w:rsid w:val="00C34506"/>
    <w:rsid w:val="00C3450C"/>
    <w:rsid w:val="00C3467F"/>
    <w:rsid w:val="00C346C4"/>
    <w:rsid w:val="00C34736"/>
    <w:rsid w:val="00C3475D"/>
    <w:rsid w:val="00C34796"/>
    <w:rsid w:val="00C349DB"/>
    <w:rsid w:val="00C34B6A"/>
    <w:rsid w:val="00C34BF3"/>
    <w:rsid w:val="00C34D16"/>
    <w:rsid w:val="00C34F1F"/>
    <w:rsid w:val="00C35050"/>
    <w:rsid w:val="00C350A9"/>
    <w:rsid w:val="00C35114"/>
    <w:rsid w:val="00C3514F"/>
    <w:rsid w:val="00C35260"/>
    <w:rsid w:val="00C3532D"/>
    <w:rsid w:val="00C35715"/>
    <w:rsid w:val="00C357E4"/>
    <w:rsid w:val="00C35E97"/>
    <w:rsid w:val="00C36252"/>
    <w:rsid w:val="00C36596"/>
    <w:rsid w:val="00C36914"/>
    <w:rsid w:val="00C3691A"/>
    <w:rsid w:val="00C369E4"/>
    <w:rsid w:val="00C36A5D"/>
    <w:rsid w:val="00C36A6E"/>
    <w:rsid w:val="00C36BB2"/>
    <w:rsid w:val="00C36CD2"/>
    <w:rsid w:val="00C36D89"/>
    <w:rsid w:val="00C36E07"/>
    <w:rsid w:val="00C36F5F"/>
    <w:rsid w:val="00C3703D"/>
    <w:rsid w:val="00C3704A"/>
    <w:rsid w:val="00C375CF"/>
    <w:rsid w:val="00C37B77"/>
    <w:rsid w:val="00C37E0E"/>
    <w:rsid w:val="00C37E52"/>
    <w:rsid w:val="00C40320"/>
    <w:rsid w:val="00C4053C"/>
    <w:rsid w:val="00C409CA"/>
    <w:rsid w:val="00C410B4"/>
    <w:rsid w:val="00C4111E"/>
    <w:rsid w:val="00C4157C"/>
    <w:rsid w:val="00C417F3"/>
    <w:rsid w:val="00C418B0"/>
    <w:rsid w:val="00C419D5"/>
    <w:rsid w:val="00C41B23"/>
    <w:rsid w:val="00C41B3C"/>
    <w:rsid w:val="00C41B8F"/>
    <w:rsid w:val="00C41C13"/>
    <w:rsid w:val="00C41C7F"/>
    <w:rsid w:val="00C41CC3"/>
    <w:rsid w:val="00C4207F"/>
    <w:rsid w:val="00C42151"/>
    <w:rsid w:val="00C4298D"/>
    <w:rsid w:val="00C429D9"/>
    <w:rsid w:val="00C42AF3"/>
    <w:rsid w:val="00C430D3"/>
    <w:rsid w:val="00C43417"/>
    <w:rsid w:val="00C4366E"/>
    <w:rsid w:val="00C43690"/>
    <w:rsid w:val="00C43810"/>
    <w:rsid w:val="00C43A4E"/>
    <w:rsid w:val="00C43A69"/>
    <w:rsid w:val="00C43CAC"/>
    <w:rsid w:val="00C43CC3"/>
    <w:rsid w:val="00C43F06"/>
    <w:rsid w:val="00C44071"/>
    <w:rsid w:val="00C440E1"/>
    <w:rsid w:val="00C441D0"/>
    <w:rsid w:val="00C448E3"/>
    <w:rsid w:val="00C44A55"/>
    <w:rsid w:val="00C44AE2"/>
    <w:rsid w:val="00C44E8D"/>
    <w:rsid w:val="00C44EC9"/>
    <w:rsid w:val="00C44F71"/>
    <w:rsid w:val="00C4511B"/>
    <w:rsid w:val="00C45166"/>
    <w:rsid w:val="00C453B6"/>
    <w:rsid w:val="00C455C6"/>
    <w:rsid w:val="00C45632"/>
    <w:rsid w:val="00C45702"/>
    <w:rsid w:val="00C45963"/>
    <w:rsid w:val="00C45AD5"/>
    <w:rsid w:val="00C46139"/>
    <w:rsid w:val="00C4614A"/>
    <w:rsid w:val="00C4661C"/>
    <w:rsid w:val="00C46A86"/>
    <w:rsid w:val="00C46B6F"/>
    <w:rsid w:val="00C46CE2"/>
    <w:rsid w:val="00C46DE1"/>
    <w:rsid w:val="00C46E85"/>
    <w:rsid w:val="00C47007"/>
    <w:rsid w:val="00C47131"/>
    <w:rsid w:val="00C473B5"/>
    <w:rsid w:val="00C474FF"/>
    <w:rsid w:val="00C47503"/>
    <w:rsid w:val="00C475F6"/>
    <w:rsid w:val="00C4773F"/>
    <w:rsid w:val="00C47ACD"/>
    <w:rsid w:val="00C47C31"/>
    <w:rsid w:val="00C47E95"/>
    <w:rsid w:val="00C47EA4"/>
    <w:rsid w:val="00C47FC6"/>
    <w:rsid w:val="00C50074"/>
    <w:rsid w:val="00C50120"/>
    <w:rsid w:val="00C501B1"/>
    <w:rsid w:val="00C50373"/>
    <w:rsid w:val="00C50393"/>
    <w:rsid w:val="00C504A2"/>
    <w:rsid w:val="00C504CC"/>
    <w:rsid w:val="00C505B6"/>
    <w:rsid w:val="00C505D7"/>
    <w:rsid w:val="00C509C7"/>
    <w:rsid w:val="00C50A2B"/>
    <w:rsid w:val="00C50A69"/>
    <w:rsid w:val="00C50BCF"/>
    <w:rsid w:val="00C50BD1"/>
    <w:rsid w:val="00C50EC0"/>
    <w:rsid w:val="00C50F58"/>
    <w:rsid w:val="00C5152C"/>
    <w:rsid w:val="00C51A1B"/>
    <w:rsid w:val="00C51A2A"/>
    <w:rsid w:val="00C51C01"/>
    <w:rsid w:val="00C51CEB"/>
    <w:rsid w:val="00C51CF7"/>
    <w:rsid w:val="00C51E52"/>
    <w:rsid w:val="00C52285"/>
    <w:rsid w:val="00C5262F"/>
    <w:rsid w:val="00C52690"/>
    <w:rsid w:val="00C527B5"/>
    <w:rsid w:val="00C52AE3"/>
    <w:rsid w:val="00C52C02"/>
    <w:rsid w:val="00C52CB5"/>
    <w:rsid w:val="00C52CD4"/>
    <w:rsid w:val="00C52EF3"/>
    <w:rsid w:val="00C52F5B"/>
    <w:rsid w:val="00C530D5"/>
    <w:rsid w:val="00C5316B"/>
    <w:rsid w:val="00C531EA"/>
    <w:rsid w:val="00C5333E"/>
    <w:rsid w:val="00C53593"/>
    <w:rsid w:val="00C535A6"/>
    <w:rsid w:val="00C5370A"/>
    <w:rsid w:val="00C537D5"/>
    <w:rsid w:val="00C539DC"/>
    <w:rsid w:val="00C53B20"/>
    <w:rsid w:val="00C53C19"/>
    <w:rsid w:val="00C53C5F"/>
    <w:rsid w:val="00C53DC2"/>
    <w:rsid w:val="00C53F72"/>
    <w:rsid w:val="00C541AF"/>
    <w:rsid w:val="00C54247"/>
    <w:rsid w:val="00C54255"/>
    <w:rsid w:val="00C547F5"/>
    <w:rsid w:val="00C54865"/>
    <w:rsid w:val="00C54B73"/>
    <w:rsid w:val="00C54C4F"/>
    <w:rsid w:val="00C54CD1"/>
    <w:rsid w:val="00C54D39"/>
    <w:rsid w:val="00C54D3B"/>
    <w:rsid w:val="00C54DC4"/>
    <w:rsid w:val="00C54DDF"/>
    <w:rsid w:val="00C54EC7"/>
    <w:rsid w:val="00C54F21"/>
    <w:rsid w:val="00C551E9"/>
    <w:rsid w:val="00C553BE"/>
    <w:rsid w:val="00C553C4"/>
    <w:rsid w:val="00C5564C"/>
    <w:rsid w:val="00C5574C"/>
    <w:rsid w:val="00C557B1"/>
    <w:rsid w:val="00C55B87"/>
    <w:rsid w:val="00C55E0F"/>
    <w:rsid w:val="00C55E6D"/>
    <w:rsid w:val="00C55F46"/>
    <w:rsid w:val="00C55FA6"/>
    <w:rsid w:val="00C55FE6"/>
    <w:rsid w:val="00C56222"/>
    <w:rsid w:val="00C56824"/>
    <w:rsid w:val="00C5692E"/>
    <w:rsid w:val="00C56A98"/>
    <w:rsid w:val="00C56CF5"/>
    <w:rsid w:val="00C56E51"/>
    <w:rsid w:val="00C56EE4"/>
    <w:rsid w:val="00C570C2"/>
    <w:rsid w:val="00C570D8"/>
    <w:rsid w:val="00C5714E"/>
    <w:rsid w:val="00C57167"/>
    <w:rsid w:val="00C57578"/>
    <w:rsid w:val="00C5769D"/>
    <w:rsid w:val="00C57762"/>
    <w:rsid w:val="00C577BB"/>
    <w:rsid w:val="00C578E2"/>
    <w:rsid w:val="00C57923"/>
    <w:rsid w:val="00C57F99"/>
    <w:rsid w:val="00C600C7"/>
    <w:rsid w:val="00C60230"/>
    <w:rsid w:val="00C602CB"/>
    <w:rsid w:val="00C6037D"/>
    <w:rsid w:val="00C604BC"/>
    <w:rsid w:val="00C60535"/>
    <w:rsid w:val="00C605A3"/>
    <w:rsid w:val="00C60A64"/>
    <w:rsid w:val="00C60BE0"/>
    <w:rsid w:val="00C60DC9"/>
    <w:rsid w:val="00C60FC3"/>
    <w:rsid w:val="00C60FF9"/>
    <w:rsid w:val="00C610BE"/>
    <w:rsid w:val="00C610C8"/>
    <w:rsid w:val="00C61121"/>
    <w:rsid w:val="00C61336"/>
    <w:rsid w:val="00C61400"/>
    <w:rsid w:val="00C6156A"/>
    <w:rsid w:val="00C6159B"/>
    <w:rsid w:val="00C61686"/>
    <w:rsid w:val="00C616ED"/>
    <w:rsid w:val="00C61718"/>
    <w:rsid w:val="00C61A47"/>
    <w:rsid w:val="00C61B69"/>
    <w:rsid w:val="00C61CF9"/>
    <w:rsid w:val="00C61CFB"/>
    <w:rsid w:val="00C61E7A"/>
    <w:rsid w:val="00C62131"/>
    <w:rsid w:val="00C6248D"/>
    <w:rsid w:val="00C6265B"/>
    <w:rsid w:val="00C629E9"/>
    <w:rsid w:val="00C62A1F"/>
    <w:rsid w:val="00C62A8E"/>
    <w:rsid w:val="00C62C0C"/>
    <w:rsid w:val="00C62D13"/>
    <w:rsid w:val="00C62E0E"/>
    <w:rsid w:val="00C63019"/>
    <w:rsid w:val="00C63048"/>
    <w:rsid w:val="00C63143"/>
    <w:rsid w:val="00C6333B"/>
    <w:rsid w:val="00C63357"/>
    <w:rsid w:val="00C637E1"/>
    <w:rsid w:val="00C63811"/>
    <w:rsid w:val="00C63BDF"/>
    <w:rsid w:val="00C63E72"/>
    <w:rsid w:val="00C63F2B"/>
    <w:rsid w:val="00C64472"/>
    <w:rsid w:val="00C6452B"/>
    <w:rsid w:val="00C6463B"/>
    <w:rsid w:val="00C6465A"/>
    <w:rsid w:val="00C646C0"/>
    <w:rsid w:val="00C64749"/>
    <w:rsid w:val="00C64762"/>
    <w:rsid w:val="00C647B8"/>
    <w:rsid w:val="00C6494F"/>
    <w:rsid w:val="00C64CF2"/>
    <w:rsid w:val="00C65110"/>
    <w:rsid w:val="00C651F2"/>
    <w:rsid w:val="00C656F6"/>
    <w:rsid w:val="00C65960"/>
    <w:rsid w:val="00C659D8"/>
    <w:rsid w:val="00C65B8E"/>
    <w:rsid w:val="00C65BB3"/>
    <w:rsid w:val="00C65BD2"/>
    <w:rsid w:val="00C65C19"/>
    <w:rsid w:val="00C66044"/>
    <w:rsid w:val="00C660DC"/>
    <w:rsid w:val="00C66322"/>
    <w:rsid w:val="00C663AF"/>
    <w:rsid w:val="00C663C8"/>
    <w:rsid w:val="00C66864"/>
    <w:rsid w:val="00C669C1"/>
    <w:rsid w:val="00C66BF4"/>
    <w:rsid w:val="00C66EF7"/>
    <w:rsid w:val="00C67044"/>
    <w:rsid w:val="00C67296"/>
    <w:rsid w:val="00C673EA"/>
    <w:rsid w:val="00C674A6"/>
    <w:rsid w:val="00C6769F"/>
    <w:rsid w:val="00C67711"/>
    <w:rsid w:val="00C678A3"/>
    <w:rsid w:val="00C67910"/>
    <w:rsid w:val="00C6796F"/>
    <w:rsid w:val="00C67988"/>
    <w:rsid w:val="00C679BB"/>
    <w:rsid w:val="00C67EAC"/>
    <w:rsid w:val="00C67FB3"/>
    <w:rsid w:val="00C70382"/>
    <w:rsid w:val="00C7077F"/>
    <w:rsid w:val="00C707CB"/>
    <w:rsid w:val="00C708AD"/>
    <w:rsid w:val="00C709B6"/>
    <w:rsid w:val="00C70D50"/>
    <w:rsid w:val="00C70D6A"/>
    <w:rsid w:val="00C70D9F"/>
    <w:rsid w:val="00C70EC1"/>
    <w:rsid w:val="00C70F6B"/>
    <w:rsid w:val="00C713C9"/>
    <w:rsid w:val="00C716D4"/>
    <w:rsid w:val="00C71745"/>
    <w:rsid w:val="00C719A1"/>
    <w:rsid w:val="00C72028"/>
    <w:rsid w:val="00C72252"/>
    <w:rsid w:val="00C7225F"/>
    <w:rsid w:val="00C722B8"/>
    <w:rsid w:val="00C72371"/>
    <w:rsid w:val="00C72485"/>
    <w:rsid w:val="00C7269D"/>
    <w:rsid w:val="00C72B9B"/>
    <w:rsid w:val="00C72D32"/>
    <w:rsid w:val="00C72DF5"/>
    <w:rsid w:val="00C730A1"/>
    <w:rsid w:val="00C730C7"/>
    <w:rsid w:val="00C731B5"/>
    <w:rsid w:val="00C731C4"/>
    <w:rsid w:val="00C732DE"/>
    <w:rsid w:val="00C7347D"/>
    <w:rsid w:val="00C7349C"/>
    <w:rsid w:val="00C736C4"/>
    <w:rsid w:val="00C736E4"/>
    <w:rsid w:val="00C73878"/>
    <w:rsid w:val="00C73AB2"/>
    <w:rsid w:val="00C73B18"/>
    <w:rsid w:val="00C73F51"/>
    <w:rsid w:val="00C745AE"/>
    <w:rsid w:val="00C748C7"/>
    <w:rsid w:val="00C74B0A"/>
    <w:rsid w:val="00C74B0D"/>
    <w:rsid w:val="00C74CBF"/>
    <w:rsid w:val="00C74D70"/>
    <w:rsid w:val="00C74D7D"/>
    <w:rsid w:val="00C750EC"/>
    <w:rsid w:val="00C75147"/>
    <w:rsid w:val="00C755DC"/>
    <w:rsid w:val="00C7578A"/>
    <w:rsid w:val="00C75A33"/>
    <w:rsid w:val="00C75BF6"/>
    <w:rsid w:val="00C75F62"/>
    <w:rsid w:val="00C761BD"/>
    <w:rsid w:val="00C7663A"/>
    <w:rsid w:val="00C766F4"/>
    <w:rsid w:val="00C76788"/>
    <w:rsid w:val="00C76A4A"/>
    <w:rsid w:val="00C76AF5"/>
    <w:rsid w:val="00C76C8C"/>
    <w:rsid w:val="00C76CB4"/>
    <w:rsid w:val="00C76D22"/>
    <w:rsid w:val="00C76D3A"/>
    <w:rsid w:val="00C76DBF"/>
    <w:rsid w:val="00C76E7E"/>
    <w:rsid w:val="00C76FB7"/>
    <w:rsid w:val="00C770C0"/>
    <w:rsid w:val="00C77521"/>
    <w:rsid w:val="00C77594"/>
    <w:rsid w:val="00C775DF"/>
    <w:rsid w:val="00C77975"/>
    <w:rsid w:val="00C77BDF"/>
    <w:rsid w:val="00C77C08"/>
    <w:rsid w:val="00C77DAE"/>
    <w:rsid w:val="00C77F87"/>
    <w:rsid w:val="00C8016F"/>
    <w:rsid w:val="00C80326"/>
    <w:rsid w:val="00C80374"/>
    <w:rsid w:val="00C803C9"/>
    <w:rsid w:val="00C80445"/>
    <w:rsid w:val="00C8065E"/>
    <w:rsid w:val="00C806A6"/>
    <w:rsid w:val="00C80A15"/>
    <w:rsid w:val="00C80AEF"/>
    <w:rsid w:val="00C80CD2"/>
    <w:rsid w:val="00C80D46"/>
    <w:rsid w:val="00C80EE3"/>
    <w:rsid w:val="00C81050"/>
    <w:rsid w:val="00C81764"/>
    <w:rsid w:val="00C81C90"/>
    <w:rsid w:val="00C81D93"/>
    <w:rsid w:val="00C81DB0"/>
    <w:rsid w:val="00C81E9A"/>
    <w:rsid w:val="00C81F57"/>
    <w:rsid w:val="00C82268"/>
    <w:rsid w:val="00C822D1"/>
    <w:rsid w:val="00C827C3"/>
    <w:rsid w:val="00C82C42"/>
    <w:rsid w:val="00C82CE5"/>
    <w:rsid w:val="00C82D97"/>
    <w:rsid w:val="00C833C7"/>
    <w:rsid w:val="00C836C0"/>
    <w:rsid w:val="00C8384D"/>
    <w:rsid w:val="00C83877"/>
    <w:rsid w:val="00C83BFC"/>
    <w:rsid w:val="00C83D2A"/>
    <w:rsid w:val="00C83E40"/>
    <w:rsid w:val="00C83EEE"/>
    <w:rsid w:val="00C83F8A"/>
    <w:rsid w:val="00C8410C"/>
    <w:rsid w:val="00C841B3"/>
    <w:rsid w:val="00C84248"/>
    <w:rsid w:val="00C842C6"/>
    <w:rsid w:val="00C843C6"/>
    <w:rsid w:val="00C84630"/>
    <w:rsid w:val="00C8478B"/>
    <w:rsid w:val="00C847A9"/>
    <w:rsid w:val="00C84886"/>
    <w:rsid w:val="00C8495B"/>
    <w:rsid w:val="00C84A2E"/>
    <w:rsid w:val="00C84B8B"/>
    <w:rsid w:val="00C84BE4"/>
    <w:rsid w:val="00C84E76"/>
    <w:rsid w:val="00C84EF2"/>
    <w:rsid w:val="00C84F78"/>
    <w:rsid w:val="00C84FA1"/>
    <w:rsid w:val="00C855E5"/>
    <w:rsid w:val="00C8577B"/>
    <w:rsid w:val="00C8593C"/>
    <w:rsid w:val="00C85C57"/>
    <w:rsid w:val="00C85D67"/>
    <w:rsid w:val="00C85DE9"/>
    <w:rsid w:val="00C85DFF"/>
    <w:rsid w:val="00C86233"/>
    <w:rsid w:val="00C8644F"/>
    <w:rsid w:val="00C865CC"/>
    <w:rsid w:val="00C866F4"/>
    <w:rsid w:val="00C8697A"/>
    <w:rsid w:val="00C86BBB"/>
    <w:rsid w:val="00C86D96"/>
    <w:rsid w:val="00C86DD6"/>
    <w:rsid w:val="00C86F43"/>
    <w:rsid w:val="00C86FA7"/>
    <w:rsid w:val="00C8707E"/>
    <w:rsid w:val="00C87129"/>
    <w:rsid w:val="00C872F3"/>
    <w:rsid w:val="00C8743B"/>
    <w:rsid w:val="00C8775C"/>
    <w:rsid w:val="00C87901"/>
    <w:rsid w:val="00C90222"/>
    <w:rsid w:val="00C90420"/>
    <w:rsid w:val="00C907D7"/>
    <w:rsid w:val="00C90817"/>
    <w:rsid w:val="00C9086C"/>
    <w:rsid w:val="00C9094D"/>
    <w:rsid w:val="00C90DBF"/>
    <w:rsid w:val="00C90F98"/>
    <w:rsid w:val="00C9103F"/>
    <w:rsid w:val="00C9148F"/>
    <w:rsid w:val="00C9158B"/>
    <w:rsid w:val="00C918FD"/>
    <w:rsid w:val="00C919F1"/>
    <w:rsid w:val="00C91B11"/>
    <w:rsid w:val="00C91B53"/>
    <w:rsid w:val="00C91C3A"/>
    <w:rsid w:val="00C91ECC"/>
    <w:rsid w:val="00C920CE"/>
    <w:rsid w:val="00C92199"/>
    <w:rsid w:val="00C92338"/>
    <w:rsid w:val="00C9250A"/>
    <w:rsid w:val="00C9250B"/>
    <w:rsid w:val="00C926B4"/>
    <w:rsid w:val="00C92855"/>
    <w:rsid w:val="00C929C0"/>
    <w:rsid w:val="00C92A83"/>
    <w:rsid w:val="00C92B9E"/>
    <w:rsid w:val="00C92CFF"/>
    <w:rsid w:val="00C92E84"/>
    <w:rsid w:val="00C92EA3"/>
    <w:rsid w:val="00C92ECA"/>
    <w:rsid w:val="00C931E5"/>
    <w:rsid w:val="00C9354F"/>
    <w:rsid w:val="00C93666"/>
    <w:rsid w:val="00C9372B"/>
    <w:rsid w:val="00C93967"/>
    <w:rsid w:val="00C93F1C"/>
    <w:rsid w:val="00C9420C"/>
    <w:rsid w:val="00C94212"/>
    <w:rsid w:val="00C9433D"/>
    <w:rsid w:val="00C9447B"/>
    <w:rsid w:val="00C94488"/>
    <w:rsid w:val="00C9478E"/>
    <w:rsid w:val="00C948AD"/>
    <w:rsid w:val="00C94A7F"/>
    <w:rsid w:val="00C94CEA"/>
    <w:rsid w:val="00C94D30"/>
    <w:rsid w:val="00C94D6A"/>
    <w:rsid w:val="00C9512F"/>
    <w:rsid w:val="00C95153"/>
    <w:rsid w:val="00C9537D"/>
    <w:rsid w:val="00C953E5"/>
    <w:rsid w:val="00C95692"/>
    <w:rsid w:val="00C958F7"/>
    <w:rsid w:val="00C95937"/>
    <w:rsid w:val="00C95DEC"/>
    <w:rsid w:val="00C95E66"/>
    <w:rsid w:val="00C95E9B"/>
    <w:rsid w:val="00C96051"/>
    <w:rsid w:val="00C963B2"/>
    <w:rsid w:val="00C963DE"/>
    <w:rsid w:val="00C969C9"/>
    <w:rsid w:val="00C96A7A"/>
    <w:rsid w:val="00C96B64"/>
    <w:rsid w:val="00C96CE6"/>
    <w:rsid w:val="00C96E39"/>
    <w:rsid w:val="00C97064"/>
    <w:rsid w:val="00C97108"/>
    <w:rsid w:val="00C972AF"/>
    <w:rsid w:val="00C973C0"/>
    <w:rsid w:val="00C9744E"/>
    <w:rsid w:val="00C974C0"/>
    <w:rsid w:val="00C9781F"/>
    <w:rsid w:val="00C9790F"/>
    <w:rsid w:val="00C9794E"/>
    <w:rsid w:val="00C97B86"/>
    <w:rsid w:val="00C9E86F"/>
    <w:rsid w:val="00CA002A"/>
    <w:rsid w:val="00CA014A"/>
    <w:rsid w:val="00CA01BC"/>
    <w:rsid w:val="00CA0232"/>
    <w:rsid w:val="00CA027B"/>
    <w:rsid w:val="00CA047C"/>
    <w:rsid w:val="00CA0561"/>
    <w:rsid w:val="00CA056B"/>
    <w:rsid w:val="00CA05DC"/>
    <w:rsid w:val="00CA076E"/>
    <w:rsid w:val="00CA0778"/>
    <w:rsid w:val="00CA07CA"/>
    <w:rsid w:val="00CA07EB"/>
    <w:rsid w:val="00CA08E9"/>
    <w:rsid w:val="00CA0900"/>
    <w:rsid w:val="00CA0A9F"/>
    <w:rsid w:val="00CA0B8C"/>
    <w:rsid w:val="00CA0BAE"/>
    <w:rsid w:val="00CA0C52"/>
    <w:rsid w:val="00CA12CF"/>
    <w:rsid w:val="00CA1722"/>
    <w:rsid w:val="00CA190C"/>
    <w:rsid w:val="00CA19AD"/>
    <w:rsid w:val="00CA1A3B"/>
    <w:rsid w:val="00CA1CD2"/>
    <w:rsid w:val="00CA1D25"/>
    <w:rsid w:val="00CA1DE5"/>
    <w:rsid w:val="00CA2006"/>
    <w:rsid w:val="00CA23A8"/>
    <w:rsid w:val="00CA2613"/>
    <w:rsid w:val="00CA2678"/>
    <w:rsid w:val="00CA26F3"/>
    <w:rsid w:val="00CA2856"/>
    <w:rsid w:val="00CA2B3D"/>
    <w:rsid w:val="00CA2D1D"/>
    <w:rsid w:val="00CA2E8F"/>
    <w:rsid w:val="00CA2E9F"/>
    <w:rsid w:val="00CA2EF1"/>
    <w:rsid w:val="00CA3478"/>
    <w:rsid w:val="00CA3889"/>
    <w:rsid w:val="00CA389E"/>
    <w:rsid w:val="00CA39EA"/>
    <w:rsid w:val="00CA3B29"/>
    <w:rsid w:val="00CA3D44"/>
    <w:rsid w:val="00CA3EC4"/>
    <w:rsid w:val="00CA4018"/>
    <w:rsid w:val="00CA410B"/>
    <w:rsid w:val="00CA432E"/>
    <w:rsid w:val="00CA4332"/>
    <w:rsid w:val="00CA4496"/>
    <w:rsid w:val="00CA450B"/>
    <w:rsid w:val="00CA4660"/>
    <w:rsid w:val="00CA46C2"/>
    <w:rsid w:val="00CA4C17"/>
    <w:rsid w:val="00CA4C98"/>
    <w:rsid w:val="00CA4D3B"/>
    <w:rsid w:val="00CA4F7B"/>
    <w:rsid w:val="00CA4FD5"/>
    <w:rsid w:val="00CA520F"/>
    <w:rsid w:val="00CA59CD"/>
    <w:rsid w:val="00CA5A79"/>
    <w:rsid w:val="00CA5C4B"/>
    <w:rsid w:val="00CA5F65"/>
    <w:rsid w:val="00CA6073"/>
    <w:rsid w:val="00CA61A6"/>
    <w:rsid w:val="00CA61E0"/>
    <w:rsid w:val="00CA621C"/>
    <w:rsid w:val="00CA633C"/>
    <w:rsid w:val="00CA684B"/>
    <w:rsid w:val="00CA6A9D"/>
    <w:rsid w:val="00CA6B37"/>
    <w:rsid w:val="00CA6BA1"/>
    <w:rsid w:val="00CA6BA8"/>
    <w:rsid w:val="00CA6D99"/>
    <w:rsid w:val="00CA6DA4"/>
    <w:rsid w:val="00CA6FB9"/>
    <w:rsid w:val="00CA7085"/>
    <w:rsid w:val="00CA70C9"/>
    <w:rsid w:val="00CA77D2"/>
    <w:rsid w:val="00CA7B47"/>
    <w:rsid w:val="00CA7CB7"/>
    <w:rsid w:val="00CA7DCC"/>
    <w:rsid w:val="00CB0284"/>
    <w:rsid w:val="00CB092E"/>
    <w:rsid w:val="00CB0947"/>
    <w:rsid w:val="00CB0F06"/>
    <w:rsid w:val="00CB10D8"/>
    <w:rsid w:val="00CB12ED"/>
    <w:rsid w:val="00CB1477"/>
    <w:rsid w:val="00CB15FF"/>
    <w:rsid w:val="00CB1638"/>
    <w:rsid w:val="00CB163D"/>
    <w:rsid w:val="00CB176E"/>
    <w:rsid w:val="00CB185D"/>
    <w:rsid w:val="00CB186A"/>
    <w:rsid w:val="00CB19E0"/>
    <w:rsid w:val="00CB1C34"/>
    <w:rsid w:val="00CB1C8F"/>
    <w:rsid w:val="00CB1DD6"/>
    <w:rsid w:val="00CB1DEB"/>
    <w:rsid w:val="00CB228E"/>
    <w:rsid w:val="00CB22E7"/>
    <w:rsid w:val="00CB2B98"/>
    <w:rsid w:val="00CB2F11"/>
    <w:rsid w:val="00CB306E"/>
    <w:rsid w:val="00CB31E3"/>
    <w:rsid w:val="00CB347B"/>
    <w:rsid w:val="00CB3976"/>
    <w:rsid w:val="00CB3BE7"/>
    <w:rsid w:val="00CB3C05"/>
    <w:rsid w:val="00CB40BC"/>
    <w:rsid w:val="00CB42F7"/>
    <w:rsid w:val="00CB435D"/>
    <w:rsid w:val="00CB43F1"/>
    <w:rsid w:val="00CB441A"/>
    <w:rsid w:val="00CB44F7"/>
    <w:rsid w:val="00CB4956"/>
    <w:rsid w:val="00CB4B91"/>
    <w:rsid w:val="00CB4C72"/>
    <w:rsid w:val="00CB4E7E"/>
    <w:rsid w:val="00CB4EC9"/>
    <w:rsid w:val="00CB4ED6"/>
    <w:rsid w:val="00CB5047"/>
    <w:rsid w:val="00CB5224"/>
    <w:rsid w:val="00CB53C9"/>
    <w:rsid w:val="00CB5A1E"/>
    <w:rsid w:val="00CB5C5F"/>
    <w:rsid w:val="00CB5E1F"/>
    <w:rsid w:val="00CB5F07"/>
    <w:rsid w:val="00CB5F6A"/>
    <w:rsid w:val="00CB6235"/>
    <w:rsid w:val="00CB6515"/>
    <w:rsid w:val="00CB6584"/>
    <w:rsid w:val="00CB66CA"/>
    <w:rsid w:val="00CB6762"/>
    <w:rsid w:val="00CB6871"/>
    <w:rsid w:val="00CB6C15"/>
    <w:rsid w:val="00CB6CED"/>
    <w:rsid w:val="00CB6CFE"/>
    <w:rsid w:val="00CB6E09"/>
    <w:rsid w:val="00CB70AA"/>
    <w:rsid w:val="00CB721A"/>
    <w:rsid w:val="00CB7317"/>
    <w:rsid w:val="00CB7396"/>
    <w:rsid w:val="00CB74C0"/>
    <w:rsid w:val="00CB7A10"/>
    <w:rsid w:val="00CB7A5C"/>
    <w:rsid w:val="00CB7C41"/>
    <w:rsid w:val="00CB7DE2"/>
    <w:rsid w:val="00CB7EBF"/>
    <w:rsid w:val="00CC021F"/>
    <w:rsid w:val="00CC0264"/>
    <w:rsid w:val="00CC0349"/>
    <w:rsid w:val="00CC0994"/>
    <w:rsid w:val="00CC0B2D"/>
    <w:rsid w:val="00CC0C64"/>
    <w:rsid w:val="00CC0E99"/>
    <w:rsid w:val="00CC1060"/>
    <w:rsid w:val="00CC1165"/>
    <w:rsid w:val="00CC12F6"/>
    <w:rsid w:val="00CC13B1"/>
    <w:rsid w:val="00CC1464"/>
    <w:rsid w:val="00CC1610"/>
    <w:rsid w:val="00CC1613"/>
    <w:rsid w:val="00CC163D"/>
    <w:rsid w:val="00CC1927"/>
    <w:rsid w:val="00CC1E18"/>
    <w:rsid w:val="00CC2287"/>
    <w:rsid w:val="00CC2340"/>
    <w:rsid w:val="00CC2464"/>
    <w:rsid w:val="00CC24AA"/>
    <w:rsid w:val="00CC267A"/>
    <w:rsid w:val="00CC2830"/>
    <w:rsid w:val="00CC2899"/>
    <w:rsid w:val="00CC2E29"/>
    <w:rsid w:val="00CC2FE1"/>
    <w:rsid w:val="00CC3172"/>
    <w:rsid w:val="00CC3698"/>
    <w:rsid w:val="00CC37A9"/>
    <w:rsid w:val="00CC3B8E"/>
    <w:rsid w:val="00CC3C0B"/>
    <w:rsid w:val="00CC3C75"/>
    <w:rsid w:val="00CC4491"/>
    <w:rsid w:val="00CC45D7"/>
    <w:rsid w:val="00CC4649"/>
    <w:rsid w:val="00CC481D"/>
    <w:rsid w:val="00CC48EE"/>
    <w:rsid w:val="00CC4B29"/>
    <w:rsid w:val="00CC4C2F"/>
    <w:rsid w:val="00CC523C"/>
    <w:rsid w:val="00CC52AE"/>
    <w:rsid w:val="00CC59D9"/>
    <w:rsid w:val="00CC5B45"/>
    <w:rsid w:val="00CC5BEE"/>
    <w:rsid w:val="00CC5C86"/>
    <w:rsid w:val="00CC5DED"/>
    <w:rsid w:val="00CC5E81"/>
    <w:rsid w:val="00CC6087"/>
    <w:rsid w:val="00CC6118"/>
    <w:rsid w:val="00CC6325"/>
    <w:rsid w:val="00CC66EB"/>
    <w:rsid w:val="00CC699A"/>
    <w:rsid w:val="00CC6C98"/>
    <w:rsid w:val="00CC6CEA"/>
    <w:rsid w:val="00CC6FF4"/>
    <w:rsid w:val="00CC7268"/>
    <w:rsid w:val="00CC7486"/>
    <w:rsid w:val="00CC7BD9"/>
    <w:rsid w:val="00CC7D43"/>
    <w:rsid w:val="00CD0030"/>
    <w:rsid w:val="00CD006F"/>
    <w:rsid w:val="00CD00CE"/>
    <w:rsid w:val="00CD02A1"/>
    <w:rsid w:val="00CD0307"/>
    <w:rsid w:val="00CD035E"/>
    <w:rsid w:val="00CD0B3A"/>
    <w:rsid w:val="00CD0C42"/>
    <w:rsid w:val="00CD0D8B"/>
    <w:rsid w:val="00CD0E96"/>
    <w:rsid w:val="00CD10AA"/>
    <w:rsid w:val="00CD1344"/>
    <w:rsid w:val="00CD134C"/>
    <w:rsid w:val="00CD14F4"/>
    <w:rsid w:val="00CD1505"/>
    <w:rsid w:val="00CD1F10"/>
    <w:rsid w:val="00CD222C"/>
    <w:rsid w:val="00CD24C6"/>
    <w:rsid w:val="00CD24E7"/>
    <w:rsid w:val="00CD261E"/>
    <w:rsid w:val="00CD26F2"/>
    <w:rsid w:val="00CD29B1"/>
    <w:rsid w:val="00CD2AF3"/>
    <w:rsid w:val="00CD3013"/>
    <w:rsid w:val="00CD30AF"/>
    <w:rsid w:val="00CD333D"/>
    <w:rsid w:val="00CD33FE"/>
    <w:rsid w:val="00CD35C9"/>
    <w:rsid w:val="00CD3D1B"/>
    <w:rsid w:val="00CD3D4C"/>
    <w:rsid w:val="00CD3DB0"/>
    <w:rsid w:val="00CD3E2D"/>
    <w:rsid w:val="00CD4272"/>
    <w:rsid w:val="00CD43DA"/>
    <w:rsid w:val="00CD4633"/>
    <w:rsid w:val="00CD4997"/>
    <w:rsid w:val="00CD4B7A"/>
    <w:rsid w:val="00CD4CB8"/>
    <w:rsid w:val="00CD4CC7"/>
    <w:rsid w:val="00CD4DE2"/>
    <w:rsid w:val="00CD4F4A"/>
    <w:rsid w:val="00CD5031"/>
    <w:rsid w:val="00CD5276"/>
    <w:rsid w:val="00CD5495"/>
    <w:rsid w:val="00CD5658"/>
    <w:rsid w:val="00CD58AD"/>
    <w:rsid w:val="00CD5A20"/>
    <w:rsid w:val="00CD5B5D"/>
    <w:rsid w:val="00CD5C9A"/>
    <w:rsid w:val="00CD5F74"/>
    <w:rsid w:val="00CD6128"/>
    <w:rsid w:val="00CD6524"/>
    <w:rsid w:val="00CD65D8"/>
    <w:rsid w:val="00CD6B04"/>
    <w:rsid w:val="00CD6B97"/>
    <w:rsid w:val="00CD6E14"/>
    <w:rsid w:val="00CD6E79"/>
    <w:rsid w:val="00CD70E8"/>
    <w:rsid w:val="00CD7759"/>
    <w:rsid w:val="00CD7A95"/>
    <w:rsid w:val="00CD7C81"/>
    <w:rsid w:val="00CD7D26"/>
    <w:rsid w:val="00CD7D89"/>
    <w:rsid w:val="00CD7E1F"/>
    <w:rsid w:val="00CE0119"/>
    <w:rsid w:val="00CE0194"/>
    <w:rsid w:val="00CE01E5"/>
    <w:rsid w:val="00CE023D"/>
    <w:rsid w:val="00CE0322"/>
    <w:rsid w:val="00CE0548"/>
    <w:rsid w:val="00CE063E"/>
    <w:rsid w:val="00CE0693"/>
    <w:rsid w:val="00CE083B"/>
    <w:rsid w:val="00CE083F"/>
    <w:rsid w:val="00CE0B95"/>
    <w:rsid w:val="00CE0BEE"/>
    <w:rsid w:val="00CE0C2B"/>
    <w:rsid w:val="00CE13E9"/>
    <w:rsid w:val="00CE15E8"/>
    <w:rsid w:val="00CE17CD"/>
    <w:rsid w:val="00CE1C67"/>
    <w:rsid w:val="00CE1F68"/>
    <w:rsid w:val="00CE1F82"/>
    <w:rsid w:val="00CE2079"/>
    <w:rsid w:val="00CE22C6"/>
    <w:rsid w:val="00CE22C8"/>
    <w:rsid w:val="00CE25AA"/>
    <w:rsid w:val="00CE27C2"/>
    <w:rsid w:val="00CE29D8"/>
    <w:rsid w:val="00CE2C4F"/>
    <w:rsid w:val="00CE2CFC"/>
    <w:rsid w:val="00CE348A"/>
    <w:rsid w:val="00CE363F"/>
    <w:rsid w:val="00CE39B6"/>
    <w:rsid w:val="00CE39F2"/>
    <w:rsid w:val="00CE3BB3"/>
    <w:rsid w:val="00CE3D6A"/>
    <w:rsid w:val="00CE4346"/>
    <w:rsid w:val="00CE43B9"/>
    <w:rsid w:val="00CE44D2"/>
    <w:rsid w:val="00CE46F0"/>
    <w:rsid w:val="00CE48B1"/>
    <w:rsid w:val="00CE4957"/>
    <w:rsid w:val="00CE49FC"/>
    <w:rsid w:val="00CE4B99"/>
    <w:rsid w:val="00CE4EA5"/>
    <w:rsid w:val="00CE4EFE"/>
    <w:rsid w:val="00CE4F09"/>
    <w:rsid w:val="00CE4F55"/>
    <w:rsid w:val="00CE4F85"/>
    <w:rsid w:val="00CE5150"/>
    <w:rsid w:val="00CE51D4"/>
    <w:rsid w:val="00CE5349"/>
    <w:rsid w:val="00CE5406"/>
    <w:rsid w:val="00CE56CA"/>
    <w:rsid w:val="00CE5908"/>
    <w:rsid w:val="00CE593B"/>
    <w:rsid w:val="00CE5ABD"/>
    <w:rsid w:val="00CE5B48"/>
    <w:rsid w:val="00CE5DF6"/>
    <w:rsid w:val="00CE5F33"/>
    <w:rsid w:val="00CE6053"/>
    <w:rsid w:val="00CE60B0"/>
    <w:rsid w:val="00CE6649"/>
    <w:rsid w:val="00CE6689"/>
    <w:rsid w:val="00CE6758"/>
    <w:rsid w:val="00CE67C1"/>
    <w:rsid w:val="00CE68A1"/>
    <w:rsid w:val="00CE68B9"/>
    <w:rsid w:val="00CE6923"/>
    <w:rsid w:val="00CE694B"/>
    <w:rsid w:val="00CE6C0A"/>
    <w:rsid w:val="00CE6C99"/>
    <w:rsid w:val="00CE6FA5"/>
    <w:rsid w:val="00CE70E7"/>
    <w:rsid w:val="00CE7156"/>
    <w:rsid w:val="00CE7637"/>
    <w:rsid w:val="00CE77A1"/>
    <w:rsid w:val="00CE77FA"/>
    <w:rsid w:val="00CE7925"/>
    <w:rsid w:val="00CE7927"/>
    <w:rsid w:val="00CE795F"/>
    <w:rsid w:val="00CE7A00"/>
    <w:rsid w:val="00CE7AE0"/>
    <w:rsid w:val="00CE7BF9"/>
    <w:rsid w:val="00CE7C2C"/>
    <w:rsid w:val="00CE7F6D"/>
    <w:rsid w:val="00CF01D6"/>
    <w:rsid w:val="00CF0297"/>
    <w:rsid w:val="00CF02DB"/>
    <w:rsid w:val="00CF0341"/>
    <w:rsid w:val="00CF0344"/>
    <w:rsid w:val="00CF0561"/>
    <w:rsid w:val="00CF068D"/>
    <w:rsid w:val="00CF0747"/>
    <w:rsid w:val="00CF07BA"/>
    <w:rsid w:val="00CF0ACA"/>
    <w:rsid w:val="00CF0B11"/>
    <w:rsid w:val="00CF0BF6"/>
    <w:rsid w:val="00CF0CE0"/>
    <w:rsid w:val="00CF0ED4"/>
    <w:rsid w:val="00CF0FBB"/>
    <w:rsid w:val="00CF13B0"/>
    <w:rsid w:val="00CF146C"/>
    <w:rsid w:val="00CF17A5"/>
    <w:rsid w:val="00CF186A"/>
    <w:rsid w:val="00CF192A"/>
    <w:rsid w:val="00CF1B15"/>
    <w:rsid w:val="00CF1BFE"/>
    <w:rsid w:val="00CF1CE7"/>
    <w:rsid w:val="00CF1D73"/>
    <w:rsid w:val="00CF202A"/>
    <w:rsid w:val="00CF210D"/>
    <w:rsid w:val="00CF2474"/>
    <w:rsid w:val="00CF2545"/>
    <w:rsid w:val="00CF280E"/>
    <w:rsid w:val="00CF286C"/>
    <w:rsid w:val="00CF28FD"/>
    <w:rsid w:val="00CF292B"/>
    <w:rsid w:val="00CF29CA"/>
    <w:rsid w:val="00CF2A6A"/>
    <w:rsid w:val="00CF2B73"/>
    <w:rsid w:val="00CF2C00"/>
    <w:rsid w:val="00CF3009"/>
    <w:rsid w:val="00CF3411"/>
    <w:rsid w:val="00CF34EF"/>
    <w:rsid w:val="00CF3512"/>
    <w:rsid w:val="00CF37A5"/>
    <w:rsid w:val="00CF37B7"/>
    <w:rsid w:val="00CF38B9"/>
    <w:rsid w:val="00CF3A2D"/>
    <w:rsid w:val="00CF4238"/>
    <w:rsid w:val="00CF43C5"/>
    <w:rsid w:val="00CF4530"/>
    <w:rsid w:val="00CF4586"/>
    <w:rsid w:val="00CF4B6B"/>
    <w:rsid w:val="00CF4BB6"/>
    <w:rsid w:val="00CF4E87"/>
    <w:rsid w:val="00CF53E6"/>
    <w:rsid w:val="00CF58AE"/>
    <w:rsid w:val="00CF5D06"/>
    <w:rsid w:val="00CF5D1E"/>
    <w:rsid w:val="00CF63FB"/>
    <w:rsid w:val="00CF6721"/>
    <w:rsid w:val="00CF6A00"/>
    <w:rsid w:val="00CF6BDF"/>
    <w:rsid w:val="00CF6C07"/>
    <w:rsid w:val="00CF6C1C"/>
    <w:rsid w:val="00CF6D7F"/>
    <w:rsid w:val="00CF6EC4"/>
    <w:rsid w:val="00CF6F6D"/>
    <w:rsid w:val="00CF701D"/>
    <w:rsid w:val="00CF7134"/>
    <w:rsid w:val="00CF715A"/>
    <w:rsid w:val="00CF7387"/>
    <w:rsid w:val="00CF762D"/>
    <w:rsid w:val="00CF766D"/>
    <w:rsid w:val="00CF7761"/>
    <w:rsid w:val="00CF782C"/>
    <w:rsid w:val="00CF78DE"/>
    <w:rsid w:val="00CF7AE1"/>
    <w:rsid w:val="00CF7B3C"/>
    <w:rsid w:val="00CF7C20"/>
    <w:rsid w:val="00CF7E11"/>
    <w:rsid w:val="00CF7EB2"/>
    <w:rsid w:val="00CF7F9A"/>
    <w:rsid w:val="00D003DD"/>
    <w:rsid w:val="00D004A7"/>
    <w:rsid w:val="00D00561"/>
    <w:rsid w:val="00D00588"/>
    <w:rsid w:val="00D005AD"/>
    <w:rsid w:val="00D00A92"/>
    <w:rsid w:val="00D01142"/>
    <w:rsid w:val="00D01159"/>
    <w:rsid w:val="00D0134D"/>
    <w:rsid w:val="00D014F0"/>
    <w:rsid w:val="00D01591"/>
    <w:rsid w:val="00D01715"/>
    <w:rsid w:val="00D0194B"/>
    <w:rsid w:val="00D01D18"/>
    <w:rsid w:val="00D01EBE"/>
    <w:rsid w:val="00D01FCE"/>
    <w:rsid w:val="00D020EF"/>
    <w:rsid w:val="00D0212F"/>
    <w:rsid w:val="00D024B0"/>
    <w:rsid w:val="00D024DC"/>
    <w:rsid w:val="00D02663"/>
    <w:rsid w:val="00D026E8"/>
    <w:rsid w:val="00D028FF"/>
    <w:rsid w:val="00D0334D"/>
    <w:rsid w:val="00D03435"/>
    <w:rsid w:val="00D034BC"/>
    <w:rsid w:val="00D03573"/>
    <w:rsid w:val="00D0369A"/>
    <w:rsid w:val="00D03A67"/>
    <w:rsid w:val="00D03BE8"/>
    <w:rsid w:val="00D04029"/>
    <w:rsid w:val="00D04438"/>
    <w:rsid w:val="00D045C8"/>
    <w:rsid w:val="00D04C93"/>
    <w:rsid w:val="00D05150"/>
    <w:rsid w:val="00D056CB"/>
    <w:rsid w:val="00D0587A"/>
    <w:rsid w:val="00D05A84"/>
    <w:rsid w:val="00D05AE9"/>
    <w:rsid w:val="00D05DDD"/>
    <w:rsid w:val="00D0633E"/>
    <w:rsid w:val="00D0656D"/>
    <w:rsid w:val="00D067FD"/>
    <w:rsid w:val="00D06C49"/>
    <w:rsid w:val="00D06CFF"/>
    <w:rsid w:val="00D06E0A"/>
    <w:rsid w:val="00D06E5C"/>
    <w:rsid w:val="00D06E8C"/>
    <w:rsid w:val="00D073DA"/>
    <w:rsid w:val="00D0744E"/>
    <w:rsid w:val="00D0746E"/>
    <w:rsid w:val="00D07480"/>
    <w:rsid w:val="00D074B2"/>
    <w:rsid w:val="00D0798D"/>
    <w:rsid w:val="00D07C2C"/>
    <w:rsid w:val="00D1022F"/>
    <w:rsid w:val="00D10A2F"/>
    <w:rsid w:val="00D10A9F"/>
    <w:rsid w:val="00D10ACF"/>
    <w:rsid w:val="00D10BD1"/>
    <w:rsid w:val="00D10D22"/>
    <w:rsid w:val="00D11157"/>
    <w:rsid w:val="00D11395"/>
    <w:rsid w:val="00D11500"/>
    <w:rsid w:val="00D11584"/>
    <w:rsid w:val="00D1196C"/>
    <w:rsid w:val="00D11BF3"/>
    <w:rsid w:val="00D11E7F"/>
    <w:rsid w:val="00D121C9"/>
    <w:rsid w:val="00D12315"/>
    <w:rsid w:val="00D126A4"/>
    <w:rsid w:val="00D12712"/>
    <w:rsid w:val="00D127C3"/>
    <w:rsid w:val="00D1280F"/>
    <w:rsid w:val="00D1288B"/>
    <w:rsid w:val="00D128A4"/>
    <w:rsid w:val="00D12B40"/>
    <w:rsid w:val="00D12C7F"/>
    <w:rsid w:val="00D12E74"/>
    <w:rsid w:val="00D13061"/>
    <w:rsid w:val="00D1341D"/>
    <w:rsid w:val="00D134CC"/>
    <w:rsid w:val="00D1368C"/>
    <w:rsid w:val="00D138A6"/>
    <w:rsid w:val="00D13A62"/>
    <w:rsid w:val="00D13AE1"/>
    <w:rsid w:val="00D13D77"/>
    <w:rsid w:val="00D13E93"/>
    <w:rsid w:val="00D14126"/>
    <w:rsid w:val="00D14431"/>
    <w:rsid w:val="00D1458F"/>
    <w:rsid w:val="00D146B6"/>
    <w:rsid w:val="00D14731"/>
    <w:rsid w:val="00D14BA1"/>
    <w:rsid w:val="00D14DC2"/>
    <w:rsid w:val="00D14E95"/>
    <w:rsid w:val="00D14F0C"/>
    <w:rsid w:val="00D14F61"/>
    <w:rsid w:val="00D15042"/>
    <w:rsid w:val="00D15234"/>
    <w:rsid w:val="00D15255"/>
    <w:rsid w:val="00D1544F"/>
    <w:rsid w:val="00D155B7"/>
    <w:rsid w:val="00D15645"/>
    <w:rsid w:val="00D15752"/>
    <w:rsid w:val="00D15767"/>
    <w:rsid w:val="00D15802"/>
    <w:rsid w:val="00D15955"/>
    <w:rsid w:val="00D15D64"/>
    <w:rsid w:val="00D15F95"/>
    <w:rsid w:val="00D15FD4"/>
    <w:rsid w:val="00D1601F"/>
    <w:rsid w:val="00D1616A"/>
    <w:rsid w:val="00D16318"/>
    <w:rsid w:val="00D163CC"/>
    <w:rsid w:val="00D166E6"/>
    <w:rsid w:val="00D16930"/>
    <w:rsid w:val="00D169A6"/>
    <w:rsid w:val="00D16A2E"/>
    <w:rsid w:val="00D16D44"/>
    <w:rsid w:val="00D17242"/>
    <w:rsid w:val="00D173C9"/>
    <w:rsid w:val="00D177E2"/>
    <w:rsid w:val="00D17A4D"/>
    <w:rsid w:val="00D17AE7"/>
    <w:rsid w:val="00D17FBC"/>
    <w:rsid w:val="00D20028"/>
    <w:rsid w:val="00D208E1"/>
    <w:rsid w:val="00D20A8B"/>
    <w:rsid w:val="00D20D76"/>
    <w:rsid w:val="00D20F68"/>
    <w:rsid w:val="00D21001"/>
    <w:rsid w:val="00D215C6"/>
    <w:rsid w:val="00D2177F"/>
    <w:rsid w:val="00D21966"/>
    <w:rsid w:val="00D219F3"/>
    <w:rsid w:val="00D21BB9"/>
    <w:rsid w:val="00D21FD4"/>
    <w:rsid w:val="00D221CD"/>
    <w:rsid w:val="00D22223"/>
    <w:rsid w:val="00D222AE"/>
    <w:rsid w:val="00D22750"/>
    <w:rsid w:val="00D22827"/>
    <w:rsid w:val="00D2287F"/>
    <w:rsid w:val="00D228D7"/>
    <w:rsid w:val="00D2297B"/>
    <w:rsid w:val="00D22BD0"/>
    <w:rsid w:val="00D22C8C"/>
    <w:rsid w:val="00D22D16"/>
    <w:rsid w:val="00D22D9E"/>
    <w:rsid w:val="00D230A5"/>
    <w:rsid w:val="00D2312F"/>
    <w:rsid w:val="00D231FC"/>
    <w:rsid w:val="00D23241"/>
    <w:rsid w:val="00D23329"/>
    <w:rsid w:val="00D2340A"/>
    <w:rsid w:val="00D23606"/>
    <w:rsid w:val="00D23716"/>
    <w:rsid w:val="00D23B04"/>
    <w:rsid w:val="00D23B36"/>
    <w:rsid w:val="00D2403C"/>
    <w:rsid w:val="00D24302"/>
    <w:rsid w:val="00D24335"/>
    <w:rsid w:val="00D245F2"/>
    <w:rsid w:val="00D2487B"/>
    <w:rsid w:val="00D24A1C"/>
    <w:rsid w:val="00D24B27"/>
    <w:rsid w:val="00D24E60"/>
    <w:rsid w:val="00D2504C"/>
    <w:rsid w:val="00D25135"/>
    <w:rsid w:val="00D251BE"/>
    <w:rsid w:val="00D25219"/>
    <w:rsid w:val="00D25367"/>
    <w:rsid w:val="00D25657"/>
    <w:rsid w:val="00D25C58"/>
    <w:rsid w:val="00D25E42"/>
    <w:rsid w:val="00D26160"/>
    <w:rsid w:val="00D2623F"/>
    <w:rsid w:val="00D26579"/>
    <w:rsid w:val="00D269C1"/>
    <w:rsid w:val="00D26A45"/>
    <w:rsid w:val="00D26C0F"/>
    <w:rsid w:val="00D26CB9"/>
    <w:rsid w:val="00D2711C"/>
    <w:rsid w:val="00D27242"/>
    <w:rsid w:val="00D272D2"/>
    <w:rsid w:val="00D27715"/>
    <w:rsid w:val="00D277CC"/>
    <w:rsid w:val="00D2784B"/>
    <w:rsid w:val="00D27944"/>
    <w:rsid w:val="00D27CE0"/>
    <w:rsid w:val="00D27E6A"/>
    <w:rsid w:val="00D27F0A"/>
    <w:rsid w:val="00D27FA8"/>
    <w:rsid w:val="00D29413"/>
    <w:rsid w:val="00D300B0"/>
    <w:rsid w:val="00D30129"/>
    <w:rsid w:val="00D30398"/>
    <w:rsid w:val="00D303BC"/>
    <w:rsid w:val="00D30524"/>
    <w:rsid w:val="00D30C21"/>
    <w:rsid w:val="00D30D71"/>
    <w:rsid w:val="00D30D7B"/>
    <w:rsid w:val="00D30E95"/>
    <w:rsid w:val="00D30FE7"/>
    <w:rsid w:val="00D3144A"/>
    <w:rsid w:val="00D31758"/>
    <w:rsid w:val="00D31762"/>
    <w:rsid w:val="00D319A0"/>
    <w:rsid w:val="00D31C91"/>
    <w:rsid w:val="00D32398"/>
    <w:rsid w:val="00D3293B"/>
    <w:rsid w:val="00D32A08"/>
    <w:rsid w:val="00D32B52"/>
    <w:rsid w:val="00D331D1"/>
    <w:rsid w:val="00D333CD"/>
    <w:rsid w:val="00D337E1"/>
    <w:rsid w:val="00D33865"/>
    <w:rsid w:val="00D33897"/>
    <w:rsid w:val="00D33C19"/>
    <w:rsid w:val="00D33D72"/>
    <w:rsid w:val="00D33DCC"/>
    <w:rsid w:val="00D3421E"/>
    <w:rsid w:val="00D342DE"/>
    <w:rsid w:val="00D34443"/>
    <w:rsid w:val="00D3463F"/>
    <w:rsid w:val="00D34741"/>
    <w:rsid w:val="00D347C5"/>
    <w:rsid w:val="00D34B71"/>
    <w:rsid w:val="00D34CAF"/>
    <w:rsid w:val="00D35138"/>
    <w:rsid w:val="00D35157"/>
    <w:rsid w:val="00D35405"/>
    <w:rsid w:val="00D35475"/>
    <w:rsid w:val="00D355A0"/>
    <w:rsid w:val="00D355D2"/>
    <w:rsid w:val="00D35CBA"/>
    <w:rsid w:val="00D36541"/>
    <w:rsid w:val="00D368A9"/>
    <w:rsid w:val="00D36960"/>
    <w:rsid w:val="00D36AD7"/>
    <w:rsid w:val="00D36D3F"/>
    <w:rsid w:val="00D36D4E"/>
    <w:rsid w:val="00D36E5F"/>
    <w:rsid w:val="00D37187"/>
    <w:rsid w:val="00D371B7"/>
    <w:rsid w:val="00D37B51"/>
    <w:rsid w:val="00D40033"/>
    <w:rsid w:val="00D4021C"/>
    <w:rsid w:val="00D4036C"/>
    <w:rsid w:val="00D404F6"/>
    <w:rsid w:val="00D407F1"/>
    <w:rsid w:val="00D4083F"/>
    <w:rsid w:val="00D40853"/>
    <w:rsid w:val="00D40981"/>
    <w:rsid w:val="00D40B10"/>
    <w:rsid w:val="00D40B9E"/>
    <w:rsid w:val="00D40D8B"/>
    <w:rsid w:val="00D40F76"/>
    <w:rsid w:val="00D4109C"/>
    <w:rsid w:val="00D410D0"/>
    <w:rsid w:val="00D411B0"/>
    <w:rsid w:val="00D4124D"/>
    <w:rsid w:val="00D41B2F"/>
    <w:rsid w:val="00D41C42"/>
    <w:rsid w:val="00D41C78"/>
    <w:rsid w:val="00D41E38"/>
    <w:rsid w:val="00D41EC5"/>
    <w:rsid w:val="00D42098"/>
    <w:rsid w:val="00D42259"/>
    <w:rsid w:val="00D4245F"/>
    <w:rsid w:val="00D4292B"/>
    <w:rsid w:val="00D42DEC"/>
    <w:rsid w:val="00D42E90"/>
    <w:rsid w:val="00D43024"/>
    <w:rsid w:val="00D435FB"/>
    <w:rsid w:val="00D43659"/>
    <w:rsid w:val="00D43CAB"/>
    <w:rsid w:val="00D43D8D"/>
    <w:rsid w:val="00D43DCF"/>
    <w:rsid w:val="00D43F5C"/>
    <w:rsid w:val="00D440E9"/>
    <w:rsid w:val="00D44254"/>
    <w:rsid w:val="00D442AE"/>
    <w:rsid w:val="00D44454"/>
    <w:rsid w:val="00D444DF"/>
    <w:rsid w:val="00D448C5"/>
    <w:rsid w:val="00D44953"/>
    <w:rsid w:val="00D44972"/>
    <w:rsid w:val="00D44DCA"/>
    <w:rsid w:val="00D44F38"/>
    <w:rsid w:val="00D45191"/>
    <w:rsid w:val="00D4539D"/>
    <w:rsid w:val="00D4541D"/>
    <w:rsid w:val="00D45593"/>
    <w:rsid w:val="00D45604"/>
    <w:rsid w:val="00D45757"/>
    <w:rsid w:val="00D45784"/>
    <w:rsid w:val="00D457BB"/>
    <w:rsid w:val="00D459BB"/>
    <w:rsid w:val="00D45E2C"/>
    <w:rsid w:val="00D45EB9"/>
    <w:rsid w:val="00D46271"/>
    <w:rsid w:val="00D46611"/>
    <w:rsid w:val="00D4662E"/>
    <w:rsid w:val="00D46A3C"/>
    <w:rsid w:val="00D46ABE"/>
    <w:rsid w:val="00D46B74"/>
    <w:rsid w:val="00D46CD5"/>
    <w:rsid w:val="00D46DF4"/>
    <w:rsid w:val="00D47013"/>
    <w:rsid w:val="00D471D9"/>
    <w:rsid w:val="00D472CE"/>
    <w:rsid w:val="00D473DF"/>
    <w:rsid w:val="00D47413"/>
    <w:rsid w:val="00D47433"/>
    <w:rsid w:val="00D477EF"/>
    <w:rsid w:val="00D47832"/>
    <w:rsid w:val="00D479D6"/>
    <w:rsid w:val="00D47A9B"/>
    <w:rsid w:val="00D47AC8"/>
    <w:rsid w:val="00D47C97"/>
    <w:rsid w:val="00D47D7D"/>
    <w:rsid w:val="00D50037"/>
    <w:rsid w:val="00D5030E"/>
    <w:rsid w:val="00D5031F"/>
    <w:rsid w:val="00D50492"/>
    <w:rsid w:val="00D5069D"/>
    <w:rsid w:val="00D507BB"/>
    <w:rsid w:val="00D50A2B"/>
    <w:rsid w:val="00D50B02"/>
    <w:rsid w:val="00D50FA0"/>
    <w:rsid w:val="00D5140D"/>
    <w:rsid w:val="00D514C7"/>
    <w:rsid w:val="00D51610"/>
    <w:rsid w:val="00D51738"/>
    <w:rsid w:val="00D5178C"/>
    <w:rsid w:val="00D5186E"/>
    <w:rsid w:val="00D518E4"/>
    <w:rsid w:val="00D51C10"/>
    <w:rsid w:val="00D51FF2"/>
    <w:rsid w:val="00D521DC"/>
    <w:rsid w:val="00D52309"/>
    <w:rsid w:val="00D52363"/>
    <w:rsid w:val="00D524D9"/>
    <w:rsid w:val="00D525F9"/>
    <w:rsid w:val="00D52685"/>
    <w:rsid w:val="00D52695"/>
    <w:rsid w:val="00D52765"/>
    <w:rsid w:val="00D528B2"/>
    <w:rsid w:val="00D528FE"/>
    <w:rsid w:val="00D5295E"/>
    <w:rsid w:val="00D52C12"/>
    <w:rsid w:val="00D52D1E"/>
    <w:rsid w:val="00D52DC5"/>
    <w:rsid w:val="00D52DFA"/>
    <w:rsid w:val="00D52E5B"/>
    <w:rsid w:val="00D52F3E"/>
    <w:rsid w:val="00D52FB3"/>
    <w:rsid w:val="00D531C9"/>
    <w:rsid w:val="00D53233"/>
    <w:rsid w:val="00D53342"/>
    <w:rsid w:val="00D5341F"/>
    <w:rsid w:val="00D53E7C"/>
    <w:rsid w:val="00D54263"/>
    <w:rsid w:val="00D542F3"/>
    <w:rsid w:val="00D543F0"/>
    <w:rsid w:val="00D54513"/>
    <w:rsid w:val="00D54881"/>
    <w:rsid w:val="00D54AA4"/>
    <w:rsid w:val="00D54AAE"/>
    <w:rsid w:val="00D54B0B"/>
    <w:rsid w:val="00D54B97"/>
    <w:rsid w:val="00D54C7F"/>
    <w:rsid w:val="00D54FBA"/>
    <w:rsid w:val="00D552A8"/>
    <w:rsid w:val="00D554C7"/>
    <w:rsid w:val="00D55A51"/>
    <w:rsid w:val="00D55B37"/>
    <w:rsid w:val="00D55B83"/>
    <w:rsid w:val="00D55BF1"/>
    <w:rsid w:val="00D55C42"/>
    <w:rsid w:val="00D55E5F"/>
    <w:rsid w:val="00D5602C"/>
    <w:rsid w:val="00D56184"/>
    <w:rsid w:val="00D5644B"/>
    <w:rsid w:val="00D56755"/>
    <w:rsid w:val="00D567B1"/>
    <w:rsid w:val="00D56826"/>
    <w:rsid w:val="00D569B0"/>
    <w:rsid w:val="00D56BEC"/>
    <w:rsid w:val="00D56D38"/>
    <w:rsid w:val="00D56E25"/>
    <w:rsid w:val="00D57129"/>
    <w:rsid w:val="00D574EF"/>
    <w:rsid w:val="00D57817"/>
    <w:rsid w:val="00D57AB7"/>
    <w:rsid w:val="00D57CCE"/>
    <w:rsid w:val="00D57DD1"/>
    <w:rsid w:val="00D57E83"/>
    <w:rsid w:val="00D57E89"/>
    <w:rsid w:val="00D588C4"/>
    <w:rsid w:val="00D60108"/>
    <w:rsid w:val="00D6013A"/>
    <w:rsid w:val="00D606EE"/>
    <w:rsid w:val="00D6084A"/>
    <w:rsid w:val="00D608B3"/>
    <w:rsid w:val="00D6093F"/>
    <w:rsid w:val="00D60C9D"/>
    <w:rsid w:val="00D60D77"/>
    <w:rsid w:val="00D60D82"/>
    <w:rsid w:val="00D60E1A"/>
    <w:rsid w:val="00D60EDE"/>
    <w:rsid w:val="00D610D5"/>
    <w:rsid w:val="00D61120"/>
    <w:rsid w:val="00D61219"/>
    <w:rsid w:val="00D6124B"/>
    <w:rsid w:val="00D61435"/>
    <w:rsid w:val="00D61449"/>
    <w:rsid w:val="00D61530"/>
    <w:rsid w:val="00D617E0"/>
    <w:rsid w:val="00D619B2"/>
    <w:rsid w:val="00D619D1"/>
    <w:rsid w:val="00D61AF0"/>
    <w:rsid w:val="00D61BB3"/>
    <w:rsid w:val="00D61C3E"/>
    <w:rsid w:val="00D62378"/>
    <w:rsid w:val="00D6243D"/>
    <w:rsid w:val="00D6265B"/>
    <w:rsid w:val="00D628DF"/>
    <w:rsid w:val="00D62FA6"/>
    <w:rsid w:val="00D630DE"/>
    <w:rsid w:val="00D6342C"/>
    <w:rsid w:val="00D634BE"/>
    <w:rsid w:val="00D63856"/>
    <w:rsid w:val="00D63B37"/>
    <w:rsid w:val="00D63C15"/>
    <w:rsid w:val="00D63C2F"/>
    <w:rsid w:val="00D63C37"/>
    <w:rsid w:val="00D63E1E"/>
    <w:rsid w:val="00D63F92"/>
    <w:rsid w:val="00D64137"/>
    <w:rsid w:val="00D645F5"/>
    <w:rsid w:val="00D64718"/>
    <w:rsid w:val="00D64B4A"/>
    <w:rsid w:val="00D64C00"/>
    <w:rsid w:val="00D64D0F"/>
    <w:rsid w:val="00D64DBD"/>
    <w:rsid w:val="00D64E64"/>
    <w:rsid w:val="00D65281"/>
    <w:rsid w:val="00D65289"/>
    <w:rsid w:val="00D653BA"/>
    <w:rsid w:val="00D653D6"/>
    <w:rsid w:val="00D65463"/>
    <w:rsid w:val="00D654D2"/>
    <w:rsid w:val="00D655DA"/>
    <w:rsid w:val="00D6560D"/>
    <w:rsid w:val="00D65617"/>
    <w:rsid w:val="00D656F0"/>
    <w:rsid w:val="00D65A21"/>
    <w:rsid w:val="00D65C4E"/>
    <w:rsid w:val="00D65D77"/>
    <w:rsid w:val="00D65F94"/>
    <w:rsid w:val="00D65F98"/>
    <w:rsid w:val="00D65FDA"/>
    <w:rsid w:val="00D662E0"/>
    <w:rsid w:val="00D664D3"/>
    <w:rsid w:val="00D6660F"/>
    <w:rsid w:val="00D6690D"/>
    <w:rsid w:val="00D66A40"/>
    <w:rsid w:val="00D66B44"/>
    <w:rsid w:val="00D66DF0"/>
    <w:rsid w:val="00D67002"/>
    <w:rsid w:val="00D6715F"/>
    <w:rsid w:val="00D67179"/>
    <w:rsid w:val="00D67643"/>
    <w:rsid w:val="00D67AFA"/>
    <w:rsid w:val="00D67F7F"/>
    <w:rsid w:val="00D7015C"/>
    <w:rsid w:val="00D703AC"/>
    <w:rsid w:val="00D7040C"/>
    <w:rsid w:val="00D704A9"/>
    <w:rsid w:val="00D70667"/>
    <w:rsid w:val="00D70752"/>
    <w:rsid w:val="00D7083C"/>
    <w:rsid w:val="00D70921"/>
    <w:rsid w:val="00D70927"/>
    <w:rsid w:val="00D70CC2"/>
    <w:rsid w:val="00D70D31"/>
    <w:rsid w:val="00D70F27"/>
    <w:rsid w:val="00D714A0"/>
    <w:rsid w:val="00D71897"/>
    <w:rsid w:val="00D718D7"/>
    <w:rsid w:val="00D71ADB"/>
    <w:rsid w:val="00D71F35"/>
    <w:rsid w:val="00D724B4"/>
    <w:rsid w:val="00D72C3D"/>
    <w:rsid w:val="00D72C73"/>
    <w:rsid w:val="00D72CF7"/>
    <w:rsid w:val="00D72D2C"/>
    <w:rsid w:val="00D73011"/>
    <w:rsid w:val="00D73283"/>
    <w:rsid w:val="00D732D8"/>
    <w:rsid w:val="00D737C1"/>
    <w:rsid w:val="00D737D6"/>
    <w:rsid w:val="00D7380C"/>
    <w:rsid w:val="00D73A9B"/>
    <w:rsid w:val="00D73B0D"/>
    <w:rsid w:val="00D73BB0"/>
    <w:rsid w:val="00D73E94"/>
    <w:rsid w:val="00D73FF2"/>
    <w:rsid w:val="00D74027"/>
    <w:rsid w:val="00D742EB"/>
    <w:rsid w:val="00D74684"/>
    <w:rsid w:val="00D74B0B"/>
    <w:rsid w:val="00D74BAA"/>
    <w:rsid w:val="00D74E77"/>
    <w:rsid w:val="00D75559"/>
    <w:rsid w:val="00D75699"/>
    <w:rsid w:val="00D759AE"/>
    <w:rsid w:val="00D75A0E"/>
    <w:rsid w:val="00D75C15"/>
    <w:rsid w:val="00D75CCB"/>
    <w:rsid w:val="00D76095"/>
    <w:rsid w:val="00D760AC"/>
    <w:rsid w:val="00D7654F"/>
    <w:rsid w:val="00D76581"/>
    <w:rsid w:val="00D76935"/>
    <w:rsid w:val="00D76BAB"/>
    <w:rsid w:val="00D76E62"/>
    <w:rsid w:val="00D76FF7"/>
    <w:rsid w:val="00D77044"/>
    <w:rsid w:val="00D770C2"/>
    <w:rsid w:val="00D77124"/>
    <w:rsid w:val="00D77457"/>
    <w:rsid w:val="00D777D2"/>
    <w:rsid w:val="00D77AC1"/>
    <w:rsid w:val="00D77C30"/>
    <w:rsid w:val="00D77C96"/>
    <w:rsid w:val="00D77EC5"/>
    <w:rsid w:val="00D80109"/>
    <w:rsid w:val="00D803DD"/>
    <w:rsid w:val="00D8046B"/>
    <w:rsid w:val="00D80552"/>
    <w:rsid w:val="00D80612"/>
    <w:rsid w:val="00D80698"/>
    <w:rsid w:val="00D806E2"/>
    <w:rsid w:val="00D808F9"/>
    <w:rsid w:val="00D80A13"/>
    <w:rsid w:val="00D80FD3"/>
    <w:rsid w:val="00D8110C"/>
    <w:rsid w:val="00D811C3"/>
    <w:rsid w:val="00D814B7"/>
    <w:rsid w:val="00D8153F"/>
    <w:rsid w:val="00D81987"/>
    <w:rsid w:val="00D81E4C"/>
    <w:rsid w:val="00D81F30"/>
    <w:rsid w:val="00D821CE"/>
    <w:rsid w:val="00D8221B"/>
    <w:rsid w:val="00D82436"/>
    <w:rsid w:val="00D824C0"/>
    <w:rsid w:val="00D8259C"/>
    <w:rsid w:val="00D827FA"/>
    <w:rsid w:val="00D8285F"/>
    <w:rsid w:val="00D8289B"/>
    <w:rsid w:val="00D82A85"/>
    <w:rsid w:val="00D83532"/>
    <w:rsid w:val="00D83735"/>
    <w:rsid w:val="00D838A5"/>
    <w:rsid w:val="00D83A6A"/>
    <w:rsid w:val="00D83DC2"/>
    <w:rsid w:val="00D83F7E"/>
    <w:rsid w:val="00D840B3"/>
    <w:rsid w:val="00D845BC"/>
    <w:rsid w:val="00D845FD"/>
    <w:rsid w:val="00D84651"/>
    <w:rsid w:val="00D8488D"/>
    <w:rsid w:val="00D848BE"/>
    <w:rsid w:val="00D848C3"/>
    <w:rsid w:val="00D84BBA"/>
    <w:rsid w:val="00D84DF6"/>
    <w:rsid w:val="00D84FCD"/>
    <w:rsid w:val="00D85106"/>
    <w:rsid w:val="00D852BA"/>
    <w:rsid w:val="00D8539F"/>
    <w:rsid w:val="00D85A4E"/>
    <w:rsid w:val="00D85ADA"/>
    <w:rsid w:val="00D85EB3"/>
    <w:rsid w:val="00D85F58"/>
    <w:rsid w:val="00D85FC4"/>
    <w:rsid w:val="00D8612D"/>
    <w:rsid w:val="00D86271"/>
    <w:rsid w:val="00D86316"/>
    <w:rsid w:val="00D863EB"/>
    <w:rsid w:val="00D865B5"/>
    <w:rsid w:val="00D86825"/>
    <w:rsid w:val="00D8699F"/>
    <w:rsid w:val="00D86ACD"/>
    <w:rsid w:val="00D86B17"/>
    <w:rsid w:val="00D86BFB"/>
    <w:rsid w:val="00D86C2C"/>
    <w:rsid w:val="00D86C39"/>
    <w:rsid w:val="00D86C8C"/>
    <w:rsid w:val="00D86FC8"/>
    <w:rsid w:val="00D8718D"/>
    <w:rsid w:val="00D873B8"/>
    <w:rsid w:val="00D8744C"/>
    <w:rsid w:val="00D87502"/>
    <w:rsid w:val="00D875B2"/>
    <w:rsid w:val="00D87937"/>
    <w:rsid w:val="00D87AAB"/>
    <w:rsid w:val="00D87F19"/>
    <w:rsid w:val="00D900A2"/>
    <w:rsid w:val="00D90261"/>
    <w:rsid w:val="00D90538"/>
    <w:rsid w:val="00D90688"/>
    <w:rsid w:val="00D9091F"/>
    <w:rsid w:val="00D9093F"/>
    <w:rsid w:val="00D90943"/>
    <w:rsid w:val="00D909FC"/>
    <w:rsid w:val="00D90C81"/>
    <w:rsid w:val="00D90EC8"/>
    <w:rsid w:val="00D912FE"/>
    <w:rsid w:val="00D9162F"/>
    <w:rsid w:val="00D91873"/>
    <w:rsid w:val="00D91A8C"/>
    <w:rsid w:val="00D923BB"/>
    <w:rsid w:val="00D924B5"/>
    <w:rsid w:val="00D928DB"/>
    <w:rsid w:val="00D9297D"/>
    <w:rsid w:val="00D92B38"/>
    <w:rsid w:val="00D92EBB"/>
    <w:rsid w:val="00D92FAF"/>
    <w:rsid w:val="00D92FB5"/>
    <w:rsid w:val="00D93041"/>
    <w:rsid w:val="00D9308D"/>
    <w:rsid w:val="00D93244"/>
    <w:rsid w:val="00D93726"/>
    <w:rsid w:val="00D93733"/>
    <w:rsid w:val="00D93765"/>
    <w:rsid w:val="00D938E6"/>
    <w:rsid w:val="00D93964"/>
    <w:rsid w:val="00D94439"/>
    <w:rsid w:val="00D94588"/>
    <w:rsid w:val="00D945AF"/>
    <w:rsid w:val="00D9460D"/>
    <w:rsid w:val="00D946BD"/>
    <w:rsid w:val="00D94B28"/>
    <w:rsid w:val="00D94B89"/>
    <w:rsid w:val="00D94BD8"/>
    <w:rsid w:val="00D94C54"/>
    <w:rsid w:val="00D9509E"/>
    <w:rsid w:val="00D95109"/>
    <w:rsid w:val="00D951CB"/>
    <w:rsid w:val="00D95283"/>
    <w:rsid w:val="00D952C9"/>
    <w:rsid w:val="00D95529"/>
    <w:rsid w:val="00D957EB"/>
    <w:rsid w:val="00D95A49"/>
    <w:rsid w:val="00D95A55"/>
    <w:rsid w:val="00D95BF0"/>
    <w:rsid w:val="00D95FD8"/>
    <w:rsid w:val="00D96285"/>
    <w:rsid w:val="00D963D0"/>
    <w:rsid w:val="00D9651A"/>
    <w:rsid w:val="00D96682"/>
    <w:rsid w:val="00D96B36"/>
    <w:rsid w:val="00D96B82"/>
    <w:rsid w:val="00D96F0B"/>
    <w:rsid w:val="00D971EB"/>
    <w:rsid w:val="00D976EE"/>
    <w:rsid w:val="00D9788C"/>
    <w:rsid w:val="00D97B69"/>
    <w:rsid w:val="00D97E95"/>
    <w:rsid w:val="00D97FB9"/>
    <w:rsid w:val="00DA01E4"/>
    <w:rsid w:val="00DA0454"/>
    <w:rsid w:val="00DA05DE"/>
    <w:rsid w:val="00DA069C"/>
    <w:rsid w:val="00DA07DB"/>
    <w:rsid w:val="00DA084A"/>
    <w:rsid w:val="00DA0976"/>
    <w:rsid w:val="00DA0F4F"/>
    <w:rsid w:val="00DA1054"/>
    <w:rsid w:val="00DA11ED"/>
    <w:rsid w:val="00DA13D7"/>
    <w:rsid w:val="00DA1405"/>
    <w:rsid w:val="00DA1624"/>
    <w:rsid w:val="00DA1633"/>
    <w:rsid w:val="00DA1C8C"/>
    <w:rsid w:val="00DA1D81"/>
    <w:rsid w:val="00DA2278"/>
    <w:rsid w:val="00DA2319"/>
    <w:rsid w:val="00DA2360"/>
    <w:rsid w:val="00DA2470"/>
    <w:rsid w:val="00DA251F"/>
    <w:rsid w:val="00DA2919"/>
    <w:rsid w:val="00DA2C68"/>
    <w:rsid w:val="00DA3004"/>
    <w:rsid w:val="00DA3304"/>
    <w:rsid w:val="00DA3723"/>
    <w:rsid w:val="00DA376A"/>
    <w:rsid w:val="00DA3802"/>
    <w:rsid w:val="00DA3884"/>
    <w:rsid w:val="00DA3992"/>
    <w:rsid w:val="00DA3AAD"/>
    <w:rsid w:val="00DA3EEB"/>
    <w:rsid w:val="00DA3F44"/>
    <w:rsid w:val="00DA3FCC"/>
    <w:rsid w:val="00DA466A"/>
    <w:rsid w:val="00DA4C5B"/>
    <w:rsid w:val="00DA4D5E"/>
    <w:rsid w:val="00DA4E58"/>
    <w:rsid w:val="00DA52C4"/>
    <w:rsid w:val="00DA52DA"/>
    <w:rsid w:val="00DA541F"/>
    <w:rsid w:val="00DA5433"/>
    <w:rsid w:val="00DA5582"/>
    <w:rsid w:val="00DA55E5"/>
    <w:rsid w:val="00DA5646"/>
    <w:rsid w:val="00DA56B6"/>
    <w:rsid w:val="00DA5881"/>
    <w:rsid w:val="00DA590D"/>
    <w:rsid w:val="00DA5CA7"/>
    <w:rsid w:val="00DA5CE6"/>
    <w:rsid w:val="00DA65AC"/>
    <w:rsid w:val="00DA6717"/>
    <w:rsid w:val="00DA6807"/>
    <w:rsid w:val="00DA6EF2"/>
    <w:rsid w:val="00DA73F2"/>
    <w:rsid w:val="00DA7446"/>
    <w:rsid w:val="00DA78AF"/>
    <w:rsid w:val="00DA7BA8"/>
    <w:rsid w:val="00DA7DEB"/>
    <w:rsid w:val="00DB0088"/>
    <w:rsid w:val="00DB0291"/>
    <w:rsid w:val="00DB02A6"/>
    <w:rsid w:val="00DB02E7"/>
    <w:rsid w:val="00DB04AA"/>
    <w:rsid w:val="00DB04CD"/>
    <w:rsid w:val="00DB06F9"/>
    <w:rsid w:val="00DB0804"/>
    <w:rsid w:val="00DB0909"/>
    <w:rsid w:val="00DB09A3"/>
    <w:rsid w:val="00DB0C8E"/>
    <w:rsid w:val="00DB0DD5"/>
    <w:rsid w:val="00DB0E09"/>
    <w:rsid w:val="00DB0F90"/>
    <w:rsid w:val="00DB0FF0"/>
    <w:rsid w:val="00DB1686"/>
    <w:rsid w:val="00DB16B4"/>
    <w:rsid w:val="00DB18FC"/>
    <w:rsid w:val="00DB1B06"/>
    <w:rsid w:val="00DB1E6B"/>
    <w:rsid w:val="00DB1E99"/>
    <w:rsid w:val="00DB1FE6"/>
    <w:rsid w:val="00DB20B6"/>
    <w:rsid w:val="00DB2131"/>
    <w:rsid w:val="00DB21F4"/>
    <w:rsid w:val="00DB241E"/>
    <w:rsid w:val="00DB24B0"/>
    <w:rsid w:val="00DB2644"/>
    <w:rsid w:val="00DB2FBD"/>
    <w:rsid w:val="00DB3042"/>
    <w:rsid w:val="00DB30B7"/>
    <w:rsid w:val="00DB312B"/>
    <w:rsid w:val="00DB3206"/>
    <w:rsid w:val="00DB3307"/>
    <w:rsid w:val="00DB335B"/>
    <w:rsid w:val="00DB35F6"/>
    <w:rsid w:val="00DB36D0"/>
    <w:rsid w:val="00DB3889"/>
    <w:rsid w:val="00DB3BD8"/>
    <w:rsid w:val="00DB3DF5"/>
    <w:rsid w:val="00DB3DFB"/>
    <w:rsid w:val="00DB3F8B"/>
    <w:rsid w:val="00DB401E"/>
    <w:rsid w:val="00DB4078"/>
    <w:rsid w:val="00DB41DA"/>
    <w:rsid w:val="00DB42C7"/>
    <w:rsid w:val="00DB4390"/>
    <w:rsid w:val="00DB456E"/>
    <w:rsid w:val="00DB46B8"/>
    <w:rsid w:val="00DB4907"/>
    <w:rsid w:val="00DB49D2"/>
    <w:rsid w:val="00DB4A6F"/>
    <w:rsid w:val="00DB4AB4"/>
    <w:rsid w:val="00DB4E03"/>
    <w:rsid w:val="00DB4E2D"/>
    <w:rsid w:val="00DB4EA7"/>
    <w:rsid w:val="00DB4FC9"/>
    <w:rsid w:val="00DB5293"/>
    <w:rsid w:val="00DB5681"/>
    <w:rsid w:val="00DB58B4"/>
    <w:rsid w:val="00DB58D4"/>
    <w:rsid w:val="00DB6192"/>
    <w:rsid w:val="00DB61A3"/>
    <w:rsid w:val="00DB6216"/>
    <w:rsid w:val="00DB6761"/>
    <w:rsid w:val="00DB688B"/>
    <w:rsid w:val="00DB6891"/>
    <w:rsid w:val="00DB6A0E"/>
    <w:rsid w:val="00DB6A5E"/>
    <w:rsid w:val="00DB6C04"/>
    <w:rsid w:val="00DB6DDA"/>
    <w:rsid w:val="00DB6DFA"/>
    <w:rsid w:val="00DB6E12"/>
    <w:rsid w:val="00DB6E13"/>
    <w:rsid w:val="00DB7007"/>
    <w:rsid w:val="00DB7232"/>
    <w:rsid w:val="00DB7338"/>
    <w:rsid w:val="00DB76A7"/>
    <w:rsid w:val="00DB76C5"/>
    <w:rsid w:val="00DB7723"/>
    <w:rsid w:val="00DB774F"/>
    <w:rsid w:val="00DB7831"/>
    <w:rsid w:val="00DB7857"/>
    <w:rsid w:val="00DB78D8"/>
    <w:rsid w:val="00DB7BF9"/>
    <w:rsid w:val="00DB7EF8"/>
    <w:rsid w:val="00DC01AB"/>
    <w:rsid w:val="00DC01CB"/>
    <w:rsid w:val="00DC01E3"/>
    <w:rsid w:val="00DC06B7"/>
    <w:rsid w:val="00DC0879"/>
    <w:rsid w:val="00DC0A0D"/>
    <w:rsid w:val="00DC0AA7"/>
    <w:rsid w:val="00DC0C86"/>
    <w:rsid w:val="00DC0E87"/>
    <w:rsid w:val="00DC1485"/>
    <w:rsid w:val="00DC14E4"/>
    <w:rsid w:val="00DC1519"/>
    <w:rsid w:val="00DC1522"/>
    <w:rsid w:val="00DC15FB"/>
    <w:rsid w:val="00DC164B"/>
    <w:rsid w:val="00DC16DE"/>
    <w:rsid w:val="00DC17EA"/>
    <w:rsid w:val="00DC1C75"/>
    <w:rsid w:val="00DC1D5F"/>
    <w:rsid w:val="00DC1E73"/>
    <w:rsid w:val="00DC1EEC"/>
    <w:rsid w:val="00DC1FC6"/>
    <w:rsid w:val="00DC2072"/>
    <w:rsid w:val="00DC272C"/>
    <w:rsid w:val="00DC286D"/>
    <w:rsid w:val="00DC28E3"/>
    <w:rsid w:val="00DC28E4"/>
    <w:rsid w:val="00DC2D38"/>
    <w:rsid w:val="00DC2DAE"/>
    <w:rsid w:val="00DC2E33"/>
    <w:rsid w:val="00DC3493"/>
    <w:rsid w:val="00DC34B2"/>
    <w:rsid w:val="00DC3561"/>
    <w:rsid w:val="00DC3AFF"/>
    <w:rsid w:val="00DC3F4C"/>
    <w:rsid w:val="00DC3F4F"/>
    <w:rsid w:val="00DC3F7F"/>
    <w:rsid w:val="00DC44A7"/>
    <w:rsid w:val="00DC45EC"/>
    <w:rsid w:val="00DC4C1D"/>
    <w:rsid w:val="00DC5654"/>
    <w:rsid w:val="00DC57C0"/>
    <w:rsid w:val="00DC58C8"/>
    <w:rsid w:val="00DC58F4"/>
    <w:rsid w:val="00DC5934"/>
    <w:rsid w:val="00DC5A9C"/>
    <w:rsid w:val="00DC5C7F"/>
    <w:rsid w:val="00DC5F88"/>
    <w:rsid w:val="00DC6093"/>
    <w:rsid w:val="00DC658F"/>
    <w:rsid w:val="00DC66CF"/>
    <w:rsid w:val="00DC674A"/>
    <w:rsid w:val="00DC6957"/>
    <w:rsid w:val="00DC6D13"/>
    <w:rsid w:val="00DC6DC8"/>
    <w:rsid w:val="00DC6F91"/>
    <w:rsid w:val="00DC71A0"/>
    <w:rsid w:val="00DC7289"/>
    <w:rsid w:val="00DC737E"/>
    <w:rsid w:val="00DC758A"/>
    <w:rsid w:val="00DC77D2"/>
    <w:rsid w:val="00DC7B90"/>
    <w:rsid w:val="00DC7E92"/>
    <w:rsid w:val="00DD0149"/>
    <w:rsid w:val="00DD0301"/>
    <w:rsid w:val="00DD0371"/>
    <w:rsid w:val="00DD03A6"/>
    <w:rsid w:val="00DD05FF"/>
    <w:rsid w:val="00DD0690"/>
    <w:rsid w:val="00DD0722"/>
    <w:rsid w:val="00DD0F66"/>
    <w:rsid w:val="00DD106D"/>
    <w:rsid w:val="00DD1400"/>
    <w:rsid w:val="00DD15B8"/>
    <w:rsid w:val="00DD1854"/>
    <w:rsid w:val="00DD189C"/>
    <w:rsid w:val="00DD1967"/>
    <w:rsid w:val="00DD1BC8"/>
    <w:rsid w:val="00DD1C59"/>
    <w:rsid w:val="00DD1CFC"/>
    <w:rsid w:val="00DD1DD0"/>
    <w:rsid w:val="00DD2418"/>
    <w:rsid w:val="00DD24E4"/>
    <w:rsid w:val="00DD25B2"/>
    <w:rsid w:val="00DD2770"/>
    <w:rsid w:val="00DD29DA"/>
    <w:rsid w:val="00DD29E9"/>
    <w:rsid w:val="00DD2B65"/>
    <w:rsid w:val="00DD2D34"/>
    <w:rsid w:val="00DD2DA9"/>
    <w:rsid w:val="00DD302D"/>
    <w:rsid w:val="00DD312E"/>
    <w:rsid w:val="00DD34D3"/>
    <w:rsid w:val="00DD3528"/>
    <w:rsid w:val="00DD35E9"/>
    <w:rsid w:val="00DD36DA"/>
    <w:rsid w:val="00DD3AE3"/>
    <w:rsid w:val="00DD3B32"/>
    <w:rsid w:val="00DD3C42"/>
    <w:rsid w:val="00DD3C60"/>
    <w:rsid w:val="00DD4299"/>
    <w:rsid w:val="00DD42E8"/>
    <w:rsid w:val="00DD436F"/>
    <w:rsid w:val="00DD498B"/>
    <w:rsid w:val="00DD4C93"/>
    <w:rsid w:val="00DD519C"/>
    <w:rsid w:val="00DD5335"/>
    <w:rsid w:val="00DD539D"/>
    <w:rsid w:val="00DD5CBF"/>
    <w:rsid w:val="00DD5CE4"/>
    <w:rsid w:val="00DD5EFF"/>
    <w:rsid w:val="00DD5F6E"/>
    <w:rsid w:val="00DD60B6"/>
    <w:rsid w:val="00DD6132"/>
    <w:rsid w:val="00DD62C9"/>
    <w:rsid w:val="00DD62E7"/>
    <w:rsid w:val="00DD6383"/>
    <w:rsid w:val="00DD6696"/>
    <w:rsid w:val="00DD67FF"/>
    <w:rsid w:val="00DD6965"/>
    <w:rsid w:val="00DD6E05"/>
    <w:rsid w:val="00DD6F32"/>
    <w:rsid w:val="00DD6F37"/>
    <w:rsid w:val="00DD7122"/>
    <w:rsid w:val="00DD71AF"/>
    <w:rsid w:val="00DD7269"/>
    <w:rsid w:val="00DD72BA"/>
    <w:rsid w:val="00DD733C"/>
    <w:rsid w:val="00DD736C"/>
    <w:rsid w:val="00DD73A4"/>
    <w:rsid w:val="00DD74A0"/>
    <w:rsid w:val="00DD75C8"/>
    <w:rsid w:val="00DD7648"/>
    <w:rsid w:val="00DD76FF"/>
    <w:rsid w:val="00DD7793"/>
    <w:rsid w:val="00DD7BDC"/>
    <w:rsid w:val="00DD7C2D"/>
    <w:rsid w:val="00DD7E1E"/>
    <w:rsid w:val="00DD7F1F"/>
    <w:rsid w:val="00DD7F56"/>
    <w:rsid w:val="00DD7F70"/>
    <w:rsid w:val="00DD7FAE"/>
    <w:rsid w:val="00DD7FDE"/>
    <w:rsid w:val="00DD7FF5"/>
    <w:rsid w:val="00DE004F"/>
    <w:rsid w:val="00DE01F5"/>
    <w:rsid w:val="00DE0517"/>
    <w:rsid w:val="00DE0521"/>
    <w:rsid w:val="00DE06E6"/>
    <w:rsid w:val="00DE0B18"/>
    <w:rsid w:val="00DE0CEA"/>
    <w:rsid w:val="00DE0D71"/>
    <w:rsid w:val="00DE0E22"/>
    <w:rsid w:val="00DE0E4E"/>
    <w:rsid w:val="00DE0F53"/>
    <w:rsid w:val="00DE10F5"/>
    <w:rsid w:val="00DE1147"/>
    <w:rsid w:val="00DE1542"/>
    <w:rsid w:val="00DE1E74"/>
    <w:rsid w:val="00DE1FE9"/>
    <w:rsid w:val="00DE20F0"/>
    <w:rsid w:val="00DE2108"/>
    <w:rsid w:val="00DE2160"/>
    <w:rsid w:val="00DE2162"/>
    <w:rsid w:val="00DE22D0"/>
    <w:rsid w:val="00DE2379"/>
    <w:rsid w:val="00DE247B"/>
    <w:rsid w:val="00DE2494"/>
    <w:rsid w:val="00DE24A2"/>
    <w:rsid w:val="00DE25D9"/>
    <w:rsid w:val="00DE26A5"/>
    <w:rsid w:val="00DE2A23"/>
    <w:rsid w:val="00DE2B81"/>
    <w:rsid w:val="00DE2C8A"/>
    <w:rsid w:val="00DE2E66"/>
    <w:rsid w:val="00DE3240"/>
    <w:rsid w:val="00DE35DD"/>
    <w:rsid w:val="00DE3B91"/>
    <w:rsid w:val="00DE3C8B"/>
    <w:rsid w:val="00DE3E0B"/>
    <w:rsid w:val="00DE3F9E"/>
    <w:rsid w:val="00DE4062"/>
    <w:rsid w:val="00DE4503"/>
    <w:rsid w:val="00DE47B5"/>
    <w:rsid w:val="00DE4848"/>
    <w:rsid w:val="00DE48C5"/>
    <w:rsid w:val="00DE4AF7"/>
    <w:rsid w:val="00DE4B24"/>
    <w:rsid w:val="00DE4D64"/>
    <w:rsid w:val="00DE4E89"/>
    <w:rsid w:val="00DE52F7"/>
    <w:rsid w:val="00DE5302"/>
    <w:rsid w:val="00DE5B20"/>
    <w:rsid w:val="00DE5B91"/>
    <w:rsid w:val="00DE5CAD"/>
    <w:rsid w:val="00DE5E45"/>
    <w:rsid w:val="00DE5EFD"/>
    <w:rsid w:val="00DE5EFF"/>
    <w:rsid w:val="00DE6062"/>
    <w:rsid w:val="00DE60CC"/>
    <w:rsid w:val="00DE64A5"/>
    <w:rsid w:val="00DE6835"/>
    <w:rsid w:val="00DE6AA3"/>
    <w:rsid w:val="00DE6CCE"/>
    <w:rsid w:val="00DE6D33"/>
    <w:rsid w:val="00DE6E93"/>
    <w:rsid w:val="00DE6EFB"/>
    <w:rsid w:val="00DE7156"/>
    <w:rsid w:val="00DE71BE"/>
    <w:rsid w:val="00DE7528"/>
    <w:rsid w:val="00DE75F7"/>
    <w:rsid w:val="00DE77A6"/>
    <w:rsid w:val="00DE79EF"/>
    <w:rsid w:val="00DE7CE8"/>
    <w:rsid w:val="00DE7D0F"/>
    <w:rsid w:val="00DE7ED3"/>
    <w:rsid w:val="00DF0032"/>
    <w:rsid w:val="00DF04E0"/>
    <w:rsid w:val="00DF04F6"/>
    <w:rsid w:val="00DF0747"/>
    <w:rsid w:val="00DF08F0"/>
    <w:rsid w:val="00DF09C8"/>
    <w:rsid w:val="00DF0E3E"/>
    <w:rsid w:val="00DF115C"/>
    <w:rsid w:val="00DF11AE"/>
    <w:rsid w:val="00DF12A8"/>
    <w:rsid w:val="00DF140E"/>
    <w:rsid w:val="00DF15B8"/>
    <w:rsid w:val="00DF1AAB"/>
    <w:rsid w:val="00DF1B79"/>
    <w:rsid w:val="00DF1BAC"/>
    <w:rsid w:val="00DF1EFD"/>
    <w:rsid w:val="00DF1F35"/>
    <w:rsid w:val="00DF2663"/>
    <w:rsid w:val="00DF28F7"/>
    <w:rsid w:val="00DF2D02"/>
    <w:rsid w:val="00DF2D43"/>
    <w:rsid w:val="00DF300F"/>
    <w:rsid w:val="00DF31F5"/>
    <w:rsid w:val="00DF325D"/>
    <w:rsid w:val="00DF3346"/>
    <w:rsid w:val="00DF33E3"/>
    <w:rsid w:val="00DF3569"/>
    <w:rsid w:val="00DF3855"/>
    <w:rsid w:val="00DF391B"/>
    <w:rsid w:val="00DF3953"/>
    <w:rsid w:val="00DF3997"/>
    <w:rsid w:val="00DF3A0F"/>
    <w:rsid w:val="00DF3A26"/>
    <w:rsid w:val="00DF3BCB"/>
    <w:rsid w:val="00DF46FA"/>
    <w:rsid w:val="00DF4999"/>
    <w:rsid w:val="00DF4A2F"/>
    <w:rsid w:val="00DF52CC"/>
    <w:rsid w:val="00DF5494"/>
    <w:rsid w:val="00DF5D55"/>
    <w:rsid w:val="00DF5E0B"/>
    <w:rsid w:val="00DF5FD0"/>
    <w:rsid w:val="00DF6023"/>
    <w:rsid w:val="00DF60CF"/>
    <w:rsid w:val="00DF63B7"/>
    <w:rsid w:val="00DF6516"/>
    <w:rsid w:val="00DF65A2"/>
    <w:rsid w:val="00DF65C1"/>
    <w:rsid w:val="00DF66BE"/>
    <w:rsid w:val="00DF678F"/>
    <w:rsid w:val="00DF6AA8"/>
    <w:rsid w:val="00DF7037"/>
    <w:rsid w:val="00DF7329"/>
    <w:rsid w:val="00DF75D3"/>
    <w:rsid w:val="00DF772A"/>
    <w:rsid w:val="00DF7758"/>
    <w:rsid w:val="00DF7EA2"/>
    <w:rsid w:val="00E000D1"/>
    <w:rsid w:val="00E000E5"/>
    <w:rsid w:val="00E0010C"/>
    <w:rsid w:val="00E004ED"/>
    <w:rsid w:val="00E00559"/>
    <w:rsid w:val="00E00631"/>
    <w:rsid w:val="00E00698"/>
    <w:rsid w:val="00E00841"/>
    <w:rsid w:val="00E0086F"/>
    <w:rsid w:val="00E008B2"/>
    <w:rsid w:val="00E00AED"/>
    <w:rsid w:val="00E00CBF"/>
    <w:rsid w:val="00E0112F"/>
    <w:rsid w:val="00E0158B"/>
    <w:rsid w:val="00E01594"/>
    <w:rsid w:val="00E01600"/>
    <w:rsid w:val="00E01A2B"/>
    <w:rsid w:val="00E01BD0"/>
    <w:rsid w:val="00E01DAF"/>
    <w:rsid w:val="00E01FA3"/>
    <w:rsid w:val="00E02348"/>
    <w:rsid w:val="00E029B1"/>
    <w:rsid w:val="00E02AC1"/>
    <w:rsid w:val="00E02BF6"/>
    <w:rsid w:val="00E02F16"/>
    <w:rsid w:val="00E03048"/>
    <w:rsid w:val="00E03491"/>
    <w:rsid w:val="00E0362A"/>
    <w:rsid w:val="00E03645"/>
    <w:rsid w:val="00E037C8"/>
    <w:rsid w:val="00E03989"/>
    <w:rsid w:val="00E03B80"/>
    <w:rsid w:val="00E03C5A"/>
    <w:rsid w:val="00E03D6D"/>
    <w:rsid w:val="00E041A7"/>
    <w:rsid w:val="00E0421D"/>
    <w:rsid w:val="00E0428E"/>
    <w:rsid w:val="00E047DC"/>
    <w:rsid w:val="00E04A7F"/>
    <w:rsid w:val="00E04BBA"/>
    <w:rsid w:val="00E04D91"/>
    <w:rsid w:val="00E04F02"/>
    <w:rsid w:val="00E04F45"/>
    <w:rsid w:val="00E04F79"/>
    <w:rsid w:val="00E050B0"/>
    <w:rsid w:val="00E055D5"/>
    <w:rsid w:val="00E05613"/>
    <w:rsid w:val="00E0593F"/>
    <w:rsid w:val="00E05B39"/>
    <w:rsid w:val="00E05D15"/>
    <w:rsid w:val="00E05D82"/>
    <w:rsid w:val="00E06021"/>
    <w:rsid w:val="00E060E7"/>
    <w:rsid w:val="00E06200"/>
    <w:rsid w:val="00E06416"/>
    <w:rsid w:val="00E064AB"/>
    <w:rsid w:val="00E0666C"/>
    <w:rsid w:val="00E0690B"/>
    <w:rsid w:val="00E069F4"/>
    <w:rsid w:val="00E06D8A"/>
    <w:rsid w:val="00E06E7C"/>
    <w:rsid w:val="00E071A1"/>
    <w:rsid w:val="00E07AC6"/>
    <w:rsid w:val="00E07AEF"/>
    <w:rsid w:val="00E07B63"/>
    <w:rsid w:val="00E07C7F"/>
    <w:rsid w:val="00E07D3C"/>
    <w:rsid w:val="00E07EC8"/>
    <w:rsid w:val="00E10000"/>
    <w:rsid w:val="00E10118"/>
    <w:rsid w:val="00E10299"/>
    <w:rsid w:val="00E1070A"/>
    <w:rsid w:val="00E107A4"/>
    <w:rsid w:val="00E107EB"/>
    <w:rsid w:val="00E10B70"/>
    <w:rsid w:val="00E10D85"/>
    <w:rsid w:val="00E10DA4"/>
    <w:rsid w:val="00E111C5"/>
    <w:rsid w:val="00E11298"/>
    <w:rsid w:val="00E114F0"/>
    <w:rsid w:val="00E11520"/>
    <w:rsid w:val="00E1187F"/>
    <w:rsid w:val="00E118EC"/>
    <w:rsid w:val="00E11A1D"/>
    <w:rsid w:val="00E11CEE"/>
    <w:rsid w:val="00E11D1C"/>
    <w:rsid w:val="00E11D3E"/>
    <w:rsid w:val="00E11F77"/>
    <w:rsid w:val="00E120B4"/>
    <w:rsid w:val="00E127BC"/>
    <w:rsid w:val="00E1292C"/>
    <w:rsid w:val="00E12D7D"/>
    <w:rsid w:val="00E12DA3"/>
    <w:rsid w:val="00E12E10"/>
    <w:rsid w:val="00E1371D"/>
    <w:rsid w:val="00E13760"/>
    <w:rsid w:val="00E137D3"/>
    <w:rsid w:val="00E13CFD"/>
    <w:rsid w:val="00E13D21"/>
    <w:rsid w:val="00E13D82"/>
    <w:rsid w:val="00E13DF9"/>
    <w:rsid w:val="00E13F31"/>
    <w:rsid w:val="00E141BB"/>
    <w:rsid w:val="00E147A0"/>
    <w:rsid w:val="00E14837"/>
    <w:rsid w:val="00E14892"/>
    <w:rsid w:val="00E14E9E"/>
    <w:rsid w:val="00E14F2B"/>
    <w:rsid w:val="00E15427"/>
    <w:rsid w:val="00E15761"/>
    <w:rsid w:val="00E15788"/>
    <w:rsid w:val="00E15911"/>
    <w:rsid w:val="00E15914"/>
    <w:rsid w:val="00E15AE7"/>
    <w:rsid w:val="00E15B2C"/>
    <w:rsid w:val="00E165D3"/>
    <w:rsid w:val="00E167D7"/>
    <w:rsid w:val="00E16858"/>
    <w:rsid w:val="00E16985"/>
    <w:rsid w:val="00E16A7A"/>
    <w:rsid w:val="00E16B21"/>
    <w:rsid w:val="00E16B4F"/>
    <w:rsid w:val="00E16C0C"/>
    <w:rsid w:val="00E16C24"/>
    <w:rsid w:val="00E16CCA"/>
    <w:rsid w:val="00E16D7C"/>
    <w:rsid w:val="00E16E1E"/>
    <w:rsid w:val="00E17269"/>
    <w:rsid w:val="00E1729B"/>
    <w:rsid w:val="00E174EE"/>
    <w:rsid w:val="00E1774F"/>
    <w:rsid w:val="00E179FC"/>
    <w:rsid w:val="00E17AE3"/>
    <w:rsid w:val="00E17C95"/>
    <w:rsid w:val="00E17CED"/>
    <w:rsid w:val="00E2009F"/>
    <w:rsid w:val="00E2048F"/>
    <w:rsid w:val="00E20707"/>
    <w:rsid w:val="00E209D2"/>
    <w:rsid w:val="00E209EE"/>
    <w:rsid w:val="00E20A0C"/>
    <w:rsid w:val="00E20F9D"/>
    <w:rsid w:val="00E21043"/>
    <w:rsid w:val="00E210C7"/>
    <w:rsid w:val="00E21105"/>
    <w:rsid w:val="00E2117C"/>
    <w:rsid w:val="00E21367"/>
    <w:rsid w:val="00E21660"/>
    <w:rsid w:val="00E217D6"/>
    <w:rsid w:val="00E21832"/>
    <w:rsid w:val="00E21CA2"/>
    <w:rsid w:val="00E21EE1"/>
    <w:rsid w:val="00E21F9C"/>
    <w:rsid w:val="00E21FF7"/>
    <w:rsid w:val="00E221AF"/>
    <w:rsid w:val="00E221C4"/>
    <w:rsid w:val="00E222A6"/>
    <w:rsid w:val="00E2237F"/>
    <w:rsid w:val="00E2249D"/>
    <w:rsid w:val="00E2254B"/>
    <w:rsid w:val="00E22884"/>
    <w:rsid w:val="00E22A20"/>
    <w:rsid w:val="00E22D2B"/>
    <w:rsid w:val="00E22DB1"/>
    <w:rsid w:val="00E22F31"/>
    <w:rsid w:val="00E22F79"/>
    <w:rsid w:val="00E23092"/>
    <w:rsid w:val="00E231E9"/>
    <w:rsid w:val="00E23520"/>
    <w:rsid w:val="00E23630"/>
    <w:rsid w:val="00E23662"/>
    <w:rsid w:val="00E23684"/>
    <w:rsid w:val="00E23837"/>
    <w:rsid w:val="00E239FD"/>
    <w:rsid w:val="00E23D63"/>
    <w:rsid w:val="00E2401D"/>
    <w:rsid w:val="00E241E0"/>
    <w:rsid w:val="00E241F5"/>
    <w:rsid w:val="00E2431D"/>
    <w:rsid w:val="00E24493"/>
    <w:rsid w:val="00E2449C"/>
    <w:rsid w:val="00E2454A"/>
    <w:rsid w:val="00E24661"/>
    <w:rsid w:val="00E248A9"/>
    <w:rsid w:val="00E248E3"/>
    <w:rsid w:val="00E248E7"/>
    <w:rsid w:val="00E24C4C"/>
    <w:rsid w:val="00E24E31"/>
    <w:rsid w:val="00E24F69"/>
    <w:rsid w:val="00E2512D"/>
    <w:rsid w:val="00E2527C"/>
    <w:rsid w:val="00E252D6"/>
    <w:rsid w:val="00E25552"/>
    <w:rsid w:val="00E25BCD"/>
    <w:rsid w:val="00E25C0B"/>
    <w:rsid w:val="00E260F4"/>
    <w:rsid w:val="00E26122"/>
    <w:rsid w:val="00E2633B"/>
    <w:rsid w:val="00E267A8"/>
    <w:rsid w:val="00E26805"/>
    <w:rsid w:val="00E26A0B"/>
    <w:rsid w:val="00E26A6A"/>
    <w:rsid w:val="00E26AA7"/>
    <w:rsid w:val="00E26B32"/>
    <w:rsid w:val="00E26D1F"/>
    <w:rsid w:val="00E26D8F"/>
    <w:rsid w:val="00E26E52"/>
    <w:rsid w:val="00E26FD0"/>
    <w:rsid w:val="00E271CD"/>
    <w:rsid w:val="00E27245"/>
    <w:rsid w:val="00E273ED"/>
    <w:rsid w:val="00E2740E"/>
    <w:rsid w:val="00E27AE8"/>
    <w:rsid w:val="00E30218"/>
    <w:rsid w:val="00E302BF"/>
    <w:rsid w:val="00E303E1"/>
    <w:rsid w:val="00E30560"/>
    <w:rsid w:val="00E307A1"/>
    <w:rsid w:val="00E3097C"/>
    <w:rsid w:val="00E30C68"/>
    <w:rsid w:val="00E30F77"/>
    <w:rsid w:val="00E31258"/>
    <w:rsid w:val="00E314A3"/>
    <w:rsid w:val="00E31849"/>
    <w:rsid w:val="00E31CD4"/>
    <w:rsid w:val="00E31E60"/>
    <w:rsid w:val="00E32037"/>
    <w:rsid w:val="00E320A1"/>
    <w:rsid w:val="00E32602"/>
    <w:rsid w:val="00E32944"/>
    <w:rsid w:val="00E32D81"/>
    <w:rsid w:val="00E32EB8"/>
    <w:rsid w:val="00E32ED0"/>
    <w:rsid w:val="00E32F62"/>
    <w:rsid w:val="00E330D7"/>
    <w:rsid w:val="00E332C1"/>
    <w:rsid w:val="00E3347E"/>
    <w:rsid w:val="00E3366D"/>
    <w:rsid w:val="00E3373B"/>
    <w:rsid w:val="00E33AC7"/>
    <w:rsid w:val="00E33E08"/>
    <w:rsid w:val="00E3403A"/>
    <w:rsid w:val="00E343FB"/>
    <w:rsid w:val="00E344D5"/>
    <w:rsid w:val="00E34603"/>
    <w:rsid w:val="00E34858"/>
    <w:rsid w:val="00E3487F"/>
    <w:rsid w:val="00E34A60"/>
    <w:rsid w:val="00E34F3F"/>
    <w:rsid w:val="00E35006"/>
    <w:rsid w:val="00E351BD"/>
    <w:rsid w:val="00E35217"/>
    <w:rsid w:val="00E3528E"/>
    <w:rsid w:val="00E354F3"/>
    <w:rsid w:val="00E356D6"/>
    <w:rsid w:val="00E35710"/>
    <w:rsid w:val="00E35776"/>
    <w:rsid w:val="00E357D5"/>
    <w:rsid w:val="00E35AAC"/>
    <w:rsid w:val="00E35AF4"/>
    <w:rsid w:val="00E35C64"/>
    <w:rsid w:val="00E35D53"/>
    <w:rsid w:val="00E35EDF"/>
    <w:rsid w:val="00E36143"/>
    <w:rsid w:val="00E3615D"/>
    <w:rsid w:val="00E363B5"/>
    <w:rsid w:val="00E3644C"/>
    <w:rsid w:val="00E367CB"/>
    <w:rsid w:val="00E36B03"/>
    <w:rsid w:val="00E36B6E"/>
    <w:rsid w:val="00E36C30"/>
    <w:rsid w:val="00E36C9E"/>
    <w:rsid w:val="00E36D33"/>
    <w:rsid w:val="00E371E2"/>
    <w:rsid w:val="00E3732E"/>
    <w:rsid w:val="00E37646"/>
    <w:rsid w:val="00E376BE"/>
    <w:rsid w:val="00E3786A"/>
    <w:rsid w:val="00E37925"/>
    <w:rsid w:val="00E37C5B"/>
    <w:rsid w:val="00E37CC3"/>
    <w:rsid w:val="00E37E2A"/>
    <w:rsid w:val="00E40045"/>
    <w:rsid w:val="00E405B2"/>
    <w:rsid w:val="00E405C3"/>
    <w:rsid w:val="00E40691"/>
    <w:rsid w:val="00E407B6"/>
    <w:rsid w:val="00E40B95"/>
    <w:rsid w:val="00E40BD6"/>
    <w:rsid w:val="00E40DCC"/>
    <w:rsid w:val="00E40E33"/>
    <w:rsid w:val="00E40FE0"/>
    <w:rsid w:val="00E410A5"/>
    <w:rsid w:val="00E41287"/>
    <w:rsid w:val="00E41351"/>
    <w:rsid w:val="00E41480"/>
    <w:rsid w:val="00E415FB"/>
    <w:rsid w:val="00E41C68"/>
    <w:rsid w:val="00E41EF1"/>
    <w:rsid w:val="00E41F11"/>
    <w:rsid w:val="00E42256"/>
    <w:rsid w:val="00E42455"/>
    <w:rsid w:val="00E42478"/>
    <w:rsid w:val="00E424E9"/>
    <w:rsid w:val="00E42683"/>
    <w:rsid w:val="00E42704"/>
    <w:rsid w:val="00E42942"/>
    <w:rsid w:val="00E42D50"/>
    <w:rsid w:val="00E42ED8"/>
    <w:rsid w:val="00E42F8D"/>
    <w:rsid w:val="00E42FD3"/>
    <w:rsid w:val="00E43053"/>
    <w:rsid w:val="00E431A3"/>
    <w:rsid w:val="00E431C3"/>
    <w:rsid w:val="00E436E9"/>
    <w:rsid w:val="00E43782"/>
    <w:rsid w:val="00E43874"/>
    <w:rsid w:val="00E43B2B"/>
    <w:rsid w:val="00E43B31"/>
    <w:rsid w:val="00E43E28"/>
    <w:rsid w:val="00E43E53"/>
    <w:rsid w:val="00E440CC"/>
    <w:rsid w:val="00E44107"/>
    <w:rsid w:val="00E4432F"/>
    <w:rsid w:val="00E4445A"/>
    <w:rsid w:val="00E44468"/>
    <w:rsid w:val="00E44514"/>
    <w:rsid w:val="00E445EB"/>
    <w:rsid w:val="00E44699"/>
    <w:rsid w:val="00E447CE"/>
    <w:rsid w:val="00E44890"/>
    <w:rsid w:val="00E449A2"/>
    <w:rsid w:val="00E44AA7"/>
    <w:rsid w:val="00E44FD0"/>
    <w:rsid w:val="00E4517B"/>
    <w:rsid w:val="00E453B1"/>
    <w:rsid w:val="00E4554D"/>
    <w:rsid w:val="00E45667"/>
    <w:rsid w:val="00E45C59"/>
    <w:rsid w:val="00E45C9C"/>
    <w:rsid w:val="00E46145"/>
    <w:rsid w:val="00E461FE"/>
    <w:rsid w:val="00E463D6"/>
    <w:rsid w:val="00E4650B"/>
    <w:rsid w:val="00E46781"/>
    <w:rsid w:val="00E46AE4"/>
    <w:rsid w:val="00E46C22"/>
    <w:rsid w:val="00E46C87"/>
    <w:rsid w:val="00E47029"/>
    <w:rsid w:val="00E4716B"/>
    <w:rsid w:val="00E473EE"/>
    <w:rsid w:val="00E47587"/>
    <w:rsid w:val="00E4772A"/>
    <w:rsid w:val="00E4772D"/>
    <w:rsid w:val="00E479C8"/>
    <w:rsid w:val="00E47E49"/>
    <w:rsid w:val="00E47EC3"/>
    <w:rsid w:val="00E50157"/>
    <w:rsid w:val="00E50331"/>
    <w:rsid w:val="00E50849"/>
    <w:rsid w:val="00E50938"/>
    <w:rsid w:val="00E50989"/>
    <w:rsid w:val="00E50ADF"/>
    <w:rsid w:val="00E51235"/>
    <w:rsid w:val="00E514FC"/>
    <w:rsid w:val="00E51736"/>
    <w:rsid w:val="00E518A0"/>
    <w:rsid w:val="00E51940"/>
    <w:rsid w:val="00E51978"/>
    <w:rsid w:val="00E51A4B"/>
    <w:rsid w:val="00E51D3D"/>
    <w:rsid w:val="00E51FE8"/>
    <w:rsid w:val="00E52152"/>
    <w:rsid w:val="00E5215E"/>
    <w:rsid w:val="00E5222F"/>
    <w:rsid w:val="00E522D4"/>
    <w:rsid w:val="00E5247D"/>
    <w:rsid w:val="00E525B9"/>
    <w:rsid w:val="00E52B79"/>
    <w:rsid w:val="00E52C02"/>
    <w:rsid w:val="00E53260"/>
    <w:rsid w:val="00E5333D"/>
    <w:rsid w:val="00E5344B"/>
    <w:rsid w:val="00E53605"/>
    <w:rsid w:val="00E53682"/>
    <w:rsid w:val="00E539DF"/>
    <w:rsid w:val="00E53A20"/>
    <w:rsid w:val="00E53A56"/>
    <w:rsid w:val="00E53ABD"/>
    <w:rsid w:val="00E53FDF"/>
    <w:rsid w:val="00E5412C"/>
    <w:rsid w:val="00E54249"/>
    <w:rsid w:val="00E543D9"/>
    <w:rsid w:val="00E5445F"/>
    <w:rsid w:val="00E549D5"/>
    <w:rsid w:val="00E549FF"/>
    <w:rsid w:val="00E54BD3"/>
    <w:rsid w:val="00E54D56"/>
    <w:rsid w:val="00E54FE4"/>
    <w:rsid w:val="00E54FFC"/>
    <w:rsid w:val="00E5579C"/>
    <w:rsid w:val="00E5678D"/>
    <w:rsid w:val="00E56894"/>
    <w:rsid w:val="00E568B8"/>
    <w:rsid w:val="00E56939"/>
    <w:rsid w:val="00E569FA"/>
    <w:rsid w:val="00E56B38"/>
    <w:rsid w:val="00E5713A"/>
    <w:rsid w:val="00E5730E"/>
    <w:rsid w:val="00E5739B"/>
    <w:rsid w:val="00E57456"/>
    <w:rsid w:val="00E57648"/>
    <w:rsid w:val="00E576E1"/>
    <w:rsid w:val="00E577EC"/>
    <w:rsid w:val="00E57809"/>
    <w:rsid w:val="00E57818"/>
    <w:rsid w:val="00E5791F"/>
    <w:rsid w:val="00E57980"/>
    <w:rsid w:val="00E57BA3"/>
    <w:rsid w:val="00E57D98"/>
    <w:rsid w:val="00E57E1E"/>
    <w:rsid w:val="00E57F6F"/>
    <w:rsid w:val="00E602BE"/>
    <w:rsid w:val="00E605F5"/>
    <w:rsid w:val="00E607F1"/>
    <w:rsid w:val="00E609A6"/>
    <w:rsid w:val="00E609EC"/>
    <w:rsid w:val="00E609F5"/>
    <w:rsid w:val="00E60B51"/>
    <w:rsid w:val="00E60FC5"/>
    <w:rsid w:val="00E61327"/>
    <w:rsid w:val="00E61375"/>
    <w:rsid w:val="00E61A0B"/>
    <w:rsid w:val="00E61F3E"/>
    <w:rsid w:val="00E61FE7"/>
    <w:rsid w:val="00E628E5"/>
    <w:rsid w:val="00E62AA3"/>
    <w:rsid w:val="00E62D7F"/>
    <w:rsid w:val="00E62F3C"/>
    <w:rsid w:val="00E63144"/>
    <w:rsid w:val="00E6326E"/>
    <w:rsid w:val="00E632EE"/>
    <w:rsid w:val="00E633AF"/>
    <w:rsid w:val="00E633BD"/>
    <w:rsid w:val="00E634B7"/>
    <w:rsid w:val="00E63522"/>
    <w:rsid w:val="00E63547"/>
    <w:rsid w:val="00E6359E"/>
    <w:rsid w:val="00E636FD"/>
    <w:rsid w:val="00E63813"/>
    <w:rsid w:val="00E63A61"/>
    <w:rsid w:val="00E63C2C"/>
    <w:rsid w:val="00E63E08"/>
    <w:rsid w:val="00E63F34"/>
    <w:rsid w:val="00E63F7C"/>
    <w:rsid w:val="00E640A0"/>
    <w:rsid w:val="00E6412D"/>
    <w:rsid w:val="00E6441F"/>
    <w:rsid w:val="00E6475C"/>
    <w:rsid w:val="00E648F4"/>
    <w:rsid w:val="00E64BA8"/>
    <w:rsid w:val="00E657CA"/>
    <w:rsid w:val="00E65877"/>
    <w:rsid w:val="00E65A0A"/>
    <w:rsid w:val="00E65BE5"/>
    <w:rsid w:val="00E65D78"/>
    <w:rsid w:val="00E65DE0"/>
    <w:rsid w:val="00E65E06"/>
    <w:rsid w:val="00E660A0"/>
    <w:rsid w:val="00E66529"/>
    <w:rsid w:val="00E665AC"/>
    <w:rsid w:val="00E665EC"/>
    <w:rsid w:val="00E66748"/>
    <w:rsid w:val="00E66A45"/>
    <w:rsid w:val="00E66DFD"/>
    <w:rsid w:val="00E66E2C"/>
    <w:rsid w:val="00E67030"/>
    <w:rsid w:val="00E67107"/>
    <w:rsid w:val="00E67131"/>
    <w:rsid w:val="00E6738A"/>
    <w:rsid w:val="00E673AE"/>
    <w:rsid w:val="00E67540"/>
    <w:rsid w:val="00E67545"/>
    <w:rsid w:val="00E67879"/>
    <w:rsid w:val="00E67881"/>
    <w:rsid w:val="00E67DC2"/>
    <w:rsid w:val="00E67DCD"/>
    <w:rsid w:val="00E70039"/>
    <w:rsid w:val="00E70468"/>
    <w:rsid w:val="00E70625"/>
    <w:rsid w:val="00E70EC6"/>
    <w:rsid w:val="00E712A7"/>
    <w:rsid w:val="00E712E6"/>
    <w:rsid w:val="00E7196A"/>
    <w:rsid w:val="00E71A65"/>
    <w:rsid w:val="00E71BDD"/>
    <w:rsid w:val="00E71BDF"/>
    <w:rsid w:val="00E720F6"/>
    <w:rsid w:val="00E72137"/>
    <w:rsid w:val="00E72441"/>
    <w:rsid w:val="00E72695"/>
    <w:rsid w:val="00E726B6"/>
    <w:rsid w:val="00E72757"/>
    <w:rsid w:val="00E72786"/>
    <w:rsid w:val="00E7282E"/>
    <w:rsid w:val="00E728FD"/>
    <w:rsid w:val="00E72C96"/>
    <w:rsid w:val="00E72CD3"/>
    <w:rsid w:val="00E72E8A"/>
    <w:rsid w:val="00E72E9D"/>
    <w:rsid w:val="00E7329C"/>
    <w:rsid w:val="00E733DF"/>
    <w:rsid w:val="00E73470"/>
    <w:rsid w:val="00E73482"/>
    <w:rsid w:val="00E739E4"/>
    <w:rsid w:val="00E73C1A"/>
    <w:rsid w:val="00E73CA1"/>
    <w:rsid w:val="00E7407B"/>
    <w:rsid w:val="00E7411C"/>
    <w:rsid w:val="00E74159"/>
    <w:rsid w:val="00E74291"/>
    <w:rsid w:val="00E743D3"/>
    <w:rsid w:val="00E74501"/>
    <w:rsid w:val="00E745FE"/>
    <w:rsid w:val="00E7468A"/>
    <w:rsid w:val="00E74853"/>
    <w:rsid w:val="00E74C2E"/>
    <w:rsid w:val="00E74F86"/>
    <w:rsid w:val="00E74FD3"/>
    <w:rsid w:val="00E750A4"/>
    <w:rsid w:val="00E75232"/>
    <w:rsid w:val="00E75272"/>
    <w:rsid w:val="00E75351"/>
    <w:rsid w:val="00E75498"/>
    <w:rsid w:val="00E75565"/>
    <w:rsid w:val="00E75932"/>
    <w:rsid w:val="00E759BD"/>
    <w:rsid w:val="00E75AFE"/>
    <w:rsid w:val="00E75CCB"/>
    <w:rsid w:val="00E75CD8"/>
    <w:rsid w:val="00E75E66"/>
    <w:rsid w:val="00E76645"/>
    <w:rsid w:val="00E76B26"/>
    <w:rsid w:val="00E76D00"/>
    <w:rsid w:val="00E76E20"/>
    <w:rsid w:val="00E7717B"/>
    <w:rsid w:val="00E772FE"/>
    <w:rsid w:val="00E7735F"/>
    <w:rsid w:val="00E773E7"/>
    <w:rsid w:val="00E77419"/>
    <w:rsid w:val="00E774DA"/>
    <w:rsid w:val="00E7765A"/>
    <w:rsid w:val="00E779D8"/>
    <w:rsid w:val="00E77A81"/>
    <w:rsid w:val="00E77AF1"/>
    <w:rsid w:val="00E77BCB"/>
    <w:rsid w:val="00E77CA8"/>
    <w:rsid w:val="00E77E4A"/>
    <w:rsid w:val="00E77F71"/>
    <w:rsid w:val="00E77FA4"/>
    <w:rsid w:val="00E80108"/>
    <w:rsid w:val="00E8022D"/>
    <w:rsid w:val="00E808F9"/>
    <w:rsid w:val="00E80BFD"/>
    <w:rsid w:val="00E8116E"/>
    <w:rsid w:val="00E8129A"/>
    <w:rsid w:val="00E81335"/>
    <w:rsid w:val="00E81718"/>
    <w:rsid w:val="00E8181B"/>
    <w:rsid w:val="00E818F5"/>
    <w:rsid w:val="00E81C1A"/>
    <w:rsid w:val="00E81FC5"/>
    <w:rsid w:val="00E8242D"/>
    <w:rsid w:val="00E8245B"/>
    <w:rsid w:val="00E82591"/>
    <w:rsid w:val="00E8291C"/>
    <w:rsid w:val="00E82A5B"/>
    <w:rsid w:val="00E82B82"/>
    <w:rsid w:val="00E82C21"/>
    <w:rsid w:val="00E82C2F"/>
    <w:rsid w:val="00E82CC4"/>
    <w:rsid w:val="00E82CDC"/>
    <w:rsid w:val="00E82D2F"/>
    <w:rsid w:val="00E82DA8"/>
    <w:rsid w:val="00E82DF2"/>
    <w:rsid w:val="00E82F59"/>
    <w:rsid w:val="00E830B3"/>
    <w:rsid w:val="00E83282"/>
    <w:rsid w:val="00E8331A"/>
    <w:rsid w:val="00E83699"/>
    <w:rsid w:val="00E8399F"/>
    <w:rsid w:val="00E839DA"/>
    <w:rsid w:val="00E83CA7"/>
    <w:rsid w:val="00E83D7F"/>
    <w:rsid w:val="00E84013"/>
    <w:rsid w:val="00E84224"/>
    <w:rsid w:val="00E8442E"/>
    <w:rsid w:val="00E846DA"/>
    <w:rsid w:val="00E84738"/>
    <w:rsid w:val="00E849A5"/>
    <w:rsid w:val="00E84A76"/>
    <w:rsid w:val="00E84A86"/>
    <w:rsid w:val="00E84D24"/>
    <w:rsid w:val="00E84DA5"/>
    <w:rsid w:val="00E852C1"/>
    <w:rsid w:val="00E85430"/>
    <w:rsid w:val="00E855D0"/>
    <w:rsid w:val="00E857EF"/>
    <w:rsid w:val="00E85871"/>
    <w:rsid w:val="00E85AC2"/>
    <w:rsid w:val="00E85D6A"/>
    <w:rsid w:val="00E85EDF"/>
    <w:rsid w:val="00E860E3"/>
    <w:rsid w:val="00E862D0"/>
    <w:rsid w:val="00E862FA"/>
    <w:rsid w:val="00E86557"/>
    <w:rsid w:val="00E86A28"/>
    <w:rsid w:val="00E86C16"/>
    <w:rsid w:val="00E87222"/>
    <w:rsid w:val="00E872B5"/>
    <w:rsid w:val="00E872D4"/>
    <w:rsid w:val="00E87308"/>
    <w:rsid w:val="00E87969"/>
    <w:rsid w:val="00E87B5F"/>
    <w:rsid w:val="00E87C3C"/>
    <w:rsid w:val="00E87E4F"/>
    <w:rsid w:val="00E90084"/>
    <w:rsid w:val="00E90195"/>
    <w:rsid w:val="00E904B1"/>
    <w:rsid w:val="00E906DB"/>
    <w:rsid w:val="00E907AC"/>
    <w:rsid w:val="00E907D9"/>
    <w:rsid w:val="00E90901"/>
    <w:rsid w:val="00E90E04"/>
    <w:rsid w:val="00E9101B"/>
    <w:rsid w:val="00E9155D"/>
    <w:rsid w:val="00E91718"/>
    <w:rsid w:val="00E91748"/>
    <w:rsid w:val="00E91A95"/>
    <w:rsid w:val="00E91EAB"/>
    <w:rsid w:val="00E92192"/>
    <w:rsid w:val="00E92433"/>
    <w:rsid w:val="00E924EB"/>
    <w:rsid w:val="00E92592"/>
    <w:rsid w:val="00E92598"/>
    <w:rsid w:val="00E926C9"/>
    <w:rsid w:val="00E92A43"/>
    <w:rsid w:val="00E92EE8"/>
    <w:rsid w:val="00E92FF3"/>
    <w:rsid w:val="00E937B4"/>
    <w:rsid w:val="00E93D28"/>
    <w:rsid w:val="00E93F5B"/>
    <w:rsid w:val="00E9403F"/>
    <w:rsid w:val="00E943B4"/>
    <w:rsid w:val="00E94723"/>
    <w:rsid w:val="00E94876"/>
    <w:rsid w:val="00E94B9E"/>
    <w:rsid w:val="00E95016"/>
    <w:rsid w:val="00E957E1"/>
    <w:rsid w:val="00E959C5"/>
    <w:rsid w:val="00E95A71"/>
    <w:rsid w:val="00E95ACB"/>
    <w:rsid w:val="00E95ADD"/>
    <w:rsid w:val="00E95D21"/>
    <w:rsid w:val="00E95F23"/>
    <w:rsid w:val="00E9603D"/>
    <w:rsid w:val="00E96143"/>
    <w:rsid w:val="00E961EF"/>
    <w:rsid w:val="00E963F0"/>
    <w:rsid w:val="00E965F3"/>
    <w:rsid w:val="00E96729"/>
    <w:rsid w:val="00E96755"/>
    <w:rsid w:val="00E96897"/>
    <w:rsid w:val="00E96C92"/>
    <w:rsid w:val="00E96E95"/>
    <w:rsid w:val="00E9709C"/>
    <w:rsid w:val="00E9732E"/>
    <w:rsid w:val="00E9734C"/>
    <w:rsid w:val="00E97559"/>
    <w:rsid w:val="00E97633"/>
    <w:rsid w:val="00E97660"/>
    <w:rsid w:val="00E976D9"/>
    <w:rsid w:val="00E9780D"/>
    <w:rsid w:val="00E9790C"/>
    <w:rsid w:val="00E97CA1"/>
    <w:rsid w:val="00E97D6C"/>
    <w:rsid w:val="00E97D8C"/>
    <w:rsid w:val="00E97ED6"/>
    <w:rsid w:val="00EA0034"/>
    <w:rsid w:val="00EA030C"/>
    <w:rsid w:val="00EA0549"/>
    <w:rsid w:val="00EA0809"/>
    <w:rsid w:val="00EA09AF"/>
    <w:rsid w:val="00EA0B8A"/>
    <w:rsid w:val="00EA0E44"/>
    <w:rsid w:val="00EA116A"/>
    <w:rsid w:val="00EA141D"/>
    <w:rsid w:val="00EA1431"/>
    <w:rsid w:val="00EA186D"/>
    <w:rsid w:val="00EA1AD3"/>
    <w:rsid w:val="00EA22A0"/>
    <w:rsid w:val="00EA2548"/>
    <w:rsid w:val="00EA2869"/>
    <w:rsid w:val="00EA2A75"/>
    <w:rsid w:val="00EA2ABE"/>
    <w:rsid w:val="00EA2B81"/>
    <w:rsid w:val="00EA2C38"/>
    <w:rsid w:val="00EA2D3A"/>
    <w:rsid w:val="00EA2E7A"/>
    <w:rsid w:val="00EA304C"/>
    <w:rsid w:val="00EA30B5"/>
    <w:rsid w:val="00EA3204"/>
    <w:rsid w:val="00EA32BA"/>
    <w:rsid w:val="00EA343B"/>
    <w:rsid w:val="00EA3695"/>
    <w:rsid w:val="00EA393E"/>
    <w:rsid w:val="00EA39AE"/>
    <w:rsid w:val="00EA403D"/>
    <w:rsid w:val="00EA412D"/>
    <w:rsid w:val="00EA4188"/>
    <w:rsid w:val="00EA431A"/>
    <w:rsid w:val="00EA4365"/>
    <w:rsid w:val="00EA453A"/>
    <w:rsid w:val="00EA45C1"/>
    <w:rsid w:val="00EA4611"/>
    <w:rsid w:val="00EA4688"/>
    <w:rsid w:val="00EA47B8"/>
    <w:rsid w:val="00EA4A28"/>
    <w:rsid w:val="00EA4AF2"/>
    <w:rsid w:val="00EA4E33"/>
    <w:rsid w:val="00EA4F10"/>
    <w:rsid w:val="00EA506D"/>
    <w:rsid w:val="00EA5181"/>
    <w:rsid w:val="00EA5314"/>
    <w:rsid w:val="00EA5318"/>
    <w:rsid w:val="00EA533C"/>
    <w:rsid w:val="00EA5364"/>
    <w:rsid w:val="00EA54BF"/>
    <w:rsid w:val="00EA5652"/>
    <w:rsid w:val="00EA56DF"/>
    <w:rsid w:val="00EA5761"/>
    <w:rsid w:val="00EA585E"/>
    <w:rsid w:val="00EA5A01"/>
    <w:rsid w:val="00EA5B4D"/>
    <w:rsid w:val="00EA5B81"/>
    <w:rsid w:val="00EA5E60"/>
    <w:rsid w:val="00EA6518"/>
    <w:rsid w:val="00EA6DCF"/>
    <w:rsid w:val="00EA6E13"/>
    <w:rsid w:val="00EA6ED4"/>
    <w:rsid w:val="00EA70C5"/>
    <w:rsid w:val="00EA7541"/>
    <w:rsid w:val="00EA759D"/>
    <w:rsid w:val="00EA763D"/>
    <w:rsid w:val="00EA77CD"/>
    <w:rsid w:val="00EA78A8"/>
    <w:rsid w:val="00EA78E7"/>
    <w:rsid w:val="00EA7B15"/>
    <w:rsid w:val="00EA7B58"/>
    <w:rsid w:val="00EA7DC1"/>
    <w:rsid w:val="00EA7F59"/>
    <w:rsid w:val="00EA7FDD"/>
    <w:rsid w:val="00EB0189"/>
    <w:rsid w:val="00EB0703"/>
    <w:rsid w:val="00EB0761"/>
    <w:rsid w:val="00EB122D"/>
    <w:rsid w:val="00EB126B"/>
    <w:rsid w:val="00EB1276"/>
    <w:rsid w:val="00EB12AD"/>
    <w:rsid w:val="00EB163E"/>
    <w:rsid w:val="00EB171D"/>
    <w:rsid w:val="00EB17BE"/>
    <w:rsid w:val="00EB1EB2"/>
    <w:rsid w:val="00EB1FD4"/>
    <w:rsid w:val="00EB205A"/>
    <w:rsid w:val="00EB220D"/>
    <w:rsid w:val="00EB22CE"/>
    <w:rsid w:val="00EB2569"/>
    <w:rsid w:val="00EB25CC"/>
    <w:rsid w:val="00EB2B1B"/>
    <w:rsid w:val="00EB2E23"/>
    <w:rsid w:val="00EB31DB"/>
    <w:rsid w:val="00EB351A"/>
    <w:rsid w:val="00EB35A1"/>
    <w:rsid w:val="00EB363A"/>
    <w:rsid w:val="00EB3794"/>
    <w:rsid w:val="00EB38F5"/>
    <w:rsid w:val="00EB39FF"/>
    <w:rsid w:val="00EB3A93"/>
    <w:rsid w:val="00EB3CCD"/>
    <w:rsid w:val="00EB3F0A"/>
    <w:rsid w:val="00EB40C4"/>
    <w:rsid w:val="00EB41B1"/>
    <w:rsid w:val="00EB45D4"/>
    <w:rsid w:val="00EB461A"/>
    <w:rsid w:val="00EB479B"/>
    <w:rsid w:val="00EB4910"/>
    <w:rsid w:val="00EB4C9B"/>
    <w:rsid w:val="00EB4D67"/>
    <w:rsid w:val="00EB4DC4"/>
    <w:rsid w:val="00EB4EAE"/>
    <w:rsid w:val="00EB4F83"/>
    <w:rsid w:val="00EB5005"/>
    <w:rsid w:val="00EB50B0"/>
    <w:rsid w:val="00EB5320"/>
    <w:rsid w:val="00EB55FA"/>
    <w:rsid w:val="00EB569D"/>
    <w:rsid w:val="00EB56D6"/>
    <w:rsid w:val="00EB57DE"/>
    <w:rsid w:val="00EB59D2"/>
    <w:rsid w:val="00EB5AC8"/>
    <w:rsid w:val="00EB5C7B"/>
    <w:rsid w:val="00EB5E6B"/>
    <w:rsid w:val="00EB6068"/>
    <w:rsid w:val="00EB639A"/>
    <w:rsid w:val="00EB6633"/>
    <w:rsid w:val="00EB66C3"/>
    <w:rsid w:val="00EB6785"/>
    <w:rsid w:val="00EB6892"/>
    <w:rsid w:val="00EB6C83"/>
    <w:rsid w:val="00EB6F5C"/>
    <w:rsid w:val="00EB7014"/>
    <w:rsid w:val="00EB7076"/>
    <w:rsid w:val="00EB72AE"/>
    <w:rsid w:val="00EB7602"/>
    <w:rsid w:val="00EB7630"/>
    <w:rsid w:val="00EB781C"/>
    <w:rsid w:val="00EB787F"/>
    <w:rsid w:val="00EB7B36"/>
    <w:rsid w:val="00EB7B39"/>
    <w:rsid w:val="00EB7B82"/>
    <w:rsid w:val="00EB7FA6"/>
    <w:rsid w:val="00EC011B"/>
    <w:rsid w:val="00EC011F"/>
    <w:rsid w:val="00EC0241"/>
    <w:rsid w:val="00EC0286"/>
    <w:rsid w:val="00EC044B"/>
    <w:rsid w:val="00EC044D"/>
    <w:rsid w:val="00EC0642"/>
    <w:rsid w:val="00EC0830"/>
    <w:rsid w:val="00EC08B5"/>
    <w:rsid w:val="00EC0A3A"/>
    <w:rsid w:val="00EC0B51"/>
    <w:rsid w:val="00EC0B8E"/>
    <w:rsid w:val="00EC0CDA"/>
    <w:rsid w:val="00EC0E57"/>
    <w:rsid w:val="00EC100A"/>
    <w:rsid w:val="00EC12AF"/>
    <w:rsid w:val="00EC18AC"/>
    <w:rsid w:val="00EC1900"/>
    <w:rsid w:val="00EC1925"/>
    <w:rsid w:val="00EC1D8F"/>
    <w:rsid w:val="00EC2029"/>
    <w:rsid w:val="00EC2054"/>
    <w:rsid w:val="00EC21DF"/>
    <w:rsid w:val="00EC21E0"/>
    <w:rsid w:val="00EC25D5"/>
    <w:rsid w:val="00EC260E"/>
    <w:rsid w:val="00EC28D8"/>
    <w:rsid w:val="00EC29CB"/>
    <w:rsid w:val="00EC29D0"/>
    <w:rsid w:val="00EC2ADA"/>
    <w:rsid w:val="00EC2E8A"/>
    <w:rsid w:val="00EC2ECF"/>
    <w:rsid w:val="00EC2ED0"/>
    <w:rsid w:val="00EC3431"/>
    <w:rsid w:val="00EC3570"/>
    <w:rsid w:val="00EC35B4"/>
    <w:rsid w:val="00EC3864"/>
    <w:rsid w:val="00EC3922"/>
    <w:rsid w:val="00EC3A98"/>
    <w:rsid w:val="00EC3C29"/>
    <w:rsid w:val="00EC3D05"/>
    <w:rsid w:val="00EC3D0E"/>
    <w:rsid w:val="00EC3DCF"/>
    <w:rsid w:val="00EC4050"/>
    <w:rsid w:val="00EC41F8"/>
    <w:rsid w:val="00EC43AB"/>
    <w:rsid w:val="00EC4419"/>
    <w:rsid w:val="00EC4461"/>
    <w:rsid w:val="00EC466A"/>
    <w:rsid w:val="00EC4998"/>
    <w:rsid w:val="00EC4B1C"/>
    <w:rsid w:val="00EC4B30"/>
    <w:rsid w:val="00EC4C9D"/>
    <w:rsid w:val="00EC5120"/>
    <w:rsid w:val="00EC536F"/>
    <w:rsid w:val="00EC554E"/>
    <w:rsid w:val="00EC569E"/>
    <w:rsid w:val="00EC5752"/>
    <w:rsid w:val="00EC5BB0"/>
    <w:rsid w:val="00EC5CDE"/>
    <w:rsid w:val="00EC5DA5"/>
    <w:rsid w:val="00EC60BB"/>
    <w:rsid w:val="00EC62B7"/>
    <w:rsid w:val="00EC65F9"/>
    <w:rsid w:val="00EC6A0C"/>
    <w:rsid w:val="00EC6BAC"/>
    <w:rsid w:val="00EC6E07"/>
    <w:rsid w:val="00EC6EAF"/>
    <w:rsid w:val="00EC6EF7"/>
    <w:rsid w:val="00EC6F68"/>
    <w:rsid w:val="00EC728F"/>
    <w:rsid w:val="00EC731C"/>
    <w:rsid w:val="00EC73EB"/>
    <w:rsid w:val="00EC7702"/>
    <w:rsid w:val="00EC7790"/>
    <w:rsid w:val="00EC7EB8"/>
    <w:rsid w:val="00ED03A0"/>
    <w:rsid w:val="00ED06E3"/>
    <w:rsid w:val="00ED0A53"/>
    <w:rsid w:val="00ED0CD0"/>
    <w:rsid w:val="00ED0DB9"/>
    <w:rsid w:val="00ED0DBB"/>
    <w:rsid w:val="00ED0EF6"/>
    <w:rsid w:val="00ED117A"/>
    <w:rsid w:val="00ED1495"/>
    <w:rsid w:val="00ED15F9"/>
    <w:rsid w:val="00ED1771"/>
    <w:rsid w:val="00ED1824"/>
    <w:rsid w:val="00ED190C"/>
    <w:rsid w:val="00ED1AC0"/>
    <w:rsid w:val="00ED1DB4"/>
    <w:rsid w:val="00ED22E6"/>
    <w:rsid w:val="00ED2504"/>
    <w:rsid w:val="00ED28B8"/>
    <w:rsid w:val="00ED2AEA"/>
    <w:rsid w:val="00ED2E6F"/>
    <w:rsid w:val="00ED3077"/>
    <w:rsid w:val="00ED321E"/>
    <w:rsid w:val="00ED33CB"/>
    <w:rsid w:val="00ED3439"/>
    <w:rsid w:val="00ED347F"/>
    <w:rsid w:val="00ED369F"/>
    <w:rsid w:val="00ED385E"/>
    <w:rsid w:val="00ED4057"/>
    <w:rsid w:val="00ED4194"/>
    <w:rsid w:val="00ED43A4"/>
    <w:rsid w:val="00ED43D1"/>
    <w:rsid w:val="00ED4809"/>
    <w:rsid w:val="00ED487E"/>
    <w:rsid w:val="00ED4A0C"/>
    <w:rsid w:val="00ED4AC4"/>
    <w:rsid w:val="00ED4B10"/>
    <w:rsid w:val="00ED4B1D"/>
    <w:rsid w:val="00ED4E82"/>
    <w:rsid w:val="00ED5C9F"/>
    <w:rsid w:val="00ED5D5F"/>
    <w:rsid w:val="00ED6045"/>
    <w:rsid w:val="00ED63CA"/>
    <w:rsid w:val="00ED642B"/>
    <w:rsid w:val="00ED64F1"/>
    <w:rsid w:val="00ED656C"/>
    <w:rsid w:val="00ED65E9"/>
    <w:rsid w:val="00ED6661"/>
    <w:rsid w:val="00ED66E9"/>
    <w:rsid w:val="00ED6734"/>
    <w:rsid w:val="00ED68FC"/>
    <w:rsid w:val="00ED692C"/>
    <w:rsid w:val="00ED6ACA"/>
    <w:rsid w:val="00ED6AE8"/>
    <w:rsid w:val="00ED6D0B"/>
    <w:rsid w:val="00ED6E05"/>
    <w:rsid w:val="00ED7075"/>
    <w:rsid w:val="00ED7089"/>
    <w:rsid w:val="00ED72CA"/>
    <w:rsid w:val="00ED7535"/>
    <w:rsid w:val="00ED764D"/>
    <w:rsid w:val="00ED76F9"/>
    <w:rsid w:val="00ED7719"/>
    <w:rsid w:val="00ED7794"/>
    <w:rsid w:val="00ED78CE"/>
    <w:rsid w:val="00ED79D4"/>
    <w:rsid w:val="00ED7B13"/>
    <w:rsid w:val="00ED7BF3"/>
    <w:rsid w:val="00ED7D35"/>
    <w:rsid w:val="00ED7E01"/>
    <w:rsid w:val="00ED7EE5"/>
    <w:rsid w:val="00EE00BC"/>
    <w:rsid w:val="00EE02B3"/>
    <w:rsid w:val="00EE0391"/>
    <w:rsid w:val="00EE03A9"/>
    <w:rsid w:val="00EE03B4"/>
    <w:rsid w:val="00EE0431"/>
    <w:rsid w:val="00EE0552"/>
    <w:rsid w:val="00EE05C7"/>
    <w:rsid w:val="00EE06DE"/>
    <w:rsid w:val="00EE0719"/>
    <w:rsid w:val="00EE07CA"/>
    <w:rsid w:val="00EE08C6"/>
    <w:rsid w:val="00EE0974"/>
    <w:rsid w:val="00EE0BC4"/>
    <w:rsid w:val="00EE0D13"/>
    <w:rsid w:val="00EE0F1A"/>
    <w:rsid w:val="00EE0F7D"/>
    <w:rsid w:val="00EE12A5"/>
    <w:rsid w:val="00EE19AC"/>
    <w:rsid w:val="00EE1A76"/>
    <w:rsid w:val="00EE1E4E"/>
    <w:rsid w:val="00EE1E9E"/>
    <w:rsid w:val="00EE21A3"/>
    <w:rsid w:val="00EE257E"/>
    <w:rsid w:val="00EE2C23"/>
    <w:rsid w:val="00EE2C94"/>
    <w:rsid w:val="00EE2D80"/>
    <w:rsid w:val="00EE2DFD"/>
    <w:rsid w:val="00EE2E06"/>
    <w:rsid w:val="00EE3253"/>
    <w:rsid w:val="00EE33A1"/>
    <w:rsid w:val="00EE3626"/>
    <w:rsid w:val="00EE3780"/>
    <w:rsid w:val="00EE37B8"/>
    <w:rsid w:val="00EE37C8"/>
    <w:rsid w:val="00EE3856"/>
    <w:rsid w:val="00EE3CFD"/>
    <w:rsid w:val="00EE3F17"/>
    <w:rsid w:val="00EE41EB"/>
    <w:rsid w:val="00EE458A"/>
    <w:rsid w:val="00EE493C"/>
    <w:rsid w:val="00EE4989"/>
    <w:rsid w:val="00EE498E"/>
    <w:rsid w:val="00EE4998"/>
    <w:rsid w:val="00EE4AC2"/>
    <w:rsid w:val="00EE4B5A"/>
    <w:rsid w:val="00EE4C31"/>
    <w:rsid w:val="00EE4D22"/>
    <w:rsid w:val="00EE4D49"/>
    <w:rsid w:val="00EE507E"/>
    <w:rsid w:val="00EE5119"/>
    <w:rsid w:val="00EE5173"/>
    <w:rsid w:val="00EE52A7"/>
    <w:rsid w:val="00EE52CB"/>
    <w:rsid w:val="00EE5571"/>
    <w:rsid w:val="00EE55D1"/>
    <w:rsid w:val="00EE5989"/>
    <w:rsid w:val="00EE5E85"/>
    <w:rsid w:val="00EE600B"/>
    <w:rsid w:val="00EE6065"/>
    <w:rsid w:val="00EE61E2"/>
    <w:rsid w:val="00EE6BD3"/>
    <w:rsid w:val="00EE6DE5"/>
    <w:rsid w:val="00EE6EE8"/>
    <w:rsid w:val="00EE6FEF"/>
    <w:rsid w:val="00EE7073"/>
    <w:rsid w:val="00EE71F7"/>
    <w:rsid w:val="00EE75FB"/>
    <w:rsid w:val="00EE763D"/>
    <w:rsid w:val="00EE7A0D"/>
    <w:rsid w:val="00EE7C6D"/>
    <w:rsid w:val="00EE7E7A"/>
    <w:rsid w:val="00EF02DF"/>
    <w:rsid w:val="00EF060F"/>
    <w:rsid w:val="00EF069C"/>
    <w:rsid w:val="00EF06FF"/>
    <w:rsid w:val="00EF0AA9"/>
    <w:rsid w:val="00EF0EA7"/>
    <w:rsid w:val="00EF16E6"/>
    <w:rsid w:val="00EF195A"/>
    <w:rsid w:val="00EF19EE"/>
    <w:rsid w:val="00EF1AEE"/>
    <w:rsid w:val="00EF1B10"/>
    <w:rsid w:val="00EF1F50"/>
    <w:rsid w:val="00EF2352"/>
    <w:rsid w:val="00EF275B"/>
    <w:rsid w:val="00EF2777"/>
    <w:rsid w:val="00EF2831"/>
    <w:rsid w:val="00EF293F"/>
    <w:rsid w:val="00EF295D"/>
    <w:rsid w:val="00EF2A40"/>
    <w:rsid w:val="00EF2B24"/>
    <w:rsid w:val="00EF2BF0"/>
    <w:rsid w:val="00EF2DA4"/>
    <w:rsid w:val="00EF2DED"/>
    <w:rsid w:val="00EF30E0"/>
    <w:rsid w:val="00EF312D"/>
    <w:rsid w:val="00EF3199"/>
    <w:rsid w:val="00EF323E"/>
    <w:rsid w:val="00EF33FA"/>
    <w:rsid w:val="00EF352A"/>
    <w:rsid w:val="00EF367E"/>
    <w:rsid w:val="00EF37AA"/>
    <w:rsid w:val="00EF3953"/>
    <w:rsid w:val="00EF398D"/>
    <w:rsid w:val="00EF3E36"/>
    <w:rsid w:val="00EF4286"/>
    <w:rsid w:val="00EF42D7"/>
    <w:rsid w:val="00EF459F"/>
    <w:rsid w:val="00EF4692"/>
    <w:rsid w:val="00EF4810"/>
    <w:rsid w:val="00EF4AE4"/>
    <w:rsid w:val="00EF4B72"/>
    <w:rsid w:val="00EF4D74"/>
    <w:rsid w:val="00EF4F02"/>
    <w:rsid w:val="00EF4FBA"/>
    <w:rsid w:val="00EF4FC1"/>
    <w:rsid w:val="00EF53BC"/>
    <w:rsid w:val="00EF55F3"/>
    <w:rsid w:val="00EF5977"/>
    <w:rsid w:val="00EF5990"/>
    <w:rsid w:val="00EF5A30"/>
    <w:rsid w:val="00EF5CE7"/>
    <w:rsid w:val="00EF5D1D"/>
    <w:rsid w:val="00EF5E1B"/>
    <w:rsid w:val="00EF5E8C"/>
    <w:rsid w:val="00EF6041"/>
    <w:rsid w:val="00EF610B"/>
    <w:rsid w:val="00EF6200"/>
    <w:rsid w:val="00EF6252"/>
    <w:rsid w:val="00EF63DE"/>
    <w:rsid w:val="00EF6601"/>
    <w:rsid w:val="00EF693E"/>
    <w:rsid w:val="00EF6CD6"/>
    <w:rsid w:val="00EF7056"/>
    <w:rsid w:val="00EF712C"/>
    <w:rsid w:val="00EF7228"/>
    <w:rsid w:val="00EF7348"/>
    <w:rsid w:val="00EF7608"/>
    <w:rsid w:val="00EF7B0A"/>
    <w:rsid w:val="00EF7C72"/>
    <w:rsid w:val="00EF7C74"/>
    <w:rsid w:val="00EF7CE0"/>
    <w:rsid w:val="00F00059"/>
    <w:rsid w:val="00F00117"/>
    <w:rsid w:val="00F00244"/>
    <w:rsid w:val="00F00363"/>
    <w:rsid w:val="00F00445"/>
    <w:rsid w:val="00F0044B"/>
    <w:rsid w:val="00F0049D"/>
    <w:rsid w:val="00F004AB"/>
    <w:rsid w:val="00F00719"/>
    <w:rsid w:val="00F00805"/>
    <w:rsid w:val="00F00B69"/>
    <w:rsid w:val="00F00BF3"/>
    <w:rsid w:val="00F011CE"/>
    <w:rsid w:val="00F01203"/>
    <w:rsid w:val="00F01296"/>
    <w:rsid w:val="00F0129F"/>
    <w:rsid w:val="00F012A7"/>
    <w:rsid w:val="00F01316"/>
    <w:rsid w:val="00F01327"/>
    <w:rsid w:val="00F01505"/>
    <w:rsid w:val="00F01BAC"/>
    <w:rsid w:val="00F01EB5"/>
    <w:rsid w:val="00F01FBB"/>
    <w:rsid w:val="00F0222C"/>
    <w:rsid w:val="00F02518"/>
    <w:rsid w:val="00F02715"/>
    <w:rsid w:val="00F02843"/>
    <w:rsid w:val="00F029F1"/>
    <w:rsid w:val="00F02DC8"/>
    <w:rsid w:val="00F03137"/>
    <w:rsid w:val="00F03267"/>
    <w:rsid w:val="00F03632"/>
    <w:rsid w:val="00F03906"/>
    <w:rsid w:val="00F03B9F"/>
    <w:rsid w:val="00F03C26"/>
    <w:rsid w:val="00F03F32"/>
    <w:rsid w:val="00F03F37"/>
    <w:rsid w:val="00F03F8F"/>
    <w:rsid w:val="00F044C8"/>
    <w:rsid w:val="00F044CB"/>
    <w:rsid w:val="00F04722"/>
    <w:rsid w:val="00F04948"/>
    <w:rsid w:val="00F04AF7"/>
    <w:rsid w:val="00F04B23"/>
    <w:rsid w:val="00F04C66"/>
    <w:rsid w:val="00F04CBC"/>
    <w:rsid w:val="00F04D3D"/>
    <w:rsid w:val="00F051CF"/>
    <w:rsid w:val="00F05304"/>
    <w:rsid w:val="00F053F5"/>
    <w:rsid w:val="00F05572"/>
    <w:rsid w:val="00F0557E"/>
    <w:rsid w:val="00F055B8"/>
    <w:rsid w:val="00F055DD"/>
    <w:rsid w:val="00F0570F"/>
    <w:rsid w:val="00F05AFA"/>
    <w:rsid w:val="00F05D46"/>
    <w:rsid w:val="00F05E95"/>
    <w:rsid w:val="00F05F67"/>
    <w:rsid w:val="00F061DC"/>
    <w:rsid w:val="00F06710"/>
    <w:rsid w:val="00F0672E"/>
    <w:rsid w:val="00F0687D"/>
    <w:rsid w:val="00F06A20"/>
    <w:rsid w:val="00F06BA0"/>
    <w:rsid w:val="00F06C10"/>
    <w:rsid w:val="00F06CE3"/>
    <w:rsid w:val="00F06F35"/>
    <w:rsid w:val="00F0736C"/>
    <w:rsid w:val="00F075D2"/>
    <w:rsid w:val="00F0782B"/>
    <w:rsid w:val="00F07963"/>
    <w:rsid w:val="00F07A32"/>
    <w:rsid w:val="00F07C1A"/>
    <w:rsid w:val="00F07C27"/>
    <w:rsid w:val="00F07DDA"/>
    <w:rsid w:val="00F07F1D"/>
    <w:rsid w:val="00F07FEF"/>
    <w:rsid w:val="00F1016D"/>
    <w:rsid w:val="00F10BBD"/>
    <w:rsid w:val="00F10BDD"/>
    <w:rsid w:val="00F10C49"/>
    <w:rsid w:val="00F10ED0"/>
    <w:rsid w:val="00F11214"/>
    <w:rsid w:val="00F113BC"/>
    <w:rsid w:val="00F11427"/>
    <w:rsid w:val="00F1147D"/>
    <w:rsid w:val="00F114A7"/>
    <w:rsid w:val="00F119EC"/>
    <w:rsid w:val="00F11DBE"/>
    <w:rsid w:val="00F11F9E"/>
    <w:rsid w:val="00F121CF"/>
    <w:rsid w:val="00F12312"/>
    <w:rsid w:val="00F127AB"/>
    <w:rsid w:val="00F127C0"/>
    <w:rsid w:val="00F12D41"/>
    <w:rsid w:val="00F12D60"/>
    <w:rsid w:val="00F13055"/>
    <w:rsid w:val="00F1308E"/>
    <w:rsid w:val="00F13261"/>
    <w:rsid w:val="00F13377"/>
    <w:rsid w:val="00F13759"/>
    <w:rsid w:val="00F1394A"/>
    <w:rsid w:val="00F139FB"/>
    <w:rsid w:val="00F13CAE"/>
    <w:rsid w:val="00F13CD8"/>
    <w:rsid w:val="00F13D1F"/>
    <w:rsid w:val="00F13D32"/>
    <w:rsid w:val="00F140A1"/>
    <w:rsid w:val="00F14141"/>
    <w:rsid w:val="00F14325"/>
    <w:rsid w:val="00F144EB"/>
    <w:rsid w:val="00F14759"/>
    <w:rsid w:val="00F14787"/>
    <w:rsid w:val="00F14ADE"/>
    <w:rsid w:val="00F14C45"/>
    <w:rsid w:val="00F14EA5"/>
    <w:rsid w:val="00F14F3E"/>
    <w:rsid w:val="00F14FB3"/>
    <w:rsid w:val="00F150A1"/>
    <w:rsid w:val="00F15207"/>
    <w:rsid w:val="00F15332"/>
    <w:rsid w:val="00F1568A"/>
    <w:rsid w:val="00F1574E"/>
    <w:rsid w:val="00F15C2B"/>
    <w:rsid w:val="00F15F05"/>
    <w:rsid w:val="00F1600C"/>
    <w:rsid w:val="00F16091"/>
    <w:rsid w:val="00F160A8"/>
    <w:rsid w:val="00F161C0"/>
    <w:rsid w:val="00F164B4"/>
    <w:rsid w:val="00F164F0"/>
    <w:rsid w:val="00F1653A"/>
    <w:rsid w:val="00F165D8"/>
    <w:rsid w:val="00F1682A"/>
    <w:rsid w:val="00F16831"/>
    <w:rsid w:val="00F1694B"/>
    <w:rsid w:val="00F16A2D"/>
    <w:rsid w:val="00F16BFC"/>
    <w:rsid w:val="00F16EFA"/>
    <w:rsid w:val="00F1707A"/>
    <w:rsid w:val="00F1724D"/>
    <w:rsid w:val="00F175A1"/>
    <w:rsid w:val="00F176D0"/>
    <w:rsid w:val="00F176FF"/>
    <w:rsid w:val="00F177C7"/>
    <w:rsid w:val="00F17C24"/>
    <w:rsid w:val="00F17CE1"/>
    <w:rsid w:val="00F205F2"/>
    <w:rsid w:val="00F206FF"/>
    <w:rsid w:val="00F20771"/>
    <w:rsid w:val="00F2077A"/>
    <w:rsid w:val="00F20A5B"/>
    <w:rsid w:val="00F20B2F"/>
    <w:rsid w:val="00F20B4F"/>
    <w:rsid w:val="00F20BF5"/>
    <w:rsid w:val="00F2113C"/>
    <w:rsid w:val="00F2115C"/>
    <w:rsid w:val="00F21166"/>
    <w:rsid w:val="00F218FC"/>
    <w:rsid w:val="00F21A05"/>
    <w:rsid w:val="00F21C38"/>
    <w:rsid w:val="00F21E40"/>
    <w:rsid w:val="00F222EB"/>
    <w:rsid w:val="00F2238C"/>
    <w:rsid w:val="00F226F4"/>
    <w:rsid w:val="00F2273B"/>
    <w:rsid w:val="00F228D4"/>
    <w:rsid w:val="00F22ABA"/>
    <w:rsid w:val="00F22AC3"/>
    <w:rsid w:val="00F22AF2"/>
    <w:rsid w:val="00F22B8D"/>
    <w:rsid w:val="00F22CAF"/>
    <w:rsid w:val="00F23291"/>
    <w:rsid w:val="00F23494"/>
    <w:rsid w:val="00F23573"/>
    <w:rsid w:val="00F23C6C"/>
    <w:rsid w:val="00F23F25"/>
    <w:rsid w:val="00F241B4"/>
    <w:rsid w:val="00F24249"/>
    <w:rsid w:val="00F242F9"/>
    <w:rsid w:val="00F245E1"/>
    <w:rsid w:val="00F24952"/>
    <w:rsid w:val="00F24C14"/>
    <w:rsid w:val="00F24D08"/>
    <w:rsid w:val="00F257D2"/>
    <w:rsid w:val="00F2592A"/>
    <w:rsid w:val="00F25A1F"/>
    <w:rsid w:val="00F261EC"/>
    <w:rsid w:val="00F26521"/>
    <w:rsid w:val="00F2656B"/>
    <w:rsid w:val="00F265A5"/>
    <w:rsid w:val="00F265EF"/>
    <w:rsid w:val="00F26645"/>
    <w:rsid w:val="00F2666B"/>
    <w:rsid w:val="00F26868"/>
    <w:rsid w:val="00F268BC"/>
    <w:rsid w:val="00F26DB0"/>
    <w:rsid w:val="00F26E2B"/>
    <w:rsid w:val="00F26EAE"/>
    <w:rsid w:val="00F26F23"/>
    <w:rsid w:val="00F26F3C"/>
    <w:rsid w:val="00F27004"/>
    <w:rsid w:val="00F272FE"/>
    <w:rsid w:val="00F275B3"/>
    <w:rsid w:val="00F276CD"/>
    <w:rsid w:val="00F27763"/>
    <w:rsid w:val="00F27EC9"/>
    <w:rsid w:val="00F30005"/>
    <w:rsid w:val="00F304E6"/>
    <w:rsid w:val="00F305AF"/>
    <w:rsid w:val="00F305CA"/>
    <w:rsid w:val="00F3064C"/>
    <w:rsid w:val="00F30720"/>
    <w:rsid w:val="00F3082D"/>
    <w:rsid w:val="00F3085E"/>
    <w:rsid w:val="00F309B1"/>
    <w:rsid w:val="00F30C40"/>
    <w:rsid w:val="00F31233"/>
    <w:rsid w:val="00F312AD"/>
    <w:rsid w:val="00F31640"/>
    <w:rsid w:val="00F317AC"/>
    <w:rsid w:val="00F317BF"/>
    <w:rsid w:val="00F31820"/>
    <w:rsid w:val="00F31A24"/>
    <w:rsid w:val="00F31ACC"/>
    <w:rsid w:val="00F31CAA"/>
    <w:rsid w:val="00F31CBA"/>
    <w:rsid w:val="00F32652"/>
    <w:rsid w:val="00F32736"/>
    <w:rsid w:val="00F32844"/>
    <w:rsid w:val="00F32866"/>
    <w:rsid w:val="00F3293F"/>
    <w:rsid w:val="00F32A49"/>
    <w:rsid w:val="00F32C81"/>
    <w:rsid w:val="00F32EEC"/>
    <w:rsid w:val="00F32EFD"/>
    <w:rsid w:val="00F32F4B"/>
    <w:rsid w:val="00F3378C"/>
    <w:rsid w:val="00F33872"/>
    <w:rsid w:val="00F33938"/>
    <w:rsid w:val="00F3393B"/>
    <w:rsid w:val="00F3397D"/>
    <w:rsid w:val="00F339B6"/>
    <w:rsid w:val="00F33C0E"/>
    <w:rsid w:val="00F33C40"/>
    <w:rsid w:val="00F33C72"/>
    <w:rsid w:val="00F33E59"/>
    <w:rsid w:val="00F33F17"/>
    <w:rsid w:val="00F33F9E"/>
    <w:rsid w:val="00F34024"/>
    <w:rsid w:val="00F340FD"/>
    <w:rsid w:val="00F343AE"/>
    <w:rsid w:val="00F3466D"/>
    <w:rsid w:val="00F3471B"/>
    <w:rsid w:val="00F348CD"/>
    <w:rsid w:val="00F34973"/>
    <w:rsid w:val="00F349C9"/>
    <w:rsid w:val="00F34C5F"/>
    <w:rsid w:val="00F35080"/>
    <w:rsid w:val="00F351A3"/>
    <w:rsid w:val="00F35328"/>
    <w:rsid w:val="00F356D3"/>
    <w:rsid w:val="00F3576C"/>
    <w:rsid w:val="00F35995"/>
    <w:rsid w:val="00F35B85"/>
    <w:rsid w:val="00F35CD1"/>
    <w:rsid w:val="00F35DF8"/>
    <w:rsid w:val="00F35EA8"/>
    <w:rsid w:val="00F3638F"/>
    <w:rsid w:val="00F363EF"/>
    <w:rsid w:val="00F3648D"/>
    <w:rsid w:val="00F36512"/>
    <w:rsid w:val="00F36640"/>
    <w:rsid w:val="00F3690C"/>
    <w:rsid w:val="00F36AF8"/>
    <w:rsid w:val="00F36B12"/>
    <w:rsid w:val="00F36D21"/>
    <w:rsid w:val="00F36F22"/>
    <w:rsid w:val="00F36F2B"/>
    <w:rsid w:val="00F36F58"/>
    <w:rsid w:val="00F37012"/>
    <w:rsid w:val="00F370BB"/>
    <w:rsid w:val="00F378C8"/>
    <w:rsid w:val="00F37D3F"/>
    <w:rsid w:val="00F37E28"/>
    <w:rsid w:val="00F37E8A"/>
    <w:rsid w:val="00F40107"/>
    <w:rsid w:val="00F4019D"/>
    <w:rsid w:val="00F4023C"/>
    <w:rsid w:val="00F40418"/>
    <w:rsid w:val="00F40694"/>
    <w:rsid w:val="00F409DA"/>
    <w:rsid w:val="00F40FA3"/>
    <w:rsid w:val="00F41180"/>
    <w:rsid w:val="00F41257"/>
    <w:rsid w:val="00F4140D"/>
    <w:rsid w:val="00F41465"/>
    <w:rsid w:val="00F414A6"/>
    <w:rsid w:val="00F41519"/>
    <w:rsid w:val="00F419B0"/>
    <w:rsid w:val="00F41B15"/>
    <w:rsid w:val="00F41BB5"/>
    <w:rsid w:val="00F41D5D"/>
    <w:rsid w:val="00F41DFC"/>
    <w:rsid w:val="00F42134"/>
    <w:rsid w:val="00F4214B"/>
    <w:rsid w:val="00F42174"/>
    <w:rsid w:val="00F42299"/>
    <w:rsid w:val="00F423B9"/>
    <w:rsid w:val="00F42B05"/>
    <w:rsid w:val="00F42E00"/>
    <w:rsid w:val="00F42E6D"/>
    <w:rsid w:val="00F42F22"/>
    <w:rsid w:val="00F42F75"/>
    <w:rsid w:val="00F42FF6"/>
    <w:rsid w:val="00F4301C"/>
    <w:rsid w:val="00F4307C"/>
    <w:rsid w:val="00F43528"/>
    <w:rsid w:val="00F436C0"/>
    <w:rsid w:val="00F4373B"/>
    <w:rsid w:val="00F43752"/>
    <w:rsid w:val="00F438D9"/>
    <w:rsid w:val="00F43AAC"/>
    <w:rsid w:val="00F43B83"/>
    <w:rsid w:val="00F43C3A"/>
    <w:rsid w:val="00F43CA3"/>
    <w:rsid w:val="00F43CF4"/>
    <w:rsid w:val="00F43DC4"/>
    <w:rsid w:val="00F43F6C"/>
    <w:rsid w:val="00F44022"/>
    <w:rsid w:val="00F44034"/>
    <w:rsid w:val="00F448AF"/>
    <w:rsid w:val="00F44963"/>
    <w:rsid w:val="00F44AE7"/>
    <w:rsid w:val="00F44CA0"/>
    <w:rsid w:val="00F44D24"/>
    <w:rsid w:val="00F45118"/>
    <w:rsid w:val="00F4536E"/>
    <w:rsid w:val="00F454B4"/>
    <w:rsid w:val="00F45849"/>
    <w:rsid w:val="00F45940"/>
    <w:rsid w:val="00F45957"/>
    <w:rsid w:val="00F45B97"/>
    <w:rsid w:val="00F45D79"/>
    <w:rsid w:val="00F45DBA"/>
    <w:rsid w:val="00F45EB2"/>
    <w:rsid w:val="00F462BD"/>
    <w:rsid w:val="00F4641B"/>
    <w:rsid w:val="00F465B4"/>
    <w:rsid w:val="00F465EE"/>
    <w:rsid w:val="00F466A7"/>
    <w:rsid w:val="00F46802"/>
    <w:rsid w:val="00F46A8A"/>
    <w:rsid w:val="00F46B54"/>
    <w:rsid w:val="00F46CBA"/>
    <w:rsid w:val="00F46F02"/>
    <w:rsid w:val="00F47195"/>
    <w:rsid w:val="00F472B9"/>
    <w:rsid w:val="00F472D3"/>
    <w:rsid w:val="00F47683"/>
    <w:rsid w:val="00F47743"/>
    <w:rsid w:val="00F477DD"/>
    <w:rsid w:val="00F477EB"/>
    <w:rsid w:val="00F47C64"/>
    <w:rsid w:val="00F47CC7"/>
    <w:rsid w:val="00F5003F"/>
    <w:rsid w:val="00F500CB"/>
    <w:rsid w:val="00F500F0"/>
    <w:rsid w:val="00F50208"/>
    <w:rsid w:val="00F5034A"/>
    <w:rsid w:val="00F50467"/>
    <w:rsid w:val="00F504B0"/>
    <w:rsid w:val="00F504CA"/>
    <w:rsid w:val="00F505E6"/>
    <w:rsid w:val="00F505E9"/>
    <w:rsid w:val="00F5065F"/>
    <w:rsid w:val="00F50A22"/>
    <w:rsid w:val="00F50A9D"/>
    <w:rsid w:val="00F50B25"/>
    <w:rsid w:val="00F50F00"/>
    <w:rsid w:val="00F50FEE"/>
    <w:rsid w:val="00F51738"/>
    <w:rsid w:val="00F517BB"/>
    <w:rsid w:val="00F51903"/>
    <w:rsid w:val="00F51F6A"/>
    <w:rsid w:val="00F527EB"/>
    <w:rsid w:val="00F52A80"/>
    <w:rsid w:val="00F52B25"/>
    <w:rsid w:val="00F52C84"/>
    <w:rsid w:val="00F52C96"/>
    <w:rsid w:val="00F52D85"/>
    <w:rsid w:val="00F52D8E"/>
    <w:rsid w:val="00F52E56"/>
    <w:rsid w:val="00F52E6E"/>
    <w:rsid w:val="00F533C7"/>
    <w:rsid w:val="00F536C2"/>
    <w:rsid w:val="00F538D0"/>
    <w:rsid w:val="00F53986"/>
    <w:rsid w:val="00F53A79"/>
    <w:rsid w:val="00F53B78"/>
    <w:rsid w:val="00F53C59"/>
    <w:rsid w:val="00F53F98"/>
    <w:rsid w:val="00F53FF7"/>
    <w:rsid w:val="00F541F1"/>
    <w:rsid w:val="00F54315"/>
    <w:rsid w:val="00F5438B"/>
    <w:rsid w:val="00F54527"/>
    <w:rsid w:val="00F54669"/>
    <w:rsid w:val="00F54691"/>
    <w:rsid w:val="00F54AF3"/>
    <w:rsid w:val="00F54E9A"/>
    <w:rsid w:val="00F54EF2"/>
    <w:rsid w:val="00F5533E"/>
    <w:rsid w:val="00F55372"/>
    <w:rsid w:val="00F553C1"/>
    <w:rsid w:val="00F55416"/>
    <w:rsid w:val="00F5541D"/>
    <w:rsid w:val="00F5543A"/>
    <w:rsid w:val="00F5577B"/>
    <w:rsid w:val="00F559E0"/>
    <w:rsid w:val="00F55BAE"/>
    <w:rsid w:val="00F55D20"/>
    <w:rsid w:val="00F561E5"/>
    <w:rsid w:val="00F5639D"/>
    <w:rsid w:val="00F56412"/>
    <w:rsid w:val="00F56794"/>
    <w:rsid w:val="00F567A8"/>
    <w:rsid w:val="00F568FB"/>
    <w:rsid w:val="00F56937"/>
    <w:rsid w:val="00F569A4"/>
    <w:rsid w:val="00F56AA6"/>
    <w:rsid w:val="00F56D87"/>
    <w:rsid w:val="00F56DFE"/>
    <w:rsid w:val="00F5732D"/>
    <w:rsid w:val="00F57583"/>
    <w:rsid w:val="00F575F6"/>
    <w:rsid w:val="00F576BD"/>
    <w:rsid w:val="00F577A8"/>
    <w:rsid w:val="00F57AFF"/>
    <w:rsid w:val="00F57B35"/>
    <w:rsid w:val="00F57CEB"/>
    <w:rsid w:val="00F5D6D5"/>
    <w:rsid w:val="00F60009"/>
    <w:rsid w:val="00F6062A"/>
    <w:rsid w:val="00F60CEC"/>
    <w:rsid w:val="00F60E30"/>
    <w:rsid w:val="00F60F9F"/>
    <w:rsid w:val="00F61298"/>
    <w:rsid w:val="00F616FA"/>
    <w:rsid w:val="00F6175F"/>
    <w:rsid w:val="00F618BB"/>
    <w:rsid w:val="00F61966"/>
    <w:rsid w:val="00F619C1"/>
    <w:rsid w:val="00F61D89"/>
    <w:rsid w:val="00F61D9E"/>
    <w:rsid w:val="00F61DB9"/>
    <w:rsid w:val="00F61ED5"/>
    <w:rsid w:val="00F61EDD"/>
    <w:rsid w:val="00F61F7A"/>
    <w:rsid w:val="00F62035"/>
    <w:rsid w:val="00F620AD"/>
    <w:rsid w:val="00F6219C"/>
    <w:rsid w:val="00F621B4"/>
    <w:rsid w:val="00F62298"/>
    <w:rsid w:val="00F6270A"/>
    <w:rsid w:val="00F628C3"/>
    <w:rsid w:val="00F62D7D"/>
    <w:rsid w:val="00F62E44"/>
    <w:rsid w:val="00F62ED3"/>
    <w:rsid w:val="00F62F31"/>
    <w:rsid w:val="00F63012"/>
    <w:rsid w:val="00F63013"/>
    <w:rsid w:val="00F63093"/>
    <w:rsid w:val="00F6314C"/>
    <w:rsid w:val="00F631F4"/>
    <w:rsid w:val="00F6343E"/>
    <w:rsid w:val="00F6345F"/>
    <w:rsid w:val="00F635D9"/>
    <w:rsid w:val="00F637DA"/>
    <w:rsid w:val="00F639BD"/>
    <w:rsid w:val="00F6421D"/>
    <w:rsid w:val="00F644FE"/>
    <w:rsid w:val="00F64761"/>
    <w:rsid w:val="00F64780"/>
    <w:rsid w:val="00F6485D"/>
    <w:rsid w:val="00F64882"/>
    <w:rsid w:val="00F648DB"/>
    <w:rsid w:val="00F64940"/>
    <w:rsid w:val="00F64CFF"/>
    <w:rsid w:val="00F64D17"/>
    <w:rsid w:val="00F64F08"/>
    <w:rsid w:val="00F64F87"/>
    <w:rsid w:val="00F651F2"/>
    <w:rsid w:val="00F652FB"/>
    <w:rsid w:val="00F65352"/>
    <w:rsid w:val="00F6556A"/>
    <w:rsid w:val="00F65DB3"/>
    <w:rsid w:val="00F66175"/>
    <w:rsid w:val="00F661F3"/>
    <w:rsid w:val="00F6629C"/>
    <w:rsid w:val="00F666E6"/>
    <w:rsid w:val="00F66A30"/>
    <w:rsid w:val="00F66C4E"/>
    <w:rsid w:val="00F66CBE"/>
    <w:rsid w:val="00F66D1B"/>
    <w:rsid w:val="00F66F8A"/>
    <w:rsid w:val="00F6703A"/>
    <w:rsid w:val="00F67373"/>
    <w:rsid w:val="00F674F1"/>
    <w:rsid w:val="00F67985"/>
    <w:rsid w:val="00F679FB"/>
    <w:rsid w:val="00F67AA2"/>
    <w:rsid w:val="00F67AC0"/>
    <w:rsid w:val="00F67D07"/>
    <w:rsid w:val="00F70028"/>
    <w:rsid w:val="00F70055"/>
    <w:rsid w:val="00F7007E"/>
    <w:rsid w:val="00F70095"/>
    <w:rsid w:val="00F70198"/>
    <w:rsid w:val="00F702A0"/>
    <w:rsid w:val="00F705F8"/>
    <w:rsid w:val="00F70817"/>
    <w:rsid w:val="00F70B08"/>
    <w:rsid w:val="00F7113D"/>
    <w:rsid w:val="00F71150"/>
    <w:rsid w:val="00F71203"/>
    <w:rsid w:val="00F7127F"/>
    <w:rsid w:val="00F71854"/>
    <w:rsid w:val="00F71A5B"/>
    <w:rsid w:val="00F71B19"/>
    <w:rsid w:val="00F71B85"/>
    <w:rsid w:val="00F71CF1"/>
    <w:rsid w:val="00F71D46"/>
    <w:rsid w:val="00F72016"/>
    <w:rsid w:val="00F720A0"/>
    <w:rsid w:val="00F72420"/>
    <w:rsid w:val="00F72429"/>
    <w:rsid w:val="00F7269E"/>
    <w:rsid w:val="00F72734"/>
    <w:rsid w:val="00F7275F"/>
    <w:rsid w:val="00F72782"/>
    <w:rsid w:val="00F72959"/>
    <w:rsid w:val="00F72971"/>
    <w:rsid w:val="00F729F0"/>
    <w:rsid w:val="00F72DC5"/>
    <w:rsid w:val="00F72DE0"/>
    <w:rsid w:val="00F72EAA"/>
    <w:rsid w:val="00F72F45"/>
    <w:rsid w:val="00F73014"/>
    <w:rsid w:val="00F734F5"/>
    <w:rsid w:val="00F73AED"/>
    <w:rsid w:val="00F73B5B"/>
    <w:rsid w:val="00F73DDB"/>
    <w:rsid w:val="00F73F7B"/>
    <w:rsid w:val="00F74263"/>
    <w:rsid w:val="00F7441F"/>
    <w:rsid w:val="00F74557"/>
    <w:rsid w:val="00F74871"/>
    <w:rsid w:val="00F74894"/>
    <w:rsid w:val="00F7492A"/>
    <w:rsid w:val="00F749BE"/>
    <w:rsid w:val="00F74BAD"/>
    <w:rsid w:val="00F74C41"/>
    <w:rsid w:val="00F75039"/>
    <w:rsid w:val="00F7524D"/>
    <w:rsid w:val="00F75594"/>
    <w:rsid w:val="00F7569B"/>
    <w:rsid w:val="00F7599B"/>
    <w:rsid w:val="00F75A09"/>
    <w:rsid w:val="00F75A10"/>
    <w:rsid w:val="00F75B6C"/>
    <w:rsid w:val="00F75E19"/>
    <w:rsid w:val="00F75FE1"/>
    <w:rsid w:val="00F761C6"/>
    <w:rsid w:val="00F7634B"/>
    <w:rsid w:val="00F76390"/>
    <w:rsid w:val="00F76728"/>
    <w:rsid w:val="00F7676F"/>
    <w:rsid w:val="00F76796"/>
    <w:rsid w:val="00F769FA"/>
    <w:rsid w:val="00F76C37"/>
    <w:rsid w:val="00F76EA2"/>
    <w:rsid w:val="00F7712F"/>
    <w:rsid w:val="00F77190"/>
    <w:rsid w:val="00F772A7"/>
    <w:rsid w:val="00F77450"/>
    <w:rsid w:val="00F775C6"/>
    <w:rsid w:val="00F77762"/>
    <w:rsid w:val="00F7776B"/>
    <w:rsid w:val="00F778D3"/>
    <w:rsid w:val="00F778D4"/>
    <w:rsid w:val="00F77A07"/>
    <w:rsid w:val="00F77C92"/>
    <w:rsid w:val="00F77E4E"/>
    <w:rsid w:val="00F77ED2"/>
    <w:rsid w:val="00F800A5"/>
    <w:rsid w:val="00F8014F"/>
    <w:rsid w:val="00F8038D"/>
    <w:rsid w:val="00F803BD"/>
    <w:rsid w:val="00F80ACF"/>
    <w:rsid w:val="00F80DE2"/>
    <w:rsid w:val="00F813D1"/>
    <w:rsid w:val="00F815C6"/>
    <w:rsid w:val="00F81838"/>
    <w:rsid w:val="00F81879"/>
    <w:rsid w:val="00F81BC2"/>
    <w:rsid w:val="00F81BCC"/>
    <w:rsid w:val="00F81C33"/>
    <w:rsid w:val="00F81E8B"/>
    <w:rsid w:val="00F81FAC"/>
    <w:rsid w:val="00F8232C"/>
    <w:rsid w:val="00F82509"/>
    <w:rsid w:val="00F8277C"/>
    <w:rsid w:val="00F82838"/>
    <w:rsid w:val="00F8283F"/>
    <w:rsid w:val="00F82925"/>
    <w:rsid w:val="00F82A74"/>
    <w:rsid w:val="00F82C7D"/>
    <w:rsid w:val="00F82E52"/>
    <w:rsid w:val="00F82F33"/>
    <w:rsid w:val="00F830E8"/>
    <w:rsid w:val="00F83180"/>
    <w:rsid w:val="00F83454"/>
    <w:rsid w:val="00F835C7"/>
    <w:rsid w:val="00F8388D"/>
    <w:rsid w:val="00F838DF"/>
    <w:rsid w:val="00F83B50"/>
    <w:rsid w:val="00F83C32"/>
    <w:rsid w:val="00F83C8F"/>
    <w:rsid w:val="00F83D47"/>
    <w:rsid w:val="00F83D92"/>
    <w:rsid w:val="00F83DBB"/>
    <w:rsid w:val="00F83E36"/>
    <w:rsid w:val="00F83EA0"/>
    <w:rsid w:val="00F83ECF"/>
    <w:rsid w:val="00F83FFB"/>
    <w:rsid w:val="00F84051"/>
    <w:rsid w:val="00F8407C"/>
    <w:rsid w:val="00F84215"/>
    <w:rsid w:val="00F8427F"/>
    <w:rsid w:val="00F84347"/>
    <w:rsid w:val="00F84427"/>
    <w:rsid w:val="00F84919"/>
    <w:rsid w:val="00F8493F"/>
    <w:rsid w:val="00F84AFD"/>
    <w:rsid w:val="00F84BB5"/>
    <w:rsid w:val="00F84BD3"/>
    <w:rsid w:val="00F84DC4"/>
    <w:rsid w:val="00F85056"/>
    <w:rsid w:val="00F8530B"/>
    <w:rsid w:val="00F8549F"/>
    <w:rsid w:val="00F85536"/>
    <w:rsid w:val="00F8558E"/>
    <w:rsid w:val="00F85714"/>
    <w:rsid w:val="00F85756"/>
    <w:rsid w:val="00F85EF9"/>
    <w:rsid w:val="00F85FB4"/>
    <w:rsid w:val="00F85FC1"/>
    <w:rsid w:val="00F86766"/>
    <w:rsid w:val="00F86833"/>
    <w:rsid w:val="00F86972"/>
    <w:rsid w:val="00F86B3F"/>
    <w:rsid w:val="00F86B62"/>
    <w:rsid w:val="00F86EBE"/>
    <w:rsid w:val="00F8735F"/>
    <w:rsid w:val="00F874C6"/>
    <w:rsid w:val="00F87598"/>
    <w:rsid w:val="00F87605"/>
    <w:rsid w:val="00F8763B"/>
    <w:rsid w:val="00F87681"/>
    <w:rsid w:val="00F87B6D"/>
    <w:rsid w:val="00F87F18"/>
    <w:rsid w:val="00F902CF"/>
    <w:rsid w:val="00F9094E"/>
    <w:rsid w:val="00F909CE"/>
    <w:rsid w:val="00F90E20"/>
    <w:rsid w:val="00F90EA5"/>
    <w:rsid w:val="00F90ECB"/>
    <w:rsid w:val="00F91093"/>
    <w:rsid w:val="00F911CD"/>
    <w:rsid w:val="00F91236"/>
    <w:rsid w:val="00F9161C"/>
    <w:rsid w:val="00F91661"/>
    <w:rsid w:val="00F9179E"/>
    <w:rsid w:val="00F91AE0"/>
    <w:rsid w:val="00F91BF8"/>
    <w:rsid w:val="00F91D64"/>
    <w:rsid w:val="00F91DEB"/>
    <w:rsid w:val="00F91EB4"/>
    <w:rsid w:val="00F91F5A"/>
    <w:rsid w:val="00F91FD6"/>
    <w:rsid w:val="00F91FF7"/>
    <w:rsid w:val="00F92129"/>
    <w:rsid w:val="00F9217D"/>
    <w:rsid w:val="00F921B0"/>
    <w:rsid w:val="00F9260F"/>
    <w:rsid w:val="00F92804"/>
    <w:rsid w:val="00F92B38"/>
    <w:rsid w:val="00F92FDB"/>
    <w:rsid w:val="00F931AA"/>
    <w:rsid w:val="00F9323B"/>
    <w:rsid w:val="00F93406"/>
    <w:rsid w:val="00F93576"/>
    <w:rsid w:val="00F93ACE"/>
    <w:rsid w:val="00F93ADF"/>
    <w:rsid w:val="00F93AEF"/>
    <w:rsid w:val="00F93F98"/>
    <w:rsid w:val="00F94005"/>
    <w:rsid w:val="00F94489"/>
    <w:rsid w:val="00F945E0"/>
    <w:rsid w:val="00F945F7"/>
    <w:rsid w:val="00F94603"/>
    <w:rsid w:val="00F94818"/>
    <w:rsid w:val="00F94859"/>
    <w:rsid w:val="00F949DC"/>
    <w:rsid w:val="00F94A04"/>
    <w:rsid w:val="00F94B1B"/>
    <w:rsid w:val="00F94B1D"/>
    <w:rsid w:val="00F94FF1"/>
    <w:rsid w:val="00F9504C"/>
    <w:rsid w:val="00F95103"/>
    <w:rsid w:val="00F9517E"/>
    <w:rsid w:val="00F951C4"/>
    <w:rsid w:val="00F95264"/>
    <w:rsid w:val="00F952ED"/>
    <w:rsid w:val="00F95477"/>
    <w:rsid w:val="00F956CE"/>
    <w:rsid w:val="00F957E7"/>
    <w:rsid w:val="00F957F3"/>
    <w:rsid w:val="00F95B48"/>
    <w:rsid w:val="00F95CF3"/>
    <w:rsid w:val="00F960EC"/>
    <w:rsid w:val="00F960FB"/>
    <w:rsid w:val="00F966B1"/>
    <w:rsid w:val="00F96753"/>
    <w:rsid w:val="00F96917"/>
    <w:rsid w:val="00F9698C"/>
    <w:rsid w:val="00F96A03"/>
    <w:rsid w:val="00F96CFA"/>
    <w:rsid w:val="00F96E99"/>
    <w:rsid w:val="00F970DE"/>
    <w:rsid w:val="00F970E8"/>
    <w:rsid w:val="00F9718F"/>
    <w:rsid w:val="00F9746F"/>
    <w:rsid w:val="00F97736"/>
    <w:rsid w:val="00F97864"/>
    <w:rsid w:val="00F97948"/>
    <w:rsid w:val="00F97D48"/>
    <w:rsid w:val="00F97EBA"/>
    <w:rsid w:val="00F97F89"/>
    <w:rsid w:val="00FA0311"/>
    <w:rsid w:val="00FA04A4"/>
    <w:rsid w:val="00FA0663"/>
    <w:rsid w:val="00FA0754"/>
    <w:rsid w:val="00FA0755"/>
    <w:rsid w:val="00FA080C"/>
    <w:rsid w:val="00FA09BA"/>
    <w:rsid w:val="00FA0B65"/>
    <w:rsid w:val="00FA0C4E"/>
    <w:rsid w:val="00FA0CB9"/>
    <w:rsid w:val="00FA1007"/>
    <w:rsid w:val="00FA1340"/>
    <w:rsid w:val="00FA1463"/>
    <w:rsid w:val="00FA1489"/>
    <w:rsid w:val="00FA1546"/>
    <w:rsid w:val="00FA1554"/>
    <w:rsid w:val="00FA15F2"/>
    <w:rsid w:val="00FA17E2"/>
    <w:rsid w:val="00FA17E8"/>
    <w:rsid w:val="00FA195D"/>
    <w:rsid w:val="00FA1AA8"/>
    <w:rsid w:val="00FA1D78"/>
    <w:rsid w:val="00FA1DA0"/>
    <w:rsid w:val="00FA1EDE"/>
    <w:rsid w:val="00FA1F07"/>
    <w:rsid w:val="00FA22D5"/>
    <w:rsid w:val="00FA262A"/>
    <w:rsid w:val="00FA271B"/>
    <w:rsid w:val="00FA2845"/>
    <w:rsid w:val="00FA28FC"/>
    <w:rsid w:val="00FA2BF9"/>
    <w:rsid w:val="00FA2C6B"/>
    <w:rsid w:val="00FA2FD7"/>
    <w:rsid w:val="00FA31F7"/>
    <w:rsid w:val="00FA322B"/>
    <w:rsid w:val="00FA3298"/>
    <w:rsid w:val="00FA3349"/>
    <w:rsid w:val="00FA3408"/>
    <w:rsid w:val="00FA3409"/>
    <w:rsid w:val="00FA365E"/>
    <w:rsid w:val="00FA36A8"/>
    <w:rsid w:val="00FA3779"/>
    <w:rsid w:val="00FA39E1"/>
    <w:rsid w:val="00FA3A3B"/>
    <w:rsid w:val="00FA428F"/>
    <w:rsid w:val="00FA4948"/>
    <w:rsid w:val="00FA4E7E"/>
    <w:rsid w:val="00FA4F8C"/>
    <w:rsid w:val="00FA502A"/>
    <w:rsid w:val="00FA5040"/>
    <w:rsid w:val="00FA506D"/>
    <w:rsid w:val="00FA5826"/>
    <w:rsid w:val="00FA58F9"/>
    <w:rsid w:val="00FA5AC3"/>
    <w:rsid w:val="00FA5B51"/>
    <w:rsid w:val="00FA5C59"/>
    <w:rsid w:val="00FA5E8D"/>
    <w:rsid w:val="00FA5FAF"/>
    <w:rsid w:val="00FA6508"/>
    <w:rsid w:val="00FA65B4"/>
    <w:rsid w:val="00FA69D7"/>
    <w:rsid w:val="00FA6E49"/>
    <w:rsid w:val="00FA6E93"/>
    <w:rsid w:val="00FA719A"/>
    <w:rsid w:val="00FA7792"/>
    <w:rsid w:val="00FA7BEF"/>
    <w:rsid w:val="00FB0017"/>
    <w:rsid w:val="00FB00A2"/>
    <w:rsid w:val="00FB0347"/>
    <w:rsid w:val="00FB044C"/>
    <w:rsid w:val="00FB05DE"/>
    <w:rsid w:val="00FB0639"/>
    <w:rsid w:val="00FB0662"/>
    <w:rsid w:val="00FB072C"/>
    <w:rsid w:val="00FB07F7"/>
    <w:rsid w:val="00FB0823"/>
    <w:rsid w:val="00FB089C"/>
    <w:rsid w:val="00FB08A0"/>
    <w:rsid w:val="00FB0B6D"/>
    <w:rsid w:val="00FB0C94"/>
    <w:rsid w:val="00FB0FEC"/>
    <w:rsid w:val="00FB1210"/>
    <w:rsid w:val="00FB144D"/>
    <w:rsid w:val="00FB152B"/>
    <w:rsid w:val="00FB153D"/>
    <w:rsid w:val="00FB19C6"/>
    <w:rsid w:val="00FB1B85"/>
    <w:rsid w:val="00FB1BF2"/>
    <w:rsid w:val="00FB1E75"/>
    <w:rsid w:val="00FB1EF4"/>
    <w:rsid w:val="00FB1F0C"/>
    <w:rsid w:val="00FB2026"/>
    <w:rsid w:val="00FB23F7"/>
    <w:rsid w:val="00FB2702"/>
    <w:rsid w:val="00FB29F7"/>
    <w:rsid w:val="00FB2A07"/>
    <w:rsid w:val="00FB2B0B"/>
    <w:rsid w:val="00FB2B56"/>
    <w:rsid w:val="00FB2C84"/>
    <w:rsid w:val="00FB2FB1"/>
    <w:rsid w:val="00FB31AB"/>
    <w:rsid w:val="00FB3250"/>
    <w:rsid w:val="00FB37AE"/>
    <w:rsid w:val="00FB3C73"/>
    <w:rsid w:val="00FB3FB1"/>
    <w:rsid w:val="00FB4099"/>
    <w:rsid w:val="00FB4338"/>
    <w:rsid w:val="00FB4477"/>
    <w:rsid w:val="00FB450B"/>
    <w:rsid w:val="00FB45CE"/>
    <w:rsid w:val="00FB461A"/>
    <w:rsid w:val="00FB4A9C"/>
    <w:rsid w:val="00FB4AD3"/>
    <w:rsid w:val="00FB4C0E"/>
    <w:rsid w:val="00FB4D95"/>
    <w:rsid w:val="00FB4DBE"/>
    <w:rsid w:val="00FB4EF1"/>
    <w:rsid w:val="00FB4FE8"/>
    <w:rsid w:val="00FB514A"/>
    <w:rsid w:val="00FB526D"/>
    <w:rsid w:val="00FB548C"/>
    <w:rsid w:val="00FB557B"/>
    <w:rsid w:val="00FB5677"/>
    <w:rsid w:val="00FB575F"/>
    <w:rsid w:val="00FB5A11"/>
    <w:rsid w:val="00FB5A53"/>
    <w:rsid w:val="00FB5C4B"/>
    <w:rsid w:val="00FB5D2D"/>
    <w:rsid w:val="00FB5D8A"/>
    <w:rsid w:val="00FB5E48"/>
    <w:rsid w:val="00FB607B"/>
    <w:rsid w:val="00FB60DA"/>
    <w:rsid w:val="00FB61C4"/>
    <w:rsid w:val="00FB6221"/>
    <w:rsid w:val="00FB6271"/>
    <w:rsid w:val="00FB6917"/>
    <w:rsid w:val="00FB69C8"/>
    <w:rsid w:val="00FB69D8"/>
    <w:rsid w:val="00FB6AFA"/>
    <w:rsid w:val="00FB70BA"/>
    <w:rsid w:val="00FB715F"/>
    <w:rsid w:val="00FB7286"/>
    <w:rsid w:val="00FB7382"/>
    <w:rsid w:val="00FB740A"/>
    <w:rsid w:val="00FB75E2"/>
    <w:rsid w:val="00FB76EA"/>
    <w:rsid w:val="00FB7A2F"/>
    <w:rsid w:val="00FC0102"/>
    <w:rsid w:val="00FC030F"/>
    <w:rsid w:val="00FC03AB"/>
    <w:rsid w:val="00FC03F0"/>
    <w:rsid w:val="00FC0684"/>
    <w:rsid w:val="00FC0862"/>
    <w:rsid w:val="00FC08BA"/>
    <w:rsid w:val="00FC0A56"/>
    <w:rsid w:val="00FC0BF7"/>
    <w:rsid w:val="00FC10EE"/>
    <w:rsid w:val="00FC1440"/>
    <w:rsid w:val="00FC15D8"/>
    <w:rsid w:val="00FC1607"/>
    <w:rsid w:val="00FC1690"/>
    <w:rsid w:val="00FC1721"/>
    <w:rsid w:val="00FC1910"/>
    <w:rsid w:val="00FC1A5D"/>
    <w:rsid w:val="00FC1B0B"/>
    <w:rsid w:val="00FC1BCB"/>
    <w:rsid w:val="00FC1E16"/>
    <w:rsid w:val="00FC23E5"/>
    <w:rsid w:val="00FC24BE"/>
    <w:rsid w:val="00FC2865"/>
    <w:rsid w:val="00FC2A2E"/>
    <w:rsid w:val="00FC324D"/>
    <w:rsid w:val="00FC3BCC"/>
    <w:rsid w:val="00FC3C10"/>
    <w:rsid w:val="00FC4044"/>
    <w:rsid w:val="00FC406F"/>
    <w:rsid w:val="00FC4163"/>
    <w:rsid w:val="00FC4341"/>
    <w:rsid w:val="00FC438B"/>
    <w:rsid w:val="00FC4397"/>
    <w:rsid w:val="00FC4587"/>
    <w:rsid w:val="00FC4755"/>
    <w:rsid w:val="00FC4D4E"/>
    <w:rsid w:val="00FC4DD0"/>
    <w:rsid w:val="00FC54D6"/>
    <w:rsid w:val="00FC5513"/>
    <w:rsid w:val="00FC5546"/>
    <w:rsid w:val="00FC56F8"/>
    <w:rsid w:val="00FC56F9"/>
    <w:rsid w:val="00FC57E0"/>
    <w:rsid w:val="00FC583C"/>
    <w:rsid w:val="00FC5905"/>
    <w:rsid w:val="00FC596B"/>
    <w:rsid w:val="00FC59D5"/>
    <w:rsid w:val="00FC5D39"/>
    <w:rsid w:val="00FC605A"/>
    <w:rsid w:val="00FC624D"/>
    <w:rsid w:val="00FC6A5A"/>
    <w:rsid w:val="00FC6AE6"/>
    <w:rsid w:val="00FC6FBA"/>
    <w:rsid w:val="00FC70BE"/>
    <w:rsid w:val="00FC71B0"/>
    <w:rsid w:val="00FC72FA"/>
    <w:rsid w:val="00FC75CE"/>
    <w:rsid w:val="00FC76DC"/>
    <w:rsid w:val="00FC7746"/>
    <w:rsid w:val="00FC78E2"/>
    <w:rsid w:val="00FC7A8C"/>
    <w:rsid w:val="00FC7B1D"/>
    <w:rsid w:val="00FC7C30"/>
    <w:rsid w:val="00FC7C31"/>
    <w:rsid w:val="00FC7C47"/>
    <w:rsid w:val="00FC7CFA"/>
    <w:rsid w:val="00FC7E05"/>
    <w:rsid w:val="00FC7FA1"/>
    <w:rsid w:val="00FD0324"/>
    <w:rsid w:val="00FD0384"/>
    <w:rsid w:val="00FD04E8"/>
    <w:rsid w:val="00FD0564"/>
    <w:rsid w:val="00FD05D9"/>
    <w:rsid w:val="00FD0631"/>
    <w:rsid w:val="00FD07EF"/>
    <w:rsid w:val="00FD09A0"/>
    <w:rsid w:val="00FD09CB"/>
    <w:rsid w:val="00FD0BE5"/>
    <w:rsid w:val="00FD0E3A"/>
    <w:rsid w:val="00FD0FEA"/>
    <w:rsid w:val="00FD10E7"/>
    <w:rsid w:val="00FD12D4"/>
    <w:rsid w:val="00FD14C4"/>
    <w:rsid w:val="00FD150D"/>
    <w:rsid w:val="00FD239C"/>
    <w:rsid w:val="00FD2404"/>
    <w:rsid w:val="00FD241E"/>
    <w:rsid w:val="00FD2426"/>
    <w:rsid w:val="00FD24D2"/>
    <w:rsid w:val="00FD2500"/>
    <w:rsid w:val="00FD28AC"/>
    <w:rsid w:val="00FD2978"/>
    <w:rsid w:val="00FD2AF8"/>
    <w:rsid w:val="00FD2B97"/>
    <w:rsid w:val="00FD2BDA"/>
    <w:rsid w:val="00FD2E65"/>
    <w:rsid w:val="00FD3455"/>
    <w:rsid w:val="00FD36F4"/>
    <w:rsid w:val="00FD370A"/>
    <w:rsid w:val="00FD38EB"/>
    <w:rsid w:val="00FD3922"/>
    <w:rsid w:val="00FD393C"/>
    <w:rsid w:val="00FD3944"/>
    <w:rsid w:val="00FD4055"/>
    <w:rsid w:val="00FD444F"/>
    <w:rsid w:val="00FD4458"/>
    <w:rsid w:val="00FD4741"/>
    <w:rsid w:val="00FD48F4"/>
    <w:rsid w:val="00FD50F0"/>
    <w:rsid w:val="00FD53B1"/>
    <w:rsid w:val="00FD541E"/>
    <w:rsid w:val="00FD54E8"/>
    <w:rsid w:val="00FD58E9"/>
    <w:rsid w:val="00FD5B02"/>
    <w:rsid w:val="00FD6145"/>
    <w:rsid w:val="00FD6383"/>
    <w:rsid w:val="00FD640F"/>
    <w:rsid w:val="00FD64BD"/>
    <w:rsid w:val="00FD64EF"/>
    <w:rsid w:val="00FD6679"/>
    <w:rsid w:val="00FD6813"/>
    <w:rsid w:val="00FD6846"/>
    <w:rsid w:val="00FD6998"/>
    <w:rsid w:val="00FD6B4C"/>
    <w:rsid w:val="00FD6C33"/>
    <w:rsid w:val="00FD6DB3"/>
    <w:rsid w:val="00FD6E76"/>
    <w:rsid w:val="00FD6F48"/>
    <w:rsid w:val="00FD6F98"/>
    <w:rsid w:val="00FD7069"/>
    <w:rsid w:val="00FD70B2"/>
    <w:rsid w:val="00FD71F4"/>
    <w:rsid w:val="00FD7737"/>
    <w:rsid w:val="00FD7815"/>
    <w:rsid w:val="00FD7B7E"/>
    <w:rsid w:val="00FD7C3E"/>
    <w:rsid w:val="00FD7D42"/>
    <w:rsid w:val="00FD7F3A"/>
    <w:rsid w:val="00FE0114"/>
    <w:rsid w:val="00FE011E"/>
    <w:rsid w:val="00FE0553"/>
    <w:rsid w:val="00FE077F"/>
    <w:rsid w:val="00FE0AFA"/>
    <w:rsid w:val="00FE0CB7"/>
    <w:rsid w:val="00FE0D94"/>
    <w:rsid w:val="00FE0DEB"/>
    <w:rsid w:val="00FE0FCE"/>
    <w:rsid w:val="00FE1020"/>
    <w:rsid w:val="00FE1185"/>
    <w:rsid w:val="00FE1360"/>
    <w:rsid w:val="00FE1DC9"/>
    <w:rsid w:val="00FE20D7"/>
    <w:rsid w:val="00FE21CB"/>
    <w:rsid w:val="00FE25D0"/>
    <w:rsid w:val="00FE264B"/>
    <w:rsid w:val="00FE27EB"/>
    <w:rsid w:val="00FE29B8"/>
    <w:rsid w:val="00FE2AC3"/>
    <w:rsid w:val="00FE3174"/>
    <w:rsid w:val="00FE31F9"/>
    <w:rsid w:val="00FE3248"/>
    <w:rsid w:val="00FE33AC"/>
    <w:rsid w:val="00FE3403"/>
    <w:rsid w:val="00FE34EE"/>
    <w:rsid w:val="00FE3617"/>
    <w:rsid w:val="00FE361A"/>
    <w:rsid w:val="00FE36AF"/>
    <w:rsid w:val="00FE3969"/>
    <w:rsid w:val="00FE3B8C"/>
    <w:rsid w:val="00FE3C28"/>
    <w:rsid w:val="00FE3DB0"/>
    <w:rsid w:val="00FE3F97"/>
    <w:rsid w:val="00FE406F"/>
    <w:rsid w:val="00FE40B2"/>
    <w:rsid w:val="00FE41C4"/>
    <w:rsid w:val="00FE4611"/>
    <w:rsid w:val="00FE465B"/>
    <w:rsid w:val="00FE486A"/>
    <w:rsid w:val="00FE4B2F"/>
    <w:rsid w:val="00FE4F20"/>
    <w:rsid w:val="00FE511F"/>
    <w:rsid w:val="00FE5178"/>
    <w:rsid w:val="00FE54AF"/>
    <w:rsid w:val="00FE553B"/>
    <w:rsid w:val="00FE5878"/>
    <w:rsid w:val="00FE59E6"/>
    <w:rsid w:val="00FE5BA6"/>
    <w:rsid w:val="00FE5BF7"/>
    <w:rsid w:val="00FE5C4C"/>
    <w:rsid w:val="00FE5E7E"/>
    <w:rsid w:val="00FE5F3F"/>
    <w:rsid w:val="00FE63D9"/>
    <w:rsid w:val="00FE649C"/>
    <w:rsid w:val="00FE6575"/>
    <w:rsid w:val="00FE6865"/>
    <w:rsid w:val="00FE6991"/>
    <w:rsid w:val="00FE6A20"/>
    <w:rsid w:val="00FE6BCD"/>
    <w:rsid w:val="00FE6C68"/>
    <w:rsid w:val="00FE6CB3"/>
    <w:rsid w:val="00FE71A1"/>
    <w:rsid w:val="00FE7218"/>
    <w:rsid w:val="00FE73AD"/>
    <w:rsid w:val="00FE73DD"/>
    <w:rsid w:val="00FE74D3"/>
    <w:rsid w:val="00FE7837"/>
    <w:rsid w:val="00FE7B0D"/>
    <w:rsid w:val="00FE7C64"/>
    <w:rsid w:val="00FE7DA8"/>
    <w:rsid w:val="00FE7F02"/>
    <w:rsid w:val="00FF00F5"/>
    <w:rsid w:val="00FF00FC"/>
    <w:rsid w:val="00FF0554"/>
    <w:rsid w:val="00FF0596"/>
    <w:rsid w:val="00FF05E6"/>
    <w:rsid w:val="00FF0630"/>
    <w:rsid w:val="00FF06B0"/>
    <w:rsid w:val="00FF09C9"/>
    <w:rsid w:val="00FF0C51"/>
    <w:rsid w:val="00FF0C74"/>
    <w:rsid w:val="00FF0CE3"/>
    <w:rsid w:val="00FF110C"/>
    <w:rsid w:val="00FF13D3"/>
    <w:rsid w:val="00FF1469"/>
    <w:rsid w:val="00FF1919"/>
    <w:rsid w:val="00FF1A72"/>
    <w:rsid w:val="00FF1CAF"/>
    <w:rsid w:val="00FF1CD0"/>
    <w:rsid w:val="00FF1E31"/>
    <w:rsid w:val="00FF1F5D"/>
    <w:rsid w:val="00FF2294"/>
    <w:rsid w:val="00FF28DE"/>
    <w:rsid w:val="00FF31F9"/>
    <w:rsid w:val="00FF347F"/>
    <w:rsid w:val="00FF34B1"/>
    <w:rsid w:val="00FF3756"/>
    <w:rsid w:val="00FF3ACE"/>
    <w:rsid w:val="00FF3C95"/>
    <w:rsid w:val="00FF3E3A"/>
    <w:rsid w:val="00FF411C"/>
    <w:rsid w:val="00FF4222"/>
    <w:rsid w:val="00FF42FF"/>
    <w:rsid w:val="00FF443E"/>
    <w:rsid w:val="00FF4444"/>
    <w:rsid w:val="00FF4643"/>
    <w:rsid w:val="00FF46E4"/>
    <w:rsid w:val="00FF48CD"/>
    <w:rsid w:val="00FF4A09"/>
    <w:rsid w:val="00FF4E99"/>
    <w:rsid w:val="00FF52D9"/>
    <w:rsid w:val="00FF5449"/>
    <w:rsid w:val="00FF552B"/>
    <w:rsid w:val="00FF55E0"/>
    <w:rsid w:val="00FF5C02"/>
    <w:rsid w:val="00FF5D28"/>
    <w:rsid w:val="00FF5E36"/>
    <w:rsid w:val="00FF5F68"/>
    <w:rsid w:val="00FF5FE1"/>
    <w:rsid w:val="00FF6094"/>
    <w:rsid w:val="00FF60C2"/>
    <w:rsid w:val="00FF613C"/>
    <w:rsid w:val="00FF616A"/>
    <w:rsid w:val="00FF61FD"/>
    <w:rsid w:val="00FF6357"/>
    <w:rsid w:val="00FF6362"/>
    <w:rsid w:val="00FF657A"/>
    <w:rsid w:val="00FF6894"/>
    <w:rsid w:val="00FF6903"/>
    <w:rsid w:val="00FF6AFC"/>
    <w:rsid w:val="00FF6B1F"/>
    <w:rsid w:val="00FF6D06"/>
    <w:rsid w:val="00FF6D3B"/>
    <w:rsid w:val="00FF70F4"/>
    <w:rsid w:val="00FF7117"/>
    <w:rsid w:val="00FF72DA"/>
    <w:rsid w:val="00FF742D"/>
    <w:rsid w:val="00FF7818"/>
    <w:rsid w:val="00FF78A9"/>
    <w:rsid w:val="00FF799A"/>
    <w:rsid w:val="00FF7A53"/>
    <w:rsid w:val="00FF7AD2"/>
    <w:rsid w:val="01039436"/>
    <w:rsid w:val="01059D65"/>
    <w:rsid w:val="0108BB73"/>
    <w:rsid w:val="0109E786"/>
    <w:rsid w:val="010CFCF0"/>
    <w:rsid w:val="011E8232"/>
    <w:rsid w:val="011EBC2E"/>
    <w:rsid w:val="01235C1B"/>
    <w:rsid w:val="0125072E"/>
    <w:rsid w:val="012A94EF"/>
    <w:rsid w:val="012BC75A"/>
    <w:rsid w:val="0130783D"/>
    <w:rsid w:val="0136E4F5"/>
    <w:rsid w:val="013CDBFB"/>
    <w:rsid w:val="014BC1D8"/>
    <w:rsid w:val="0154506A"/>
    <w:rsid w:val="01563734"/>
    <w:rsid w:val="01583760"/>
    <w:rsid w:val="0164986C"/>
    <w:rsid w:val="0166A352"/>
    <w:rsid w:val="0170B917"/>
    <w:rsid w:val="0171FF67"/>
    <w:rsid w:val="0173691B"/>
    <w:rsid w:val="017A74E0"/>
    <w:rsid w:val="017F3821"/>
    <w:rsid w:val="01801F69"/>
    <w:rsid w:val="0180753E"/>
    <w:rsid w:val="01858C2B"/>
    <w:rsid w:val="0187E6C9"/>
    <w:rsid w:val="018A302A"/>
    <w:rsid w:val="018C6174"/>
    <w:rsid w:val="018FAC1D"/>
    <w:rsid w:val="0191DC53"/>
    <w:rsid w:val="0193FA82"/>
    <w:rsid w:val="019B28A7"/>
    <w:rsid w:val="019C12EF"/>
    <w:rsid w:val="01A36754"/>
    <w:rsid w:val="01AA6459"/>
    <w:rsid w:val="01ADF4F4"/>
    <w:rsid w:val="01AE43C3"/>
    <w:rsid w:val="01AFFE80"/>
    <w:rsid w:val="01B2AC5E"/>
    <w:rsid w:val="01C25782"/>
    <w:rsid w:val="01C9E4AA"/>
    <w:rsid w:val="01D30457"/>
    <w:rsid w:val="01D510E5"/>
    <w:rsid w:val="01D869C6"/>
    <w:rsid w:val="01DE934F"/>
    <w:rsid w:val="01E7722A"/>
    <w:rsid w:val="01E94D52"/>
    <w:rsid w:val="01EE6243"/>
    <w:rsid w:val="02148764"/>
    <w:rsid w:val="0217ABBD"/>
    <w:rsid w:val="022B7525"/>
    <w:rsid w:val="022B9C44"/>
    <w:rsid w:val="024C1772"/>
    <w:rsid w:val="024C2CDE"/>
    <w:rsid w:val="024DD2B1"/>
    <w:rsid w:val="024E4F96"/>
    <w:rsid w:val="02542F07"/>
    <w:rsid w:val="0256F863"/>
    <w:rsid w:val="025AA462"/>
    <w:rsid w:val="02619F8B"/>
    <w:rsid w:val="02677A9D"/>
    <w:rsid w:val="026C48D7"/>
    <w:rsid w:val="026D0FC0"/>
    <w:rsid w:val="026D56FF"/>
    <w:rsid w:val="0278AF81"/>
    <w:rsid w:val="027E0727"/>
    <w:rsid w:val="0288988C"/>
    <w:rsid w:val="02935F14"/>
    <w:rsid w:val="0294916F"/>
    <w:rsid w:val="02949CA6"/>
    <w:rsid w:val="02967430"/>
    <w:rsid w:val="029E847A"/>
    <w:rsid w:val="02A0EC0E"/>
    <w:rsid w:val="02AD2CA7"/>
    <w:rsid w:val="02B07472"/>
    <w:rsid w:val="02B6643A"/>
    <w:rsid w:val="02C36F6A"/>
    <w:rsid w:val="02C7AA1F"/>
    <w:rsid w:val="02C8FD7C"/>
    <w:rsid w:val="02CA2B1D"/>
    <w:rsid w:val="02CA7F35"/>
    <w:rsid w:val="02D125FD"/>
    <w:rsid w:val="02D15F18"/>
    <w:rsid w:val="02D178EF"/>
    <w:rsid w:val="02D33CFE"/>
    <w:rsid w:val="02D7AE1F"/>
    <w:rsid w:val="02DB4D6F"/>
    <w:rsid w:val="02DD1719"/>
    <w:rsid w:val="02ED613D"/>
    <w:rsid w:val="02F9ADF6"/>
    <w:rsid w:val="03093175"/>
    <w:rsid w:val="0310E800"/>
    <w:rsid w:val="0312DF22"/>
    <w:rsid w:val="0326A3E3"/>
    <w:rsid w:val="03286755"/>
    <w:rsid w:val="032D74E8"/>
    <w:rsid w:val="032DB360"/>
    <w:rsid w:val="0334CE2F"/>
    <w:rsid w:val="0335EEBD"/>
    <w:rsid w:val="0338905B"/>
    <w:rsid w:val="0343E89D"/>
    <w:rsid w:val="03458206"/>
    <w:rsid w:val="034A5319"/>
    <w:rsid w:val="035F9944"/>
    <w:rsid w:val="0360D64A"/>
    <w:rsid w:val="0362C39C"/>
    <w:rsid w:val="036622AE"/>
    <w:rsid w:val="036BBB77"/>
    <w:rsid w:val="0375C011"/>
    <w:rsid w:val="03786336"/>
    <w:rsid w:val="03875030"/>
    <w:rsid w:val="03896095"/>
    <w:rsid w:val="038EEF8B"/>
    <w:rsid w:val="038F0147"/>
    <w:rsid w:val="039420F9"/>
    <w:rsid w:val="039569FB"/>
    <w:rsid w:val="0395715B"/>
    <w:rsid w:val="0395A87E"/>
    <w:rsid w:val="039795F6"/>
    <w:rsid w:val="03997433"/>
    <w:rsid w:val="039B1D43"/>
    <w:rsid w:val="039C778C"/>
    <w:rsid w:val="03A94693"/>
    <w:rsid w:val="03AB04D9"/>
    <w:rsid w:val="03AF193D"/>
    <w:rsid w:val="03B04B4C"/>
    <w:rsid w:val="03B2B391"/>
    <w:rsid w:val="03B3A82B"/>
    <w:rsid w:val="03B58A58"/>
    <w:rsid w:val="03BAEA29"/>
    <w:rsid w:val="03BE7017"/>
    <w:rsid w:val="03C1790A"/>
    <w:rsid w:val="03C3B1C3"/>
    <w:rsid w:val="03C5F1D2"/>
    <w:rsid w:val="03C68CB7"/>
    <w:rsid w:val="03C887AA"/>
    <w:rsid w:val="03C8B33D"/>
    <w:rsid w:val="03CD37CA"/>
    <w:rsid w:val="03CE557C"/>
    <w:rsid w:val="03D37A22"/>
    <w:rsid w:val="03E4D500"/>
    <w:rsid w:val="03EDF602"/>
    <w:rsid w:val="040044FF"/>
    <w:rsid w:val="0403D4EB"/>
    <w:rsid w:val="0404F547"/>
    <w:rsid w:val="0406975D"/>
    <w:rsid w:val="040F8155"/>
    <w:rsid w:val="0411572D"/>
    <w:rsid w:val="0415A613"/>
    <w:rsid w:val="04176D55"/>
    <w:rsid w:val="041FAE17"/>
    <w:rsid w:val="04266E10"/>
    <w:rsid w:val="042C3B55"/>
    <w:rsid w:val="043875BE"/>
    <w:rsid w:val="043DFFF3"/>
    <w:rsid w:val="0444535A"/>
    <w:rsid w:val="044900A3"/>
    <w:rsid w:val="044E6C20"/>
    <w:rsid w:val="045423AC"/>
    <w:rsid w:val="04655E7E"/>
    <w:rsid w:val="04679955"/>
    <w:rsid w:val="0468590F"/>
    <w:rsid w:val="046A938C"/>
    <w:rsid w:val="04720497"/>
    <w:rsid w:val="047DE4CA"/>
    <w:rsid w:val="0480D5D3"/>
    <w:rsid w:val="048A373A"/>
    <w:rsid w:val="04A23C65"/>
    <w:rsid w:val="04C61E36"/>
    <w:rsid w:val="04CEED2D"/>
    <w:rsid w:val="04D00050"/>
    <w:rsid w:val="04D26434"/>
    <w:rsid w:val="04D32BD4"/>
    <w:rsid w:val="04D6A0E7"/>
    <w:rsid w:val="04D6E5D2"/>
    <w:rsid w:val="04DA9623"/>
    <w:rsid w:val="04EC1A61"/>
    <w:rsid w:val="04F9F29E"/>
    <w:rsid w:val="04FF79DE"/>
    <w:rsid w:val="050676A8"/>
    <w:rsid w:val="050F1464"/>
    <w:rsid w:val="0510F715"/>
    <w:rsid w:val="051CB324"/>
    <w:rsid w:val="05208088"/>
    <w:rsid w:val="0522BE10"/>
    <w:rsid w:val="052F7191"/>
    <w:rsid w:val="0531B904"/>
    <w:rsid w:val="0534D4D9"/>
    <w:rsid w:val="0545D9E9"/>
    <w:rsid w:val="054CB780"/>
    <w:rsid w:val="054FBEA5"/>
    <w:rsid w:val="05540C39"/>
    <w:rsid w:val="05574354"/>
    <w:rsid w:val="056101FF"/>
    <w:rsid w:val="05674C27"/>
    <w:rsid w:val="05698BED"/>
    <w:rsid w:val="056B50DE"/>
    <w:rsid w:val="056D5909"/>
    <w:rsid w:val="057EA6E2"/>
    <w:rsid w:val="05B3E40B"/>
    <w:rsid w:val="05BD5066"/>
    <w:rsid w:val="05C1B6CE"/>
    <w:rsid w:val="05CBB1C0"/>
    <w:rsid w:val="05D063CD"/>
    <w:rsid w:val="05D3F883"/>
    <w:rsid w:val="05DD919A"/>
    <w:rsid w:val="05E27418"/>
    <w:rsid w:val="05E35B67"/>
    <w:rsid w:val="05E39993"/>
    <w:rsid w:val="05E6E594"/>
    <w:rsid w:val="05EA972B"/>
    <w:rsid w:val="05EFA9DF"/>
    <w:rsid w:val="05F34AF5"/>
    <w:rsid w:val="05F852A9"/>
    <w:rsid w:val="05FA5938"/>
    <w:rsid w:val="05FA6DC9"/>
    <w:rsid w:val="05FA856F"/>
    <w:rsid w:val="06015031"/>
    <w:rsid w:val="0603DE1F"/>
    <w:rsid w:val="060C1D3C"/>
    <w:rsid w:val="061D0C13"/>
    <w:rsid w:val="0620DFBE"/>
    <w:rsid w:val="062157B0"/>
    <w:rsid w:val="0621AD70"/>
    <w:rsid w:val="0624A453"/>
    <w:rsid w:val="0625E7CB"/>
    <w:rsid w:val="0633CE75"/>
    <w:rsid w:val="063ADBAB"/>
    <w:rsid w:val="063FE29C"/>
    <w:rsid w:val="064761F1"/>
    <w:rsid w:val="0649FB0C"/>
    <w:rsid w:val="064F1E40"/>
    <w:rsid w:val="064FE76A"/>
    <w:rsid w:val="065155A9"/>
    <w:rsid w:val="0656C1AD"/>
    <w:rsid w:val="065912E8"/>
    <w:rsid w:val="065A3DBE"/>
    <w:rsid w:val="065F2490"/>
    <w:rsid w:val="06623CBE"/>
    <w:rsid w:val="06639945"/>
    <w:rsid w:val="06707E3B"/>
    <w:rsid w:val="06795139"/>
    <w:rsid w:val="067B8BAA"/>
    <w:rsid w:val="0681CA2E"/>
    <w:rsid w:val="0682E51C"/>
    <w:rsid w:val="06876992"/>
    <w:rsid w:val="06921513"/>
    <w:rsid w:val="0692A691"/>
    <w:rsid w:val="0692DE07"/>
    <w:rsid w:val="0694FF70"/>
    <w:rsid w:val="06976325"/>
    <w:rsid w:val="06A77C89"/>
    <w:rsid w:val="06B1A668"/>
    <w:rsid w:val="06C1F277"/>
    <w:rsid w:val="06C7DE08"/>
    <w:rsid w:val="06D072DF"/>
    <w:rsid w:val="06D150BA"/>
    <w:rsid w:val="06D960E3"/>
    <w:rsid w:val="06DB797E"/>
    <w:rsid w:val="06E8890E"/>
    <w:rsid w:val="06F1283C"/>
    <w:rsid w:val="06F597F3"/>
    <w:rsid w:val="06F9C67D"/>
    <w:rsid w:val="06FB936A"/>
    <w:rsid w:val="06FCE833"/>
    <w:rsid w:val="06FE3906"/>
    <w:rsid w:val="06FF22C9"/>
    <w:rsid w:val="0700283E"/>
    <w:rsid w:val="07015EB8"/>
    <w:rsid w:val="07031D8F"/>
    <w:rsid w:val="071730D8"/>
    <w:rsid w:val="0719EF11"/>
    <w:rsid w:val="071D5DC8"/>
    <w:rsid w:val="072241F8"/>
    <w:rsid w:val="072A9F1F"/>
    <w:rsid w:val="07452F52"/>
    <w:rsid w:val="07465103"/>
    <w:rsid w:val="074F1AC8"/>
    <w:rsid w:val="074F220F"/>
    <w:rsid w:val="0755176A"/>
    <w:rsid w:val="0755284C"/>
    <w:rsid w:val="07577F03"/>
    <w:rsid w:val="0765F31A"/>
    <w:rsid w:val="07688202"/>
    <w:rsid w:val="0771559B"/>
    <w:rsid w:val="077993DD"/>
    <w:rsid w:val="077D3723"/>
    <w:rsid w:val="0781478D"/>
    <w:rsid w:val="0790496F"/>
    <w:rsid w:val="07AA87E0"/>
    <w:rsid w:val="07B7CBFA"/>
    <w:rsid w:val="07BAE2DF"/>
    <w:rsid w:val="07C1045D"/>
    <w:rsid w:val="07CBB764"/>
    <w:rsid w:val="07D94AD0"/>
    <w:rsid w:val="07F2AF10"/>
    <w:rsid w:val="07F49486"/>
    <w:rsid w:val="0800470C"/>
    <w:rsid w:val="08080CBE"/>
    <w:rsid w:val="08086C71"/>
    <w:rsid w:val="08088E65"/>
    <w:rsid w:val="080A14E2"/>
    <w:rsid w:val="080CBD10"/>
    <w:rsid w:val="080FA68C"/>
    <w:rsid w:val="081161FF"/>
    <w:rsid w:val="08126E5B"/>
    <w:rsid w:val="081E1DCD"/>
    <w:rsid w:val="08215E38"/>
    <w:rsid w:val="0826D425"/>
    <w:rsid w:val="082989A8"/>
    <w:rsid w:val="0832E762"/>
    <w:rsid w:val="08367722"/>
    <w:rsid w:val="084ABC93"/>
    <w:rsid w:val="084B4B59"/>
    <w:rsid w:val="085A0516"/>
    <w:rsid w:val="085A1FEA"/>
    <w:rsid w:val="0861C81E"/>
    <w:rsid w:val="0867C237"/>
    <w:rsid w:val="086DA7EC"/>
    <w:rsid w:val="087AD8E8"/>
    <w:rsid w:val="0881232B"/>
    <w:rsid w:val="088C7E74"/>
    <w:rsid w:val="0891751B"/>
    <w:rsid w:val="08936FEC"/>
    <w:rsid w:val="08969F89"/>
    <w:rsid w:val="08996812"/>
    <w:rsid w:val="089B51F3"/>
    <w:rsid w:val="089E8EFF"/>
    <w:rsid w:val="08A5B4DE"/>
    <w:rsid w:val="08A5ED7E"/>
    <w:rsid w:val="08BEEF87"/>
    <w:rsid w:val="08BF6F3E"/>
    <w:rsid w:val="08BFE129"/>
    <w:rsid w:val="08C05E42"/>
    <w:rsid w:val="08C1D441"/>
    <w:rsid w:val="08C2E696"/>
    <w:rsid w:val="08C2E9AA"/>
    <w:rsid w:val="08CC4F5F"/>
    <w:rsid w:val="08E03CDB"/>
    <w:rsid w:val="08E99DD1"/>
    <w:rsid w:val="08F5FBC6"/>
    <w:rsid w:val="08F704FA"/>
    <w:rsid w:val="08F7BF97"/>
    <w:rsid w:val="08F92C91"/>
    <w:rsid w:val="09017AC2"/>
    <w:rsid w:val="09049DEF"/>
    <w:rsid w:val="0912CE83"/>
    <w:rsid w:val="09147ED2"/>
    <w:rsid w:val="09174553"/>
    <w:rsid w:val="091B55F1"/>
    <w:rsid w:val="091B8840"/>
    <w:rsid w:val="09222E42"/>
    <w:rsid w:val="0925DA11"/>
    <w:rsid w:val="093A0C7C"/>
    <w:rsid w:val="093A4E67"/>
    <w:rsid w:val="0941DFFF"/>
    <w:rsid w:val="0945AAE2"/>
    <w:rsid w:val="09480125"/>
    <w:rsid w:val="094BFEC3"/>
    <w:rsid w:val="09524499"/>
    <w:rsid w:val="0952EB79"/>
    <w:rsid w:val="0957DB52"/>
    <w:rsid w:val="0957F656"/>
    <w:rsid w:val="0962E83C"/>
    <w:rsid w:val="09636B7D"/>
    <w:rsid w:val="0964C41D"/>
    <w:rsid w:val="0973E5C4"/>
    <w:rsid w:val="0975EF36"/>
    <w:rsid w:val="09788D60"/>
    <w:rsid w:val="0979B18E"/>
    <w:rsid w:val="097A764B"/>
    <w:rsid w:val="097D5E72"/>
    <w:rsid w:val="097FE2E9"/>
    <w:rsid w:val="0986C4C2"/>
    <w:rsid w:val="098D22C0"/>
    <w:rsid w:val="099D22C5"/>
    <w:rsid w:val="099E941D"/>
    <w:rsid w:val="099FFC3B"/>
    <w:rsid w:val="09A26A54"/>
    <w:rsid w:val="09AB49DB"/>
    <w:rsid w:val="09B81A97"/>
    <w:rsid w:val="09BC28D0"/>
    <w:rsid w:val="09BE2F04"/>
    <w:rsid w:val="09C21195"/>
    <w:rsid w:val="09C32429"/>
    <w:rsid w:val="09C38F67"/>
    <w:rsid w:val="09C4B8D9"/>
    <w:rsid w:val="09CD45E8"/>
    <w:rsid w:val="09CED781"/>
    <w:rsid w:val="09D24A6F"/>
    <w:rsid w:val="09D32EA8"/>
    <w:rsid w:val="09EDD659"/>
    <w:rsid w:val="09EF9BB6"/>
    <w:rsid w:val="09F58497"/>
    <w:rsid w:val="09FF4195"/>
    <w:rsid w:val="0A054C9A"/>
    <w:rsid w:val="0A0661A4"/>
    <w:rsid w:val="0A165729"/>
    <w:rsid w:val="0A16CDF5"/>
    <w:rsid w:val="0A173018"/>
    <w:rsid w:val="0A21E5FE"/>
    <w:rsid w:val="0A2BA420"/>
    <w:rsid w:val="0A31BA6E"/>
    <w:rsid w:val="0A3F480D"/>
    <w:rsid w:val="0A468689"/>
    <w:rsid w:val="0A471675"/>
    <w:rsid w:val="0A4DE071"/>
    <w:rsid w:val="0A4F9E39"/>
    <w:rsid w:val="0A4FCB59"/>
    <w:rsid w:val="0A50A063"/>
    <w:rsid w:val="0A5BA70F"/>
    <w:rsid w:val="0A602F28"/>
    <w:rsid w:val="0A695234"/>
    <w:rsid w:val="0A69D6C1"/>
    <w:rsid w:val="0A755B85"/>
    <w:rsid w:val="0A7E71CA"/>
    <w:rsid w:val="0A807273"/>
    <w:rsid w:val="0A80B4CC"/>
    <w:rsid w:val="0A83E8E0"/>
    <w:rsid w:val="0A8BB81D"/>
    <w:rsid w:val="0A963946"/>
    <w:rsid w:val="0AA03FD3"/>
    <w:rsid w:val="0AA22A8E"/>
    <w:rsid w:val="0AA33D1A"/>
    <w:rsid w:val="0AA46082"/>
    <w:rsid w:val="0AA93761"/>
    <w:rsid w:val="0AB630B2"/>
    <w:rsid w:val="0AB6D171"/>
    <w:rsid w:val="0AB794BA"/>
    <w:rsid w:val="0ABE83CA"/>
    <w:rsid w:val="0AD2239A"/>
    <w:rsid w:val="0ADBCD5F"/>
    <w:rsid w:val="0ADD11DF"/>
    <w:rsid w:val="0AE2EE2F"/>
    <w:rsid w:val="0AE35BD1"/>
    <w:rsid w:val="0AE93ABD"/>
    <w:rsid w:val="0AED14F7"/>
    <w:rsid w:val="0AF2C50C"/>
    <w:rsid w:val="0AF40A75"/>
    <w:rsid w:val="0B026DFC"/>
    <w:rsid w:val="0B0BDEBD"/>
    <w:rsid w:val="0B0CF449"/>
    <w:rsid w:val="0B0D5272"/>
    <w:rsid w:val="0B10991B"/>
    <w:rsid w:val="0B10BD27"/>
    <w:rsid w:val="0B1C3103"/>
    <w:rsid w:val="0B1CFE17"/>
    <w:rsid w:val="0B1E1B47"/>
    <w:rsid w:val="0B1ED189"/>
    <w:rsid w:val="0B252A58"/>
    <w:rsid w:val="0B29713F"/>
    <w:rsid w:val="0B340DE0"/>
    <w:rsid w:val="0B381C10"/>
    <w:rsid w:val="0B4996A7"/>
    <w:rsid w:val="0B588464"/>
    <w:rsid w:val="0B59D1DA"/>
    <w:rsid w:val="0B5FCA15"/>
    <w:rsid w:val="0B61D9B0"/>
    <w:rsid w:val="0B6D06FE"/>
    <w:rsid w:val="0B796637"/>
    <w:rsid w:val="0B86DA4A"/>
    <w:rsid w:val="0B9E575F"/>
    <w:rsid w:val="0BA763A2"/>
    <w:rsid w:val="0BA77659"/>
    <w:rsid w:val="0BA7CC2A"/>
    <w:rsid w:val="0BAB0770"/>
    <w:rsid w:val="0BC8DABC"/>
    <w:rsid w:val="0BCC3AA3"/>
    <w:rsid w:val="0BCCF537"/>
    <w:rsid w:val="0BD677F2"/>
    <w:rsid w:val="0BD9155D"/>
    <w:rsid w:val="0BD970EA"/>
    <w:rsid w:val="0BE0D382"/>
    <w:rsid w:val="0BEA47D1"/>
    <w:rsid w:val="0BEC694A"/>
    <w:rsid w:val="0BEDFD10"/>
    <w:rsid w:val="0BEE3CBE"/>
    <w:rsid w:val="0BF22BDD"/>
    <w:rsid w:val="0BF2BF1A"/>
    <w:rsid w:val="0BFE616A"/>
    <w:rsid w:val="0C0940EA"/>
    <w:rsid w:val="0C0CB1F1"/>
    <w:rsid w:val="0C102C06"/>
    <w:rsid w:val="0C1341A3"/>
    <w:rsid w:val="0C21ED3B"/>
    <w:rsid w:val="0C245C73"/>
    <w:rsid w:val="0C28075A"/>
    <w:rsid w:val="0C2CD74D"/>
    <w:rsid w:val="0C31D105"/>
    <w:rsid w:val="0C3418E0"/>
    <w:rsid w:val="0C387B83"/>
    <w:rsid w:val="0C3A40C9"/>
    <w:rsid w:val="0C3ECFCF"/>
    <w:rsid w:val="0C416393"/>
    <w:rsid w:val="0C4ADC71"/>
    <w:rsid w:val="0C63E459"/>
    <w:rsid w:val="0C7FB4E5"/>
    <w:rsid w:val="0C7FCF53"/>
    <w:rsid w:val="0C824AA7"/>
    <w:rsid w:val="0C8C5EF2"/>
    <w:rsid w:val="0C91207D"/>
    <w:rsid w:val="0C93868D"/>
    <w:rsid w:val="0C9D19FD"/>
    <w:rsid w:val="0C9DC7A8"/>
    <w:rsid w:val="0CA2B521"/>
    <w:rsid w:val="0CA8F31A"/>
    <w:rsid w:val="0CBE332C"/>
    <w:rsid w:val="0CC12B09"/>
    <w:rsid w:val="0CC5DA14"/>
    <w:rsid w:val="0CC6CA85"/>
    <w:rsid w:val="0CD3AA44"/>
    <w:rsid w:val="0CD51886"/>
    <w:rsid w:val="0CE59EA6"/>
    <w:rsid w:val="0CE83190"/>
    <w:rsid w:val="0CEB40CB"/>
    <w:rsid w:val="0CEC8C39"/>
    <w:rsid w:val="0CECA348"/>
    <w:rsid w:val="0CF0D28B"/>
    <w:rsid w:val="0CF45CF0"/>
    <w:rsid w:val="0CFFEDF1"/>
    <w:rsid w:val="0D09AA4C"/>
    <w:rsid w:val="0D0A1592"/>
    <w:rsid w:val="0D0AC82F"/>
    <w:rsid w:val="0D0DB904"/>
    <w:rsid w:val="0D1D816F"/>
    <w:rsid w:val="0D2D0E65"/>
    <w:rsid w:val="0D3570B6"/>
    <w:rsid w:val="0D3AAB7B"/>
    <w:rsid w:val="0D3B9DD8"/>
    <w:rsid w:val="0D3F5DA5"/>
    <w:rsid w:val="0D476721"/>
    <w:rsid w:val="0D50311F"/>
    <w:rsid w:val="0D512FA8"/>
    <w:rsid w:val="0D55607F"/>
    <w:rsid w:val="0D55BA23"/>
    <w:rsid w:val="0D5BDFBC"/>
    <w:rsid w:val="0D5D375A"/>
    <w:rsid w:val="0D5D7C0E"/>
    <w:rsid w:val="0D65B249"/>
    <w:rsid w:val="0D6723D8"/>
    <w:rsid w:val="0D6A01AA"/>
    <w:rsid w:val="0D6D98B6"/>
    <w:rsid w:val="0D73E44C"/>
    <w:rsid w:val="0D74793A"/>
    <w:rsid w:val="0D74D870"/>
    <w:rsid w:val="0D78CFC8"/>
    <w:rsid w:val="0D7A5821"/>
    <w:rsid w:val="0D7C74EE"/>
    <w:rsid w:val="0D8152A6"/>
    <w:rsid w:val="0D8469E3"/>
    <w:rsid w:val="0D895838"/>
    <w:rsid w:val="0D907449"/>
    <w:rsid w:val="0D9A94F7"/>
    <w:rsid w:val="0DA6D98D"/>
    <w:rsid w:val="0DACDEFF"/>
    <w:rsid w:val="0DAF78FA"/>
    <w:rsid w:val="0DAFDF86"/>
    <w:rsid w:val="0DB2C92F"/>
    <w:rsid w:val="0DB3C00B"/>
    <w:rsid w:val="0DB4907B"/>
    <w:rsid w:val="0DC5ED06"/>
    <w:rsid w:val="0DCC7851"/>
    <w:rsid w:val="0DD0781B"/>
    <w:rsid w:val="0DD177CA"/>
    <w:rsid w:val="0DD8E071"/>
    <w:rsid w:val="0DD98C36"/>
    <w:rsid w:val="0DDEDC16"/>
    <w:rsid w:val="0DE076A8"/>
    <w:rsid w:val="0DE2A967"/>
    <w:rsid w:val="0DE41F5A"/>
    <w:rsid w:val="0DE805A3"/>
    <w:rsid w:val="0DFFF8D0"/>
    <w:rsid w:val="0E1D696A"/>
    <w:rsid w:val="0E2824FF"/>
    <w:rsid w:val="0E2F5F83"/>
    <w:rsid w:val="0E34E6FA"/>
    <w:rsid w:val="0E3D953C"/>
    <w:rsid w:val="0E445348"/>
    <w:rsid w:val="0E490CAC"/>
    <w:rsid w:val="0E54D46F"/>
    <w:rsid w:val="0E5960AB"/>
    <w:rsid w:val="0E5E8920"/>
    <w:rsid w:val="0E641441"/>
    <w:rsid w:val="0E666F52"/>
    <w:rsid w:val="0E7CC8E8"/>
    <w:rsid w:val="0E826DF2"/>
    <w:rsid w:val="0E839E5C"/>
    <w:rsid w:val="0E898170"/>
    <w:rsid w:val="0E8D95BB"/>
    <w:rsid w:val="0E94EAD7"/>
    <w:rsid w:val="0E96A2D9"/>
    <w:rsid w:val="0E9CD8B2"/>
    <w:rsid w:val="0E9E4054"/>
    <w:rsid w:val="0EB086CB"/>
    <w:rsid w:val="0EC16094"/>
    <w:rsid w:val="0EC5D40E"/>
    <w:rsid w:val="0ED2EEAD"/>
    <w:rsid w:val="0ED4D458"/>
    <w:rsid w:val="0ED85075"/>
    <w:rsid w:val="0ED8BF07"/>
    <w:rsid w:val="0ED926A2"/>
    <w:rsid w:val="0EDAD39F"/>
    <w:rsid w:val="0EDD54F4"/>
    <w:rsid w:val="0EDE29E3"/>
    <w:rsid w:val="0EDF7FE8"/>
    <w:rsid w:val="0EE20A79"/>
    <w:rsid w:val="0EE7B46E"/>
    <w:rsid w:val="0EE93340"/>
    <w:rsid w:val="0EED820B"/>
    <w:rsid w:val="0EF6A74C"/>
    <w:rsid w:val="0F0336AB"/>
    <w:rsid w:val="0F0338F0"/>
    <w:rsid w:val="0F110D24"/>
    <w:rsid w:val="0F137671"/>
    <w:rsid w:val="0F17023B"/>
    <w:rsid w:val="0F1C3069"/>
    <w:rsid w:val="0F1D0EEB"/>
    <w:rsid w:val="0F2447D5"/>
    <w:rsid w:val="0F2D927E"/>
    <w:rsid w:val="0F396ABE"/>
    <w:rsid w:val="0F3A0E70"/>
    <w:rsid w:val="0F458A0E"/>
    <w:rsid w:val="0F5092F5"/>
    <w:rsid w:val="0F62919E"/>
    <w:rsid w:val="0F62CF1D"/>
    <w:rsid w:val="0F654309"/>
    <w:rsid w:val="0F82E48A"/>
    <w:rsid w:val="0F86D186"/>
    <w:rsid w:val="0F88B506"/>
    <w:rsid w:val="0F9750E3"/>
    <w:rsid w:val="0F98F8C8"/>
    <w:rsid w:val="0FA253C3"/>
    <w:rsid w:val="0FA9B219"/>
    <w:rsid w:val="0FAFF14D"/>
    <w:rsid w:val="0FB1E923"/>
    <w:rsid w:val="0FB558A2"/>
    <w:rsid w:val="0FBB6CE9"/>
    <w:rsid w:val="0FCA3A1D"/>
    <w:rsid w:val="0FDA1EB5"/>
    <w:rsid w:val="0FE3FF1F"/>
    <w:rsid w:val="0FE4C86B"/>
    <w:rsid w:val="0FE4DD05"/>
    <w:rsid w:val="0FEAD287"/>
    <w:rsid w:val="0FEFF401"/>
    <w:rsid w:val="0FF8146F"/>
    <w:rsid w:val="1002AFB9"/>
    <w:rsid w:val="10125EF8"/>
    <w:rsid w:val="1013F58E"/>
    <w:rsid w:val="10176946"/>
    <w:rsid w:val="101BC66F"/>
    <w:rsid w:val="101CC00A"/>
    <w:rsid w:val="101FBC1D"/>
    <w:rsid w:val="10266266"/>
    <w:rsid w:val="10298030"/>
    <w:rsid w:val="102D032E"/>
    <w:rsid w:val="1035096B"/>
    <w:rsid w:val="10369B29"/>
    <w:rsid w:val="103D5299"/>
    <w:rsid w:val="103E0C1A"/>
    <w:rsid w:val="10415CD2"/>
    <w:rsid w:val="1042BC1F"/>
    <w:rsid w:val="1046ED49"/>
    <w:rsid w:val="10508927"/>
    <w:rsid w:val="1051749F"/>
    <w:rsid w:val="10528C09"/>
    <w:rsid w:val="105CC6E3"/>
    <w:rsid w:val="10660CC1"/>
    <w:rsid w:val="106FA6B7"/>
    <w:rsid w:val="1075C194"/>
    <w:rsid w:val="10764F08"/>
    <w:rsid w:val="107E3F78"/>
    <w:rsid w:val="10846B41"/>
    <w:rsid w:val="1096D700"/>
    <w:rsid w:val="10A371AC"/>
    <w:rsid w:val="10C26A1D"/>
    <w:rsid w:val="10C553D9"/>
    <w:rsid w:val="10CE75C9"/>
    <w:rsid w:val="10CFA8AB"/>
    <w:rsid w:val="10D8E534"/>
    <w:rsid w:val="10DCEED1"/>
    <w:rsid w:val="1106D1FA"/>
    <w:rsid w:val="1111E1DC"/>
    <w:rsid w:val="111B75DF"/>
    <w:rsid w:val="11266FCF"/>
    <w:rsid w:val="11289AD3"/>
    <w:rsid w:val="112A2CE5"/>
    <w:rsid w:val="112E53AD"/>
    <w:rsid w:val="112EB05B"/>
    <w:rsid w:val="113547C5"/>
    <w:rsid w:val="1136BA5A"/>
    <w:rsid w:val="114A6E75"/>
    <w:rsid w:val="114BCF4B"/>
    <w:rsid w:val="1159CA0D"/>
    <w:rsid w:val="1161897C"/>
    <w:rsid w:val="117903DC"/>
    <w:rsid w:val="11959A06"/>
    <w:rsid w:val="11A04057"/>
    <w:rsid w:val="11B14C28"/>
    <w:rsid w:val="11B323E6"/>
    <w:rsid w:val="11BA9013"/>
    <w:rsid w:val="11BCA743"/>
    <w:rsid w:val="11C1F859"/>
    <w:rsid w:val="11C71866"/>
    <w:rsid w:val="11CCD25C"/>
    <w:rsid w:val="11D26C5F"/>
    <w:rsid w:val="11D2ACFF"/>
    <w:rsid w:val="11D3FBE3"/>
    <w:rsid w:val="11D84524"/>
    <w:rsid w:val="11DAFD7C"/>
    <w:rsid w:val="11E86423"/>
    <w:rsid w:val="11EAFF87"/>
    <w:rsid w:val="11F81F77"/>
    <w:rsid w:val="11F8BC1D"/>
    <w:rsid w:val="12028206"/>
    <w:rsid w:val="1204CB76"/>
    <w:rsid w:val="12059F7C"/>
    <w:rsid w:val="12070375"/>
    <w:rsid w:val="12160F4B"/>
    <w:rsid w:val="12195A4F"/>
    <w:rsid w:val="122A2908"/>
    <w:rsid w:val="122E51B5"/>
    <w:rsid w:val="122F28C0"/>
    <w:rsid w:val="1232FB55"/>
    <w:rsid w:val="1237AAF7"/>
    <w:rsid w:val="123C45D8"/>
    <w:rsid w:val="123E9C00"/>
    <w:rsid w:val="124D926F"/>
    <w:rsid w:val="124D9A16"/>
    <w:rsid w:val="12525C9A"/>
    <w:rsid w:val="1259E591"/>
    <w:rsid w:val="126782DD"/>
    <w:rsid w:val="1270203B"/>
    <w:rsid w:val="12713211"/>
    <w:rsid w:val="12738016"/>
    <w:rsid w:val="1278B2D6"/>
    <w:rsid w:val="127E7FA2"/>
    <w:rsid w:val="127F3B66"/>
    <w:rsid w:val="1287438E"/>
    <w:rsid w:val="12875FB9"/>
    <w:rsid w:val="1289E6BE"/>
    <w:rsid w:val="128A2662"/>
    <w:rsid w:val="1298DEB6"/>
    <w:rsid w:val="12A9FA13"/>
    <w:rsid w:val="12ABED9B"/>
    <w:rsid w:val="12B3BC88"/>
    <w:rsid w:val="12B5D446"/>
    <w:rsid w:val="12B75093"/>
    <w:rsid w:val="12C41643"/>
    <w:rsid w:val="12C5AB0D"/>
    <w:rsid w:val="12D21D0F"/>
    <w:rsid w:val="12D43F67"/>
    <w:rsid w:val="12D948FB"/>
    <w:rsid w:val="12DE58E0"/>
    <w:rsid w:val="12E01EC8"/>
    <w:rsid w:val="12E5A44A"/>
    <w:rsid w:val="12ED09B0"/>
    <w:rsid w:val="12F7F2E0"/>
    <w:rsid w:val="13041E26"/>
    <w:rsid w:val="130C890B"/>
    <w:rsid w:val="130D2F0D"/>
    <w:rsid w:val="130FB653"/>
    <w:rsid w:val="131374A1"/>
    <w:rsid w:val="1315E8F8"/>
    <w:rsid w:val="131E751C"/>
    <w:rsid w:val="131EFDE7"/>
    <w:rsid w:val="1320012F"/>
    <w:rsid w:val="1320E326"/>
    <w:rsid w:val="13293B00"/>
    <w:rsid w:val="132B1202"/>
    <w:rsid w:val="1334DDC7"/>
    <w:rsid w:val="1337E466"/>
    <w:rsid w:val="1338CF0D"/>
    <w:rsid w:val="133E22F2"/>
    <w:rsid w:val="1341D841"/>
    <w:rsid w:val="1343B61A"/>
    <w:rsid w:val="13458ABA"/>
    <w:rsid w:val="13476866"/>
    <w:rsid w:val="134A72D4"/>
    <w:rsid w:val="134E5090"/>
    <w:rsid w:val="1354F010"/>
    <w:rsid w:val="135DDCC8"/>
    <w:rsid w:val="135E6FA5"/>
    <w:rsid w:val="13696AA0"/>
    <w:rsid w:val="136C1679"/>
    <w:rsid w:val="136EFED9"/>
    <w:rsid w:val="1377425E"/>
    <w:rsid w:val="137D10D4"/>
    <w:rsid w:val="137D914A"/>
    <w:rsid w:val="137D974A"/>
    <w:rsid w:val="1387A849"/>
    <w:rsid w:val="13891F44"/>
    <w:rsid w:val="138B2AD7"/>
    <w:rsid w:val="13A3D4E2"/>
    <w:rsid w:val="13AA80DA"/>
    <w:rsid w:val="13B50EFB"/>
    <w:rsid w:val="13BD9085"/>
    <w:rsid w:val="13C37F17"/>
    <w:rsid w:val="13C92D41"/>
    <w:rsid w:val="13C9B755"/>
    <w:rsid w:val="13CECA11"/>
    <w:rsid w:val="13CECA1E"/>
    <w:rsid w:val="13DA8F63"/>
    <w:rsid w:val="13DBB106"/>
    <w:rsid w:val="13DEC298"/>
    <w:rsid w:val="13EC829E"/>
    <w:rsid w:val="13F55A13"/>
    <w:rsid w:val="13F84FF7"/>
    <w:rsid w:val="13FAE979"/>
    <w:rsid w:val="140C3B73"/>
    <w:rsid w:val="140F1A82"/>
    <w:rsid w:val="141A2D52"/>
    <w:rsid w:val="1429EB73"/>
    <w:rsid w:val="142D32B1"/>
    <w:rsid w:val="1430780D"/>
    <w:rsid w:val="1432FFE7"/>
    <w:rsid w:val="1435370C"/>
    <w:rsid w:val="143A8E3F"/>
    <w:rsid w:val="143E8C11"/>
    <w:rsid w:val="143F7FB9"/>
    <w:rsid w:val="144007EE"/>
    <w:rsid w:val="144FBE80"/>
    <w:rsid w:val="14583802"/>
    <w:rsid w:val="145C9DCC"/>
    <w:rsid w:val="1465E808"/>
    <w:rsid w:val="14686A78"/>
    <w:rsid w:val="146C00A1"/>
    <w:rsid w:val="1471E071"/>
    <w:rsid w:val="147411F6"/>
    <w:rsid w:val="147C18B8"/>
    <w:rsid w:val="1480A3A0"/>
    <w:rsid w:val="148524A1"/>
    <w:rsid w:val="14863BEA"/>
    <w:rsid w:val="148C5CB3"/>
    <w:rsid w:val="14951E24"/>
    <w:rsid w:val="1497E6B4"/>
    <w:rsid w:val="149C4B6A"/>
    <w:rsid w:val="149D91D7"/>
    <w:rsid w:val="149F2EA1"/>
    <w:rsid w:val="14C48FED"/>
    <w:rsid w:val="14C4A7A2"/>
    <w:rsid w:val="14C51A21"/>
    <w:rsid w:val="14C55938"/>
    <w:rsid w:val="14C61C08"/>
    <w:rsid w:val="14D2A8F6"/>
    <w:rsid w:val="14D38065"/>
    <w:rsid w:val="14D39D5F"/>
    <w:rsid w:val="14D50453"/>
    <w:rsid w:val="14D74A51"/>
    <w:rsid w:val="14DC2528"/>
    <w:rsid w:val="14E5642B"/>
    <w:rsid w:val="14E70CCB"/>
    <w:rsid w:val="14F55CA2"/>
    <w:rsid w:val="14F81DE2"/>
    <w:rsid w:val="14FCB29A"/>
    <w:rsid w:val="15017FD6"/>
    <w:rsid w:val="1506E081"/>
    <w:rsid w:val="15109E31"/>
    <w:rsid w:val="15151D70"/>
    <w:rsid w:val="151B99E9"/>
    <w:rsid w:val="151CC029"/>
    <w:rsid w:val="151D8AD1"/>
    <w:rsid w:val="151DDEC5"/>
    <w:rsid w:val="152B213D"/>
    <w:rsid w:val="1532237A"/>
    <w:rsid w:val="1536B234"/>
    <w:rsid w:val="1538A212"/>
    <w:rsid w:val="1548BFB5"/>
    <w:rsid w:val="154C41F0"/>
    <w:rsid w:val="1553210D"/>
    <w:rsid w:val="155C377B"/>
    <w:rsid w:val="155FBB12"/>
    <w:rsid w:val="1560B90A"/>
    <w:rsid w:val="1563006E"/>
    <w:rsid w:val="1570C769"/>
    <w:rsid w:val="15773826"/>
    <w:rsid w:val="15779839"/>
    <w:rsid w:val="1577CDDB"/>
    <w:rsid w:val="157A7947"/>
    <w:rsid w:val="157C7698"/>
    <w:rsid w:val="158114D1"/>
    <w:rsid w:val="159C3144"/>
    <w:rsid w:val="15A01737"/>
    <w:rsid w:val="15A0E57A"/>
    <w:rsid w:val="15B26875"/>
    <w:rsid w:val="15B6E871"/>
    <w:rsid w:val="15B9F3BC"/>
    <w:rsid w:val="15BD779D"/>
    <w:rsid w:val="15C5EE99"/>
    <w:rsid w:val="15CE6B6A"/>
    <w:rsid w:val="15D04563"/>
    <w:rsid w:val="15D395F0"/>
    <w:rsid w:val="15D39CEE"/>
    <w:rsid w:val="15D5BAD3"/>
    <w:rsid w:val="15DCB14B"/>
    <w:rsid w:val="15EE0CA1"/>
    <w:rsid w:val="15F00585"/>
    <w:rsid w:val="15F5F97D"/>
    <w:rsid w:val="1602462B"/>
    <w:rsid w:val="1607EA5A"/>
    <w:rsid w:val="160CAABE"/>
    <w:rsid w:val="1611C455"/>
    <w:rsid w:val="1611E9CD"/>
    <w:rsid w:val="16160FF0"/>
    <w:rsid w:val="161ED90D"/>
    <w:rsid w:val="16278F06"/>
    <w:rsid w:val="1628256A"/>
    <w:rsid w:val="162E4AF1"/>
    <w:rsid w:val="164064D2"/>
    <w:rsid w:val="16435EB3"/>
    <w:rsid w:val="16482C2D"/>
    <w:rsid w:val="164F5DF7"/>
    <w:rsid w:val="1650855C"/>
    <w:rsid w:val="165FA261"/>
    <w:rsid w:val="16606E67"/>
    <w:rsid w:val="1664234A"/>
    <w:rsid w:val="16820976"/>
    <w:rsid w:val="168979F0"/>
    <w:rsid w:val="168E4AFB"/>
    <w:rsid w:val="169086E1"/>
    <w:rsid w:val="16941835"/>
    <w:rsid w:val="1695493C"/>
    <w:rsid w:val="169561EE"/>
    <w:rsid w:val="1699FB3F"/>
    <w:rsid w:val="169A8017"/>
    <w:rsid w:val="16A6B088"/>
    <w:rsid w:val="16A8D38C"/>
    <w:rsid w:val="16B7C7C4"/>
    <w:rsid w:val="16BBA30B"/>
    <w:rsid w:val="16BC20A2"/>
    <w:rsid w:val="16BC38B1"/>
    <w:rsid w:val="16C741FE"/>
    <w:rsid w:val="16C96FA7"/>
    <w:rsid w:val="16CC3C67"/>
    <w:rsid w:val="16CCB660"/>
    <w:rsid w:val="16D3D429"/>
    <w:rsid w:val="16D49ECC"/>
    <w:rsid w:val="16DD351E"/>
    <w:rsid w:val="16DDDBF5"/>
    <w:rsid w:val="16DE76ED"/>
    <w:rsid w:val="16DF4243"/>
    <w:rsid w:val="16E54494"/>
    <w:rsid w:val="16E61214"/>
    <w:rsid w:val="16EC5C84"/>
    <w:rsid w:val="16EF3D73"/>
    <w:rsid w:val="16F596AF"/>
    <w:rsid w:val="16F5D6C1"/>
    <w:rsid w:val="1719D93C"/>
    <w:rsid w:val="171CFEB6"/>
    <w:rsid w:val="1720CC9A"/>
    <w:rsid w:val="1725A20D"/>
    <w:rsid w:val="1726DCD3"/>
    <w:rsid w:val="1728F73B"/>
    <w:rsid w:val="172C1C9A"/>
    <w:rsid w:val="173DF96C"/>
    <w:rsid w:val="17406AFD"/>
    <w:rsid w:val="174412DB"/>
    <w:rsid w:val="174B17FE"/>
    <w:rsid w:val="174DF6F2"/>
    <w:rsid w:val="174DF96B"/>
    <w:rsid w:val="174FDF13"/>
    <w:rsid w:val="1751D1BB"/>
    <w:rsid w:val="17539355"/>
    <w:rsid w:val="17550C1E"/>
    <w:rsid w:val="1755B557"/>
    <w:rsid w:val="1756435C"/>
    <w:rsid w:val="17589AEB"/>
    <w:rsid w:val="1758AC5A"/>
    <w:rsid w:val="175AD2B1"/>
    <w:rsid w:val="175E409D"/>
    <w:rsid w:val="17654995"/>
    <w:rsid w:val="176E2BEE"/>
    <w:rsid w:val="1771677C"/>
    <w:rsid w:val="177ED5A8"/>
    <w:rsid w:val="178022D2"/>
    <w:rsid w:val="1783D218"/>
    <w:rsid w:val="178CD90B"/>
    <w:rsid w:val="179643AB"/>
    <w:rsid w:val="179727EB"/>
    <w:rsid w:val="1798C529"/>
    <w:rsid w:val="179ABC30"/>
    <w:rsid w:val="179FC735"/>
    <w:rsid w:val="17A43A07"/>
    <w:rsid w:val="17A9E4D3"/>
    <w:rsid w:val="17B048FA"/>
    <w:rsid w:val="17B6F2BD"/>
    <w:rsid w:val="17CAACB6"/>
    <w:rsid w:val="17D0A663"/>
    <w:rsid w:val="17DBD149"/>
    <w:rsid w:val="17E3480F"/>
    <w:rsid w:val="17EA23B0"/>
    <w:rsid w:val="17F74596"/>
    <w:rsid w:val="17F9CE7C"/>
    <w:rsid w:val="17FFF2B8"/>
    <w:rsid w:val="1800EF04"/>
    <w:rsid w:val="18020A41"/>
    <w:rsid w:val="1806FD01"/>
    <w:rsid w:val="180B9F45"/>
    <w:rsid w:val="180EB40C"/>
    <w:rsid w:val="180FBBA6"/>
    <w:rsid w:val="181470F9"/>
    <w:rsid w:val="1817FB43"/>
    <w:rsid w:val="1819E7B4"/>
    <w:rsid w:val="181C0095"/>
    <w:rsid w:val="1822905C"/>
    <w:rsid w:val="1826CC83"/>
    <w:rsid w:val="182DEDC3"/>
    <w:rsid w:val="182E9CC0"/>
    <w:rsid w:val="182F351B"/>
    <w:rsid w:val="18409625"/>
    <w:rsid w:val="18479013"/>
    <w:rsid w:val="1848E5A5"/>
    <w:rsid w:val="184A4568"/>
    <w:rsid w:val="1857C8DA"/>
    <w:rsid w:val="185AA6D2"/>
    <w:rsid w:val="186CFC39"/>
    <w:rsid w:val="18708AF7"/>
    <w:rsid w:val="18786F2A"/>
    <w:rsid w:val="18970FE4"/>
    <w:rsid w:val="189854FA"/>
    <w:rsid w:val="189C58B8"/>
    <w:rsid w:val="18A60FA5"/>
    <w:rsid w:val="18A93654"/>
    <w:rsid w:val="18B62E6A"/>
    <w:rsid w:val="18B8C1B2"/>
    <w:rsid w:val="18BEB6DC"/>
    <w:rsid w:val="18C16D0D"/>
    <w:rsid w:val="18C68DD9"/>
    <w:rsid w:val="18C7200F"/>
    <w:rsid w:val="18C7E6F7"/>
    <w:rsid w:val="18C85CAB"/>
    <w:rsid w:val="18C9BD20"/>
    <w:rsid w:val="18CB3F19"/>
    <w:rsid w:val="18D7F7EF"/>
    <w:rsid w:val="18DCE34E"/>
    <w:rsid w:val="18DCF18A"/>
    <w:rsid w:val="18DF1350"/>
    <w:rsid w:val="18EEE763"/>
    <w:rsid w:val="190E0189"/>
    <w:rsid w:val="1916B66C"/>
    <w:rsid w:val="19198B99"/>
    <w:rsid w:val="191EC808"/>
    <w:rsid w:val="1923D902"/>
    <w:rsid w:val="192538F4"/>
    <w:rsid w:val="19255755"/>
    <w:rsid w:val="192B805E"/>
    <w:rsid w:val="192BBF9B"/>
    <w:rsid w:val="192C1A49"/>
    <w:rsid w:val="192D0FD5"/>
    <w:rsid w:val="193A03F5"/>
    <w:rsid w:val="19400361"/>
    <w:rsid w:val="1945BBEA"/>
    <w:rsid w:val="194855C4"/>
    <w:rsid w:val="194FEE48"/>
    <w:rsid w:val="1958C09D"/>
    <w:rsid w:val="195D4B93"/>
    <w:rsid w:val="195EA64E"/>
    <w:rsid w:val="196297A8"/>
    <w:rsid w:val="1964AF72"/>
    <w:rsid w:val="1967DA3C"/>
    <w:rsid w:val="19758E49"/>
    <w:rsid w:val="1975F479"/>
    <w:rsid w:val="19794B42"/>
    <w:rsid w:val="197A0199"/>
    <w:rsid w:val="1983EDA0"/>
    <w:rsid w:val="1998BA9A"/>
    <w:rsid w:val="1999B6C9"/>
    <w:rsid w:val="199B376E"/>
    <w:rsid w:val="19A46F53"/>
    <w:rsid w:val="19A7C704"/>
    <w:rsid w:val="19AF3FEF"/>
    <w:rsid w:val="19B274CE"/>
    <w:rsid w:val="19B4F4AC"/>
    <w:rsid w:val="19B82421"/>
    <w:rsid w:val="19CAB749"/>
    <w:rsid w:val="19CC896A"/>
    <w:rsid w:val="19D82918"/>
    <w:rsid w:val="19DD01D9"/>
    <w:rsid w:val="19DD5D88"/>
    <w:rsid w:val="19DE5E21"/>
    <w:rsid w:val="19E71D9F"/>
    <w:rsid w:val="19E8BE88"/>
    <w:rsid w:val="19ED1B9A"/>
    <w:rsid w:val="19F007E2"/>
    <w:rsid w:val="1A008558"/>
    <w:rsid w:val="1A068A97"/>
    <w:rsid w:val="1A1022F3"/>
    <w:rsid w:val="1A1A6F9A"/>
    <w:rsid w:val="1A1DC540"/>
    <w:rsid w:val="1A2F47B1"/>
    <w:rsid w:val="1A3BDEF5"/>
    <w:rsid w:val="1A450436"/>
    <w:rsid w:val="1A481706"/>
    <w:rsid w:val="1A541374"/>
    <w:rsid w:val="1A565653"/>
    <w:rsid w:val="1A5A4581"/>
    <w:rsid w:val="1A642040"/>
    <w:rsid w:val="1A6D7033"/>
    <w:rsid w:val="1A7A47C6"/>
    <w:rsid w:val="1A84A388"/>
    <w:rsid w:val="1A8CCFF7"/>
    <w:rsid w:val="1A92FF59"/>
    <w:rsid w:val="1A9725D0"/>
    <w:rsid w:val="1AA0BC82"/>
    <w:rsid w:val="1AAAB57C"/>
    <w:rsid w:val="1AAD85BD"/>
    <w:rsid w:val="1AB4A7D7"/>
    <w:rsid w:val="1ABD27B7"/>
    <w:rsid w:val="1ABE3544"/>
    <w:rsid w:val="1ACF0DF1"/>
    <w:rsid w:val="1AD5300B"/>
    <w:rsid w:val="1AD9307D"/>
    <w:rsid w:val="1ADDB642"/>
    <w:rsid w:val="1ADE31CB"/>
    <w:rsid w:val="1AF15708"/>
    <w:rsid w:val="1AF35B7E"/>
    <w:rsid w:val="1AF4EAF4"/>
    <w:rsid w:val="1AFAD246"/>
    <w:rsid w:val="1B04B2AC"/>
    <w:rsid w:val="1B0B4E36"/>
    <w:rsid w:val="1B14BEE7"/>
    <w:rsid w:val="1B1BA5B5"/>
    <w:rsid w:val="1B1C827F"/>
    <w:rsid w:val="1B229DE7"/>
    <w:rsid w:val="1B25BD4D"/>
    <w:rsid w:val="1B440D4C"/>
    <w:rsid w:val="1B48AA1C"/>
    <w:rsid w:val="1B4F17F4"/>
    <w:rsid w:val="1B538D88"/>
    <w:rsid w:val="1B55A1A2"/>
    <w:rsid w:val="1B598C4C"/>
    <w:rsid w:val="1B5FD64F"/>
    <w:rsid w:val="1B615843"/>
    <w:rsid w:val="1B64411C"/>
    <w:rsid w:val="1B6F3A39"/>
    <w:rsid w:val="1B776D40"/>
    <w:rsid w:val="1B7AE06D"/>
    <w:rsid w:val="1B8538DD"/>
    <w:rsid w:val="1B855EE8"/>
    <w:rsid w:val="1B886934"/>
    <w:rsid w:val="1B96E67C"/>
    <w:rsid w:val="1B9B8C00"/>
    <w:rsid w:val="1B9C407B"/>
    <w:rsid w:val="1B9DA747"/>
    <w:rsid w:val="1BA0DBE0"/>
    <w:rsid w:val="1BA3AE88"/>
    <w:rsid w:val="1BA9BAEE"/>
    <w:rsid w:val="1BAA13A3"/>
    <w:rsid w:val="1BB04065"/>
    <w:rsid w:val="1BB960D5"/>
    <w:rsid w:val="1BC18906"/>
    <w:rsid w:val="1BC68BD5"/>
    <w:rsid w:val="1BC93682"/>
    <w:rsid w:val="1BD2DA8B"/>
    <w:rsid w:val="1BD37686"/>
    <w:rsid w:val="1BD4ABC0"/>
    <w:rsid w:val="1BE0C730"/>
    <w:rsid w:val="1BE9AC26"/>
    <w:rsid w:val="1BEC92C6"/>
    <w:rsid w:val="1BF63E6A"/>
    <w:rsid w:val="1BFD5D94"/>
    <w:rsid w:val="1C13F237"/>
    <w:rsid w:val="1C197052"/>
    <w:rsid w:val="1C1A0BBB"/>
    <w:rsid w:val="1C1AD2CE"/>
    <w:rsid w:val="1C1B9686"/>
    <w:rsid w:val="1C1D46C8"/>
    <w:rsid w:val="1C1F0398"/>
    <w:rsid w:val="1C274F4F"/>
    <w:rsid w:val="1C2A9979"/>
    <w:rsid w:val="1C340700"/>
    <w:rsid w:val="1C38DCB2"/>
    <w:rsid w:val="1C3A0842"/>
    <w:rsid w:val="1C3DD94C"/>
    <w:rsid w:val="1C4AE2C4"/>
    <w:rsid w:val="1C4B308F"/>
    <w:rsid w:val="1C4DCEDD"/>
    <w:rsid w:val="1C51E454"/>
    <w:rsid w:val="1C56AA31"/>
    <w:rsid w:val="1C621282"/>
    <w:rsid w:val="1C648A27"/>
    <w:rsid w:val="1C66EAC9"/>
    <w:rsid w:val="1C68488C"/>
    <w:rsid w:val="1C6CEDC4"/>
    <w:rsid w:val="1C6D3513"/>
    <w:rsid w:val="1C6DA0A2"/>
    <w:rsid w:val="1C6E890D"/>
    <w:rsid w:val="1C733E82"/>
    <w:rsid w:val="1C774187"/>
    <w:rsid w:val="1C8007EC"/>
    <w:rsid w:val="1C808574"/>
    <w:rsid w:val="1C80F5B7"/>
    <w:rsid w:val="1C824477"/>
    <w:rsid w:val="1C86EC4E"/>
    <w:rsid w:val="1C898E28"/>
    <w:rsid w:val="1C8B3B47"/>
    <w:rsid w:val="1C973845"/>
    <w:rsid w:val="1C9B09BB"/>
    <w:rsid w:val="1C9E2E87"/>
    <w:rsid w:val="1C9F6180"/>
    <w:rsid w:val="1CA7C82A"/>
    <w:rsid w:val="1CA8CE63"/>
    <w:rsid w:val="1CAA4969"/>
    <w:rsid w:val="1CB2BEDE"/>
    <w:rsid w:val="1CBF575C"/>
    <w:rsid w:val="1CC0CC32"/>
    <w:rsid w:val="1CC443C1"/>
    <w:rsid w:val="1CC5E24B"/>
    <w:rsid w:val="1CD59862"/>
    <w:rsid w:val="1CD5C3CF"/>
    <w:rsid w:val="1CD8F93E"/>
    <w:rsid w:val="1CD9E378"/>
    <w:rsid w:val="1CDF8A2C"/>
    <w:rsid w:val="1CE3497C"/>
    <w:rsid w:val="1CE4C503"/>
    <w:rsid w:val="1CE9FCDE"/>
    <w:rsid w:val="1CEE3986"/>
    <w:rsid w:val="1CF6EA19"/>
    <w:rsid w:val="1CF9ED33"/>
    <w:rsid w:val="1CFADC58"/>
    <w:rsid w:val="1D026F79"/>
    <w:rsid w:val="1D0C8374"/>
    <w:rsid w:val="1D1937C9"/>
    <w:rsid w:val="1D19E7EA"/>
    <w:rsid w:val="1D2083F5"/>
    <w:rsid w:val="1D22309C"/>
    <w:rsid w:val="1D24CDD6"/>
    <w:rsid w:val="1D2F14B8"/>
    <w:rsid w:val="1D31E17E"/>
    <w:rsid w:val="1D39F119"/>
    <w:rsid w:val="1D3C3EF2"/>
    <w:rsid w:val="1D3FE21F"/>
    <w:rsid w:val="1D40EC68"/>
    <w:rsid w:val="1D4D2CB5"/>
    <w:rsid w:val="1D567CED"/>
    <w:rsid w:val="1D572454"/>
    <w:rsid w:val="1D6C6EA1"/>
    <w:rsid w:val="1D72AA5F"/>
    <w:rsid w:val="1D7382D3"/>
    <w:rsid w:val="1D79B464"/>
    <w:rsid w:val="1D8ABA5E"/>
    <w:rsid w:val="1D92528B"/>
    <w:rsid w:val="1DADDCA9"/>
    <w:rsid w:val="1DAEFB68"/>
    <w:rsid w:val="1DB319A4"/>
    <w:rsid w:val="1DBA3BB8"/>
    <w:rsid w:val="1DBC79C1"/>
    <w:rsid w:val="1DC019AE"/>
    <w:rsid w:val="1DC41C43"/>
    <w:rsid w:val="1DCE6777"/>
    <w:rsid w:val="1DDDCA79"/>
    <w:rsid w:val="1DDDD3B0"/>
    <w:rsid w:val="1DE227B0"/>
    <w:rsid w:val="1DE8AD7D"/>
    <w:rsid w:val="1DEF5F68"/>
    <w:rsid w:val="1DF69435"/>
    <w:rsid w:val="1DF91DEB"/>
    <w:rsid w:val="1DF9B636"/>
    <w:rsid w:val="1DFA5EDD"/>
    <w:rsid w:val="1DFDC1CA"/>
    <w:rsid w:val="1E00F5FA"/>
    <w:rsid w:val="1E0CE875"/>
    <w:rsid w:val="1E149DDA"/>
    <w:rsid w:val="1E34DACC"/>
    <w:rsid w:val="1E501492"/>
    <w:rsid w:val="1E52DD5A"/>
    <w:rsid w:val="1E53E0E4"/>
    <w:rsid w:val="1E552F3D"/>
    <w:rsid w:val="1E56F17C"/>
    <w:rsid w:val="1E5F8102"/>
    <w:rsid w:val="1E65D427"/>
    <w:rsid w:val="1E677175"/>
    <w:rsid w:val="1E6DBE25"/>
    <w:rsid w:val="1E6EDA95"/>
    <w:rsid w:val="1E72A868"/>
    <w:rsid w:val="1E72B89F"/>
    <w:rsid w:val="1E72CEDE"/>
    <w:rsid w:val="1E7527FC"/>
    <w:rsid w:val="1E7E9848"/>
    <w:rsid w:val="1E7FAF6F"/>
    <w:rsid w:val="1E832F01"/>
    <w:rsid w:val="1E845E85"/>
    <w:rsid w:val="1E89EFBD"/>
    <w:rsid w:val="1E8E3DA6"/>
    <w:rsid w:val="1E8ECED7"/>
    <w:rsid w:val="1E9182FF"/>
    <w:rsid w:val="1EA06CAD"/>
    <w:rsid w:val="1EA1C8CE"/>
    <w:rsid w:val="1EB02382"/>
    <w:rsid w:val="1EB0FE21"/>
    <w:rsid w:val="1EB47BFF"/>
    <w:rsid w:val="1EBA1DC3"/>
    <w:rsid w:val="1EC189C9"/>
    <w:rsid w:val="1EC5E7DF"/>
    <w:rsid w:val="1EC6BAB8"/>
    <w:rsid w:val="1ED31B2C"/>
    <w:rsid w:val="1ED7EBC1"/>
    <w:rsid w:val="1EDB1BCE"/>
    <w:rsid w:val="1EDD271B"/>
    <w:rsid w:val="1EE3D42D"/>
    <w:rsid w:val="1EEEAE08"/>
    <w:rsid w:val="1EF22C4B"/>
    <w:rsid w:val="1EF91EA2"/>
    <w:rsid w:val="1EF92005"/>
    <w:rsid w:val="1EFA7D71"/>
    <w:rsid w:val="1EFF3544"/>
    <w:rsid w:val="1F088BFD"/>
    <w:rsid w:val="1F0CA545"/>
    <w:rsid w:val="1F1173B9"/>
    <w:rsid w:val="1F12D3DE"/>
    <w:rsid w:val="1F16DC83"/>
    <w:rsid w:val="1F1FA4F4"/>
    <w:rsid w:val="1F1FD448"/>
    <w:rsid w:val="1F25C119"/>
    <w:rsid w:val="1F2A5B32"/>
    <w:rsid w:val="1F2AA7F4"/>
    <w:rsid w:val="1F2D33EC"/>
    <w:rsid w:val="1F35C367"/>
    <w:rsid w:val="1F3789D0"/>
    <w:rsid w:val="1F3C249A"/>
    <w:rsid w:val="1F44D030"/>
    <w:rsid w:val="1F45FFC9"/>
    <w:rsid w:val="1F4C0CDA"/>
    <w:rsid w:val="1F4C26DF"/>
    <w:rsid w:val="1F4DD6B0"/>
    <w:rsid w:val="1F54FD8E"/>
    <w:rsid w:val="1F621839"/>
    <w:rsid w:val="1F625997"/>
    <w:rsid w:val="1F64EFF1"/>
    <w:rsid w:val="1F732E2D"/>
    <w:rsid w:val="1F753838"/>
    <w:rsid w:val="1F78959D"/>
    <w:rsid w:val="1F7A40E6"/>
    <w:rsid w:val="1F8B8331"/>
    <w:rsid w:val="1F9981FF"/>
    <w:rsid w:val="1F99ED8F"/>
    <w:rsid w:val="1F9A0671"/>
    <w:rsid w:val="1FA1BFBF"/>
    <w:rsid w:val="1FA35190"/>
    <w:rsid w:val="1FA8560D"/>
    <w:rsid w:val="1FAD68B0"/>
    <w:rsid w:val="1FAEECAE"/>
    <w:rsid w:val="1FB02CB5"/>
    <w:rsid w:val="1FB0BA9E"/>
    <w:rsid w:val="1FB2D9CB"/>
    <w:rsid w:val="1FB449B5"/>
    <w:rsid w:val="1FB98721"/>
    <w:rsid w:val="1FC0F77D"/>
    <w:rsid w:val="1FC261EB"/>
    <w:rsid w:val="1FCA5686"/>
    <w:rsid w:val="1FD21870"/>
    <w:rsid w:val="1FDD78E5"/>
    <w:rsid w:val="1FE3022D"/>
    <w:rsid w:val="1FE4AED3"/>
    <w:rsid w:val="1FE4C567"/>
    <w:rsid w:val="1FFF3E3C"/>
    <w:rsid w:val="20018EB6"/>
    <w:rsid w:val="2004D87C"/>
    <w:rsid w:val="200803FB"/>
    <w:rsid w:val="200841A8"/>
    <w:rsid w:val="20089164"/>
    <w:rsid w:val="200C98DF"/>
    <w:rsid w:val="2011B09A"/>
    <w:rsid w:val="20153E73"/>
    <w:rsid w:val="2017C633"/>
    <w:rsid w:val="201CBA74"/>
    <w:rsid w:val="2020F65C"/>
    <w:rsid w:val="2025945A"/>
    <w:rsid w:val="2030F244"/>
    <w:rsid w:val="20326253"/>
    <w:rsid w:val="2038D919"/>
    <w:rsid w:val="203ABE92"/>
    <w:rsid w:val="203C96FA"/>
    <w:rsid w:val="2048C03B"/>
    <w:rsid w:val="205F800C"/>
    <w:rsid w:val="20608355"/>
    <w:rsid w:val="20632BC9"/>
    <w:rsid w:val="2063FA39"/>
    <w:rsid w:val="20641FE1"/>
    <w:rsid w:val="2067AF10"/>
    <w:rsid w:val="206DF54B"/>
    <w:rsid w:val="207576CA"/>
    <w:rsid w:val="2077D8D8"/>
    <w:rsid w:val="207A7C80"/>
    <w:rsid w:val="20831FCC"/>
    <w:rsid w:val="2091A32D"/>
    <w:rsid w:val="2092D533"/>
    <w:rsid w:val="20930FD9"/>
    <w:rsid w:val="20950E5C"/>
    <w:rsid w:val="20A92E20"/>
    <w:rsid w:val="20AD4EE4"/>
    <w:rsid w:val="20B44956"/>
    <w:rsid w:val="20BA446D"/>
    <w:rsid w:val="20C41134"/>
    <w:rsid w:val="20C9B7B8"/>
    <w:rsid w:val="20CA7A07"/>
    <w:rsid w:val="20CF8EB3"/>
    <w:rsid w:val="20DCF6C4"/>
    <w:rsid w:val="20DE2F88"/>
    <w:rsid w:val="20DE5E3E"/>
    <w:rsid w:val="20EB12D6"/>
    <w:rsid w:val="20EF7CAD"/>
    <w:rsid w:val="20F13265"/>
    <w:rsid w:val="20F7E3C7"/>
    <w:rsid w:val="20F8AFB7"/>
    <w:rsid w:val="210460B3"/>
    <w:rsid w:val="211BB97E"/>
    <w:rsid w:val="211C18FF"/>
    <w:rsid w:val="211D24CC"/>
    <w:rsid w:val="212101F6"/>
    <w:rsid w:val="2135782F"/>
    <w:rsid w:val="21365D90"/>
    <w:rsid w:val="213F7757"/>
    <w:rsid w:val="21415A4C"/>
    <w:rsid w:val="2145BA66"/>
    <w:rsid w:val="2152DB80"/>
    <w:rsid w:val="216BEAAF"/>
    <w:rsid w:val="216C8A0F"/>
    <w:rsid w:val="217D2C3D"/>
    <w:rsid w:val="21806D66"/>
    <w:rsid w:val="218C2D2E"/>
    <w:rsid w:val="218E75EE"/>
    <w:rsid w:val="2197616D"/>
    <w:rsid w:val="219BAF83"/>
    <w:rsid w:val="21A18214"/>
    <w:rsid w:val="21A51FAC"/>
    <w:rsid w:val="21AF6295"/>
    <w:rsid w:val="21B9BBCC"/>
    <w:rsid w:val="21C00DFE"/>
    <w:rsid w:val="21CEC1C4"/>
    <w:rsid w:val="21D60BB7"/>
    <w:rsid w:val="21DCCDD7"/>
    <w:rsid w:val="21F0BD08"/>
    <w:rsid w:val="21F2D40D"/>
    <w:rsid w:val="21F6E971"/>
    <w:rsid w:val="21FE775E"/>
    <w:rsid w:val="21FF33CD"/>
    <w:rsid w:val="2205E46E"/>
    <w:rsid w:val="220CFE24"/>
    <w:rsid w:val="220DBA58"/>
    <w:rsid w:val="220F7A52"/>
    <w:rsid w:val="2213744E"/>
    <w:rsid w:val="22251329"/>
    <w:rsid w:val="22279EAA"/>
    <w:rsid w:val="2227E4E5"/>
    <w:rsid w:val="222EEED5"/>
    <w:rsid w:val="2235158B"/>
    <w:rsid w:val="22427D7E"/>
    <w:rsid w:val="22646722"/>
    <w:rsid w:val="226707FA"/>
    <w:rsid w:val="226F248D"/>
    <w:rsid w:val="22717B0B"/>
    <w:rsid w:val="2271810A"/>
    <w:rsid w:val="2277D306"/>
    <w:rsid w:val="227913A8"/>
    <w:rsid w:val="22838F41"/>
    <w:rsid w:val="228770AE"/>
    <w:rsid w:val="2289C411"/>
    <w:rsid w:val="2294D75E"/>
    <w:rsid w:val="22968885"/>
    <w:rsid w:val="229A4EEA"/>
    <w:rsid w:val="229DD186"/>
    <w:rsid w:val="22A28889"/>
    <w:rsid w:val="22A2E48C"/>
    <w:rsid w:val="22A51C44"/>
    <w:rsid w:val="22AC99B6"/>
    <w:rsid w:val="22AFA98A"/>
    <w:rsid w:val="22B0E509"/>
    <w:rsid w:val="22B27C1F"/>
    <w:rsid w:val="22B4D6B6"/>
    <w:rsid w:val="22B916FF"/>
    <w:rsid w:val="22BAD49D"/>
    <w:rsid w:val="22C42546"/>
    <w:rsid w:val="22D4EBDF"/>
    <w:rsid w:val="22DAC870"/>
    <w:rsid w:val="22DE4C66"/>
    <w:rsid w:val="22E22DEA"/>
    <w:rsid w:val="22E5D087"/>
    <w:rsid w:val="22F11276"/>
    <w:rsid w:val="22F467BC"/>
    <w:rsid w:val="22F72AC4"/>
    <w:rsid w:val="22FC92B2"/>
    <w:rsid w:val="2307B565"/>
    <w:rsid w:val="230DD1EF"/>
    <w:rsid w:val="230F32FF"/>
    <w:rsid w:val="230FD80A"/>
    <w:rsid w:val="2313D6E8"/>
    <w:rsid w:val="232F5D31"/>
    <w:rsid w:val="2336A1C9"/>
    <w:rsid w:val="233E5548"/>
    <w:rsid w:val="2346D8A3"/>
    <w:rsid w:val="2347A39A"/>
    <w:rsid w:val="23506250"/>
    <w:rsid w:val="2350C38C"/>
    <w:rsid w:val="235231FD"/>
    <w:rsid w:val="2358685F"/>
    <w:rsid w:val="235D44FA"/>
    <w:rsid w:val="23685AA1"/>
    <w:rsid w:val="236A9DD9"/>
    <w:rsid w:val="236C199A"/>
    <w:rsid w:val="2371BA73"/>
    <w:rsid w:val="2377C528"/>
    <w:rsid w:val="2378B931"/>
    <w:rsid w:val="2383A190"/>
    <w:rsid w:val="2383A242"/>
    <w:rsid w:val="238A11E4"/>
    <w:rsid w:val="239636A1"/>
    <w:rsid w:val="239D437C"/>
    <w:rsid w:val="23B9FB10"/>
    <w:rsid w:val="23BCA2CA"/>
    <w:rsid w:val="23BE63F1"/>
    <w:rsid w:val="23C03C99"/>
    <w:rsid w:val="23C0438A"/>
    <w:rsid w:val="23C23626"/>
    <w:rsid w:val="23C28507"/>
    <w:rsid w:val="23C5DE62"/>
    <w:rsid w:val="23D1ADE4"/>
    <w:rsid w:val="23D283AD"/>
    <w:rsid w:val="23D56F68"/>
    <w:rsid w:val="23D81840"/>
    <w:rsid w:val="23DD23A4"/>
    <w:rsid w:val="23E65CA2"/>
    <w:rsid w:val="23EE2E23"/>
    <w:rsid w:val="23F20710"/>
    <w:rsid w:val="23F3AC27"/>
    <w:rsid w:val="23F757D2"/>
    <w:rsid w:val="2419D034"/>
    <w:rsid w:val="2427B807"/>
    <w:rsid w:val="2431E98C"/>
    <w:rsid w:val="2436D8DE"/>
    <w:rsid w:val="24371610"/>
    <w:rsid w:val="243988ED"/>
    <w:rsid w:val="243B178E"/>
    <w:rsid w:val="243C6032"/>
    <w:rsid w:val="243E37EC"/>
    <w:rsid w:val="24483862"/>
    <w:rsid w:val="24526EAC"/>
    <w:rsid w:val="2453004F"/>
    <w:rsid w:val="245348BC"/>
    <w:rsid w:val="245442FF"/>
    <w:rsid w:val="2457A35D"/>
    <w:rsid w:val="24615B4C"/>
    <w:rsid w:val="24665EFC"/>
    <w:rsid w:val="246EC146"/>
    <w:rsid w:val="246EFC2A"/>
    <w:rsid w:val="24737CD4"/>
    <w:rsid w:val="247691E0"/>
    <w:rsid w:val="248578B6"/>
    <w:rsid w:val="24875F5C"/>
    <w:rsid w:val="2491B30D"/>
    <w:rsid w:val="249F5886"/>
    <w:rsid w:val="249FA086"/>
    <w:rsid w:val="24A80AFF"/>
    <w:rsid w:val="24ADA2A4"/>
    <w:rsid w:val="24C8DD12"/>
    <w:rsid w:val="24D4EDFE"/>
    <w:rsid w:val="24D83942"/>
    <w:rsid w:val="24D9827B"/>
    <w:rsid w:val="24D9AD86"/>
    <w:rsid w:val="24DB4271"/>
    <w:rsid w:val="24E16A55"/>
    <w:rsid w:val="24EAC368"/>
    <w:rsid w:val="24F15FAD"/>
    <w:rsid w:val="24F5E484"/>
    <w:rsid w:val="24F64459"/>
    <w:rsid w:val="24F9C7EB"/>
    <w:rsid w:val="2504A2A2"/>
    <w:rsid w:val="2509DD98"/>
    <w:rsid w:val="250A25E9"/>
    <w:rsid w:val="25127306"/>
    <w:rsid w:val="251F5324"/>
    <w:rsid w:val="25220EB9"/>
    <w:rsid w:val="2528F5C7"/>
    <w:rsid w:val="252B1D54"/>
    <w:rsid w:val="252EC948"/>
    <w:rsid w:val="253106E5"/>
    <w:rsid w:val="253A052A"/>
    <w:rsid w:val="253E5E29"/>
    <w:rsid w:val="2546A56B"/>
    <w:rsid w:val="25507758"/>
    <w:rsid w:val="255107B7"/>
    <w:rsid w:val="25707F19"/>
    <w:rsid w:val="25738C53"/>
    <w:rsid w:val="2576B503"/>
    <w:rsid w:val="2576D9F6"/>
    <w:rsid w:val="257F3419"/>
    <w:rsid w:val="258EE755"/>
    <w:rsid w:val="2590D05B"/>
    <w:rsid w:val="25A0C0EA"/>
    <w:rsid w:val="25A880D6"/>
    <w:rsid w:val="25AB4F9F"/>
    <w:rsid w:val="25ACFAB3"/>
    <w:rsid w:val="25BEAF4D"/>
    <w:rsid w:val="25C1558C"/>
    <w:rsid w:val="25C53EE0"/>
    <w:rsid w:val="25C82074"/>
    <w:rsid w:val="25C8DD5A"/>
    <w:rsid w:val="25D25F16"/>
    <w:rsid w:val="25DEC14D"/>
    <w:rsid w:val="25DED987"/>
    <w:rsid w:val="25E3E46F"/>
    <w:rsid w:val="25F3C5C3"/>
    <w:rsid w:val="25F61B7B"/>
    <w:rsid w:val="25F6EFEC"/>
    <w:rsid w:val="26002F42"/>
    <w:rsid w:val="26035212"/>
    <w:rsid w:val="26052C47"/>
    <w:rsid w:val="261589B7"/>
    <w:rsid w:val="261C7761"/>
    <w:rsid w:val="2630D47E"/>
    <w:rsid w:val="2633BB1B"/>
    <w:rsid w:val="26398CC9"/>
    <w:rsid w:val="263F6A4F"/>
    <w:rsid w:val="2640BC95"/>
    <w:rsid w:val="26417588"/>
    <w:rsid w:val="2642292D"/>
    <w:rsid w:val="264C90B7"/>
    <w:rsid w:val="26579A52"/>
    <w:rsid w:val="265D4A8E"/>
    <w:rsid w:val="265F5CD5"/>
    <w:rsid w:val="26656DF3"/>
    <w:rsid w:val="2666B142"/>
    <w:rsid w:val="2670E0E8"/>
    <w:rsid w:val="26726715"/>
    <w:rsid w:val="2679B2B2"/>
    <w:rsid w:val="267D7A20"/>
    <w:rsid w:val="267F2F4F"/>
    <w:rsid w:val="26803C27"/>
    <w:rsid w:val="2686FC53"/>
    <w:rsid w:val="2688D75E"/>
    <w:rsid w:val="2699758F"/>
    <w:rsid w:val="2699EBEF"/>
    <w:rsid w:val="26A4A233"/>
    <w:rsid w:val="26AE0392"/>
    <w:rsid w:val="26C040E8"/>
    <w:rsid w:val="26C091AC"/>
    <w:rsid w:val="26C79B0F"/>
    <w:rsid w:val="26CB3538"/>
    <w:rsid w:val="26DCFA97"/>
    <w:rsid w:val="26DE251F"/>
    <w:rsid w:val="26DE644A"/>
    <w:rsid w:val="26E121C3"/>
    <w:rsid w:val="26E2E069"/>
    <w:rsid w:val="270475C2"/>
    <w:rsid w:val="27077607"/>
    <w:rsid w:val="270780D7"/>
    <w:rsid w:val="2712993F"/>
    <w:rsid w:val="27161534"/>
    <w:rsid w:val="2716E9D1"/>
    <w:rsid w:val="2719F33C"/>
    <w:rsid w:val="271C3A84"/>
    <w:rsid w:val="271ED6F4"/>
    <w:rsid w:val="2723AB47"/>
    <w:rsid w:val="2724C834"/>
    <w:rsid w:val="27274CC7"/>
    <w:rsid w:val="273915D2"/>
    <w:rsid w:val="273B68E3"/>
    <w:rsid w:val="273C48F0"/>
    <w:rsid w:val="273CD1A1"/>
    <w:rsid w:val="273DD3F6"/>
    <w:rsid w:val="273F8213"/>
    <w:rsid w:val="2747B831"/>
    <w:rsid w:val="274CF832"/>
    <w:rsid w:val="27517509"/>
    <w:rsid w:val="2753C385"/>
    <w:rsid w:val="2759E042"/>
    <w:rsid w:val="276E7216"/>
    <w:rsid w:val="2775EC2A"/>
    <w:rsid w:val="277729A6"/>
    <w:rsid w:val="2779E52C"/>
    <w:rsid w:val="277FC42A"/>
    <w:rsid w:val="2783D33E"/>
    <w:rsid w:val="278537B3"/>
    <w:rsid w:val="278E02BE"/>
    <w:rsid w:val="278E4FC0"/>
    <w:rsid w:val="27955BAC"/>
    <w:rsid w:val="27A3D039"/>
    <w:rsid w:val="27AD755B"/>
    <w:rsid w:val="27B49D7A"/>
    <w:rsid w:val="27B4B44C"/>
    <w:rsid w:val="27B6B60B"/>
    <w:rsid w:val="27B9AC4E"/>
    <w:rsid w:val="27BE442B"/>
    <w:rsid w:val="27C15B22"/>
    <w:rsid w:val="27C7BB43"/>
    <w:rsid w:val="27C7BF86"/>
    <w:rsid w:val="27CD9A97"/>
    <w:rsid w:val="27CF31DB"/>
    <w:rsid w:val="27D2E815"/>
    <w:rsid w:val="27DD586A"/>
    <w:rsid w:val="27DF1282"/>
    <w:rsid w:val="27E19ACA"/>
    <w:rsid w:val="27E1B5FF"/>
    <w:rsid w:val="27EE785D"/>
    <w:rsid w:val="27F1CFA6"/>
    <w:rsid w:val="27F354B7"/>
    <w:rsid w:val="27FC82A4"/>
    <w:rsid w:val="2802CB14"/>
    <w:rsid w:val="280A6BD6"/>
    <w:rsid w:val="2815311C"/>
    <w:rsid w:val="281A031B"/>
    <w:rsid w:val="281B876F"/>
    <w:rsid w:val="2821DA18"/>
    <w:rsid w:val="282ACDB2"/>
    <w:rsid w:val="2834D323"/>
    <w:rsid w:val="283D03AD"/>
    <w:rsid w:val="28448B8D"/>
    <w:rsid w:val="2846443D"/>
    <w:rsid w:val="284B4075"/>
    <w:rsid w:val="284F8BDD"/>
    <w:rsid w:val="284FAA84"/>
    <w:rsid w:val="28528FF1"/>
    <w:rsid w:val="28567CF9"/>
    <w:rsid w:val="2859067B"/>
    <w:rsid w:val="28617E90"/>
    <w:rsid w:val="286A3FC9"/>
    <w:rsid w:val="286AFB33"/>
    <w:rsid w:val="286F29FB"/>
    <w:rsid w:val="28725000"/>
    <w:rsid w:val="28740A29"/>
    <w:rsid w:val="2875B9B2"/>
    <w:rsid w:val="287B5996"/>
    <w:rsid w:val="287F0281"/>
    <w:rsid w:val="287FC03C"/>
    <w:rsid w:val="28810DFE"/>
    <w:rsid w:val="2893A8F7"/>
    <w:rsid w:val="28942889"/>
    <w:rsid w:val="28982045"/>
    <w:rsid w:val="28AD13EF"/>
    <w:rsid w:val="28B056DD"/>
    <w:rsid w:val="28C2326D"/>
    <w:rsid w:val="28D3445E"/>
    <w:rsid w:val="28D3B5A3"/>
    <w:rsid w:val="28DE5BE4"/>
    <w:rsid w:val="28E48485"/>
    <w:rsid w:val="28EB7DA0"/>
    <w:rsid w:val="28EDB995"/>
    <w:rsid w:val="28EE1987"/>
    <w:rsid w:val="28F79904"/>
    <w:rsid w:val="28FB1470"/>
    <w:rsid w:val="290218AA"/>
    <w:rsid w:val="290B57D9"/>
    <w:rsid w:val="292B9DC8"/>
    <w:rsid w:val="293C9DE4"/>
    <w:rsid w:val="2956EF1E"/>
    <w:rsid w:val="296458C0"/>
    <w:rsid w:val="2965648D"/>
    <w:rsid w:val="296CBF20"/>
    <w:rsid w:val="29713AA8"/>
    <w:rsid w:val="29749761"/>
    <w:rsid w:val="2976DE4B"/>
    <w:rsid w:val="2979E08E"/>
    <w:rsid w:val="29843141"/>
    <w:rsid w:val="298A6E46"/>
    <w:rsid w:val="298AD3AE"/>
    <w:rsid w:val="298CF0A5"/>
    <w:rsid w:val="299CADF7"/>
    <w:rsid w:val="29A4BBF8"/>
    <w:rsid w:val="29B1193A"/>
    <w:rsid w:val="29B14A62"/>
    <w:rsid w:val="29B76413"/>
    <w:rsid w:val="29C302F8"/>
    <w:rsid w:val="29D0DB8C"/>
    <w:rsid w:val="29DA5CAD"/>
    <w:rsid w:val="29E90B50"/>
    <w:rsid w:val="29EAE4BA"/>
    <w:rsid w:val="29EB500F"/>
    <w:rsid w:val="29F4139E"/>
    <w:rsid w:val="2A0308F7"/>
    <w:rsid w:val="2A04E173"/>
    <w:rsid w:val="2A057C37"/>
    <w:rsid w:val="2A08E5C5"/>
    <w:rsid w:val="2A0DDBFA"/>
    <w:rsid w:val="2A0F8E96"/>
    <w:rsid w:val="2A146DC0"/>
    <w:rsid w:val="2A22B5C7"/>
    <w:rsid w:val="2A25F574"/>
    <w:rsid w:val="2A261FEA"/>
    <w:rsid w:val="2A356B9D"/>
    <w:rsid w:val="2A399A7D"/>
    <w:rsid w:val="2A3A5292"/>
    <w:rsid w:val="2A64219E"/>
    <w:rsid w:val="2A6A78D8"/>
    <w:rsid w:val="2A6C318C"/>
    <w:rsid w:val="2A7E49BC"/>
    <w:rsid w:val="2A81B0F5"/>
    <w:rsid w:val="2A8344EB"/>
    <w:rsid w:val="2A85E0B4"/>
    <w:rsid w:val="2A87A6D6"/>
    <w:rsid w:val="2A9FF98A"/>
    <w:rsid w:val="2AA73547"/>
    <w:rsid w:val="2AA8E48D"/>
    <w:rsid w:val="2AABB506"/>
    <w:rsid w:val="2AAD1787"/>
    <w:rsid w:val="2AB540A0"/>
    <w:rsid w:val="2AB5A771"/>
    <w:rsid w:val="2ABEBCFE"/>
    <w:rsid w:val="2AC3BC95"/>
    <w:rsid w:val="2AD26782"/>
    <w:rsid w:val="2AD8A4E0"/>
    <w:rsid w:val="2ADA62CC"/>
    <w:rsid w:val="2ADC11AD"/>
    <w:rsid w:val="2B06D5EF"/>
    <w:rsid w:val="2B0B1537"/>
    <w:rsid w:val="2B18B2BA"/>
    <w:rsid w:val="2B1C0467"/>
    <w:rsid w:val="2B231305"/>
    <w:rsid w:val="2B264FC5"/>
    <w:rsid w:val="2B297AC5"/>
    <w:rsid w:val="2B2C52A5"/>
    <w:rsid w:val="2B34F9B0"/>
    <w:rsid w:val="2B39707F"/>
    <w:rsid w:val="2B478573"/>
    <w:rsid w:val="2B48DEAF"/>
    <w:rsid w:val="2B4EE11A"/>
    <w:rsid w:val="2B5318C7"/>
    <w:rsid w:val="2B557182"/>
    <w:rsid w:val="2B57ADBA"/>
    <w:rsid w:val="2B59B0D0"/>
    <w:rsid w:val="2B59D95D"/>
    <w:rsid w:val="2B665230"/>
    <w:rsid w:val="2B6C926C"/>
    <w:rsid w:val="2B80291F"/>
    <w:rsid w:val="2B87E286"/>
    <w:rsid w:val="2B8F5AA3"/>
    <w:rsid w:val="2B9A7F1D"/>
    <w:rsid w:val="2BA0966B"/>
    <w:rsid w:val="2BA63343"/>
    <w:rsid w:val="2BAD45BF"/>
    <w:rsid w:val="2BB12C0D"/>
    <w:rsid w:val="2BB4D2F6"/>
    <w:rsid w:val="2BBE772A"/>
    <w:rsid w:val="2BC27455"/>
    <w:rsid w:val="2BCF937B"/>
    <w:rsid w:val="2BD2602C"/>
    <w:rsid w:val="2BD8380E"/>
    <w:rsid w:val="2BDBA9A6"/>
    <w:rsid w:val="2BDBBE92"/>
    <w:rsid w:val="2BDCB7A1"/>
    <w:rsid w:val="2BE6E822"/>
    <w:rsid w:val="2BF815EB"/>
    <w:rsid w:val="2BFCB2DD"/>
    <w:rsid w:val="2C122F21"/>
    <w:rsid w:val="2C1465CB"/>
    <w:rsid w:val="2C19DDF7"/>
    <w:rsid w:val="2C21761A"/>
    <w:rsid w:val="2C25E52A"/>
    <w:rsid w:val="2C2AC07A"/>
    <w:rsid w:val="2C2E3E7B"/>
    <w:rsid w:val="2C30ADC3"/>
    <w:rsid w:val="2C37EDDD"/>
    <w:rsid w:val="2C3CDEDD"/>
    <w:rsid w:val="2C3D7442"/>
    <w:rsid w:val="2C473519"/>
    <w:rsid w:val="2C5595A1"/>
    <w:rsid w:val="2C5E4ACF"/>
    <w:rsid w:val="2C6C2C48"/>
    <w:rsid w:val="2C817F17"/>
    <w:rsid w:val="2C8B1593"/>
    <w:rsid w:val="2C8DCF36"/>
    <w:rsid w:val="2C8F8E79"/>
    <w:rsid w:val="2C964C54"/>
    <w:rsid w:val="2C982431"/>
    <w:rsid w:val="2C9CBF2F"/>
    <w:rsid w:val="2CB33766"/>
    <w:rsid w:val="2CB3D5FA"/>
    <w:rsid w:val="2CB9941F"/>
    <w:rsid w:val="2CCF6674"/>
    <w:rsid w:val="2CD2C4D3"/>
    <w:rsid w:val="2CE1C6B8"/>
    <w:rsid w:val="2CE54065"/>
    <w:rsid w:val="2CEBF0EA"/>
    <w:rsid w:val="2CED1283"/>
    <w:rsid w:val="2CEEB59A"/>
    <w:rsid w:val="2CF20FF6"/>
    <w:rsid w:val="2CF50DA4"/>
    <w:rsid w:val="2CFB0079"/>
    <w:rsid w:val="2D056971"/>
    <w:rsid w:val="2D062F51"/>
    <w:rsid w:val="2D099172"/>
    <w:rsid w:val="2D0FFAE9"/>
    <w:rsid w:val="2D1C76CE"/>
    <w:rsid w:val="2D254ED4"/>
    <w:rsid w:val="2D26C1FD"/>
    <w:rsid w:val="2D2E4F6C"/>
    <w:rsid w:val="2D2EE745"/>
    <w:rsid w:val="2D3193D5"/>
    <w:rsid w:val="2D36139D"/>
    <w:rsid w:val="2D51B656"/>
    <w:rsid w:val="2D5638A1"/>
    <w:rsid w:val="2D58C36B"/>
    <w:rsid w:val="2D676E93"/>
    <w:rsid w:val="2D6A03E7"/>
    <w:rsid w:val="2D6F823B"/>
    <w:rsid w:val="2D723E06"/>
    <w:rsid w:val="2D74845A"/>
    <w:rsid w:val="2D75EEC1"/>
    <w:rsid w:val="2D7D12C9"/>
    <w:rsid w:val="2D873D3E"/>
    <w:rsid w:val="2D88748A"/>
    <w:rsid w:val="2D88C3E7"/>
    <w:rsid w:val="2D8A0C5B"/>
    <w:rsid w:val="2D8A6027"/>
    <w:rsid w:val="2D90CC17"/>
    <w:rsid w:val="2DA18FC4"/>
    <w:rsid w:val="2DA26A52"/>
    <w:rsid w:val="2DA32D14"/>
    <w:rsid w:val="2DA61D2C"/>
    <w:rsid w:val="2DABB9BB"/>
    <w:rsid w:val="2DAEA404"/>
    <w:rsid w:val="2DB5AA39"/>
    <w:rsid w:val="2DC020D7"/>
    <w:rsid w:val="2DC54FDD"/>
    <w:rsid w:val="2DC5B4E5"/>
    <w:rsid w:val="2DCCC36F"/>
    <w:rsid w:val="2DCDE9AD"/>
    <w:rsid w:val="2DCE4D2A"/>
    <w:rsid w:val="2DCF98FB"/>
    <w:rsid w:val="2DD03C60"/>
    <w:rsid w:val="2DD7CE40"/>
    <w:rsid w:val="2DDD0A30"/>
    <w:rsid w:val="2DE32273"/>
    <w:rsid w:val="2DED931C"/>
    <w:rsid w:val="2DF17124"/>
    <w:rsid w:val="2DFDEA14"/>
    <w:rsid w:val="2DFE79A1"/>
    <w:rsid w:val="2E076363"/>
    <w:rsid w:val="2E26C53C"/>
    <w:rsid w:val="2E2CAA4E"/>
    <w:rsid w:val="2E3A08C7"/>
    <w:rsid w:val="2E3AAC1F"/>
    <w:rsid w:val="2E3C2621"/>
    <w:rsid w:val="2E3DB1EA"/>
    <w:rsid w:val="2E43DEC4"/>
    <w:rsid w:val="2E43DED2"/>
    <w:rsid w:val="2E4A1242"/>
    <w:rsid w:val="2E4F5A88"/>
    <w:rsid w:val="2E59717B"/>
    <w:rsid w:val="2E5ED18A"/>
    <w:rsid w:val="2E63D1F2"/>
    <w:rsid w:val="2E69DF4E"/>
    <w:rsid w:val="2E6A33FF"/>
    <w:rsid w:val="2E6DF76E"/>
    <w:rsid w:val="2E71557E"/>
    <w:rsid w:val="2E75934E"/>
    <w:rsid w:val="2E787467"/>
    <w:rsid w:val="2E7A0304"/>
    <w:rsid w:val="2E847E60"/>
    <w:rsid w:val="2E8794BC"/>
    <w:rsid w:val="2E8C6212"/>
    <w:rsid w:val="2E8CF197"/>
    <w:rsid w:val="2E8EC4A9"/>
    <w:rsid w:val="2E8FBAD3"/>
    <w:rsid w:val="2E91DA39"/>
    <w:rsid w:val="2E939BB8"/>
    <w:rsid w:val="2E97CD5D"/>
    <w:rsid w:val="2E9D18B5"/>
    <w:rsid w:val="2EA86478"/>
    <w:rsid w:val="2EA99411"/>
    <w:rsid w:val="2EAE7F22"/>
    <w:rsid w:val="2EB2593E"/>
    <w:rsid w:val="2EB5719F"/>
    <w:rsid w:val="2ECEB7B4"/>
    <w:rsid w:val="2ECF666A"/>
    <w:rsid w:val="2ED45822"/>
    <w:rsid w:val="2EDA92E9"/>
    <w:rsid w:val="2EE322E6"/>
    <w:rsid w:val="2EE86373"/>
    <w:rsid w:val="2EEFA128"/>
    <w:rsid w:val="2EF1AE8B"/>
    <w:rsid w:val="2EFB2B8E"/>
    <w:rsid w:val="2EFD7815"/>
    <w:rsid w:val="2F0A922E"/>
    <w:rsid w:val="2F0AC6D3"/>
    <w:rsid w:val="2F0D1AAD"/>
    <w:rsid w:val="2F0E3BDB"/>
    <w:rsid w:val="2F10A606"/>
    <w:rsid w:val="2F122CF2"/>
    <w:rsid w:val="2F21B0B9"/>
    <w:rsid w:val="2F2755EA"/>
    <w:rsid w:val="2F28D19C"/>
    <w:rsid w:val="2F379957"/>
    <w:rsid w:val="2F3C1A13"/>
    <w:rsid w:val="2F41DD2C"/>
    <w:rsid w:val="2F4750F0"/>
    <w:rsid w:val="2F50BCD2"/>
    <w:rsid w:val="2F5BD3D9"/>
    <w:rsid w:val="2F64A6D0"/>
    <w:rsid w:val="2F6BBF7B"/>
    <w:rsid w:val="2F6C619E"/>
    <w:rsid w:val="2F7BAC29"/>
    <w:rsid w:val="2F7C069D"/>
    <w:rsid w:val="2F8B7C9F"/>
    <w:rsid w:val="2F8D92B8"/>
    <w:rsid w:val="2F9203D0"/>
    <w:rsid w:val="2F9B08C2"/>
    <w:rsid w:val="2FA445D1"/>
    <w:rsid w:val="2FA4F1FC"/>
    <w:rsid w:val="2FA7B226"/>
    <w:rsid w:val="2FA99330"/>
    <w:rsid w:val="2FAEC2A3"/>
    <w:rsid w:val="2FB20594"/>
    <w:rsid w:val="2FB417D9"/>
    <w:rsid w:val="2FBDBEC6"/>
    <w:rsid w:val="2FC07613"/>
    <w:rsid w:val="2FD1E12F"/>
    <w:rsid w:val="2FD20075"/>
    <w:rsid w:val="2FD849D4"/>
    <w:rsid w:val="2FE1FCE8"/>
    <w:rsid w:val="2FE3D867"/>
    <w:rsid w:val="2FF014A0"/>
    <w:rsid w:val="2FFBB80A"/>
    <w:rsid w:val="2FFC26C9"/>
    <w:rsid w:val="300218DE"/>
    <w:rsid w:val="30069A5E"/>
    <w:rsid w:val="300A0309"/>
    <w:rsid w:val="300D19F1"/>
    <w:rsid w:val="300F32B7"/>
    <w:rsid w:val="301979F8"/>
    <w:rsid w:val="301CE544"/>
    <w:rsid w:val="301E4EC2"/>
    <w:rsid w:val="3035BBD7"/>
    <w:rsid w:val="303943C3"/>
    <w:rsid w:val="303B2953"/>
    <w:rsid w:val="304F16BE"/>
    <w:rsid w:val="304F2D3E"/>
    <w:rsid w:val="305A917E"/>
    <w:rsid w:val="30662D30"/>
    <w:rsid w:val="3068B067"/>
    <w:rsid w:val="30751409"/>
    <w:rsid w:val="3080525B"/>
    <w:rsid w:val="308446C1"/>
    <w:rsid w:val="308A5190"/>
    <w:rsid w:val="308CAE0C"/>
    <w:rsid w:val="309081F2"/>
    <w:rsid w:val="3092E064"/>
    <w:rsid w:val="3092F0C8"/>
    <w:rsid w:val="309C4F63"/>
    <w:rsid w:val="309E8F51"/>
    <w:rsid w:val="30B23DCC"/>
    <w:rsid w:val="30B38D8A"/>
    <w:rsid w:val="30B3D593"/>
    <w:rsid w:val="30B474F2"/>
    <w:rsid w:val="30B592E2"/>
    <w:rsid w:val="30BC2779"/>
    <w:rsid w:val="30BE637F"/>
    <w:rsid w:val="30C2D51B"/>
    <w:rsid w:val="30CF9243"/>
    <w:rsid w:val="30D193AF"/>
    <w:rsid w:val="30D1DAAC"/>
    <w:rsid w:val="30D20296"/>
    <w:rsid w:val="30D9345D"/>
    <w:rsid w:val="30F26CC6"/>
    <w:rsid w:val="30F3D242"/>
    <w:rsid w:val="30F4E65B"/>
    <w:rsid w:val="30F82DCF"/>
    <w:rsid w:val="30FCDF34"/>
    <w:rsid w:val="310B594A"/>
    <w:rsid w:val="31111F5C"/>
    <w:rsid w:val="31123BEF"/>
    <w:rsid w:val="31161BBF"/>
    <w:rsid w:val="3117E109"/>
    <w:rsid w:val="311FDF16"/>
    <w:rsid w:val="3120520B"/>
    <w:rsid w:val="3122EBD4"/>
    <w:rsid w:val="31295860"/>
    <w:rsid w:val="312F9571"/>
    <w:rsid w:val="31351BD6"/>
    <w:rsid w:val="3135F030"/>
    <w:rsid w:val="31361568"/>
    <w:rsid w:val="3137034D"/>
    <w:rsid w:val="313A3515"/>
    <w:rsid w:val="3141403E"/>
    <w:rsid w:val="3142D930"/>
    <w:rsid w:val="3143E391"/>
    <w:rsid w:val="3146F2B7"/>
    <w:rsid w:val="314DE942"/>
    <w:rsid w:val="314E0D7D"/>
    <w:rsid w:val="3152DA22"/>
    <w:rsid w:val="3154C7A3"/>
    <w:rsid w:val="3158974C"/>
    <w:rsid w:val="3159A9AB"/>
    <w:rsid w:val="315D99FE"/>
    <w:rsid w:val="31626327"/>
    <w:rsid w:val="316489CC"/>
    <w:rsid w:val="31741139"/>
    <w:rsid w:val="317A260D"/>
    <w:rsid w:val="31815A7E"/>
    <w:rsid w:val="3181B60B"/>
    <w:rsid w:val="31823487"/>
    <w:rsid w:val="31837BFA"/>
    <w:rsid w:val="3186CB78"/>
    <w:rsid w:val="31873667"/>
    <w:rsid w:val="318C7DB0"/>
    <w:rsid w:val="3190F8BC"/>
    <w:rsid w:val="319C84C8"/>
    <w:rsid w:val="31A450F6"/>
    <w:rsid w:val="31A7AAC4"/>
    <w:rsid w:val="31CD8A49"/>
    <w:rsid w:val="31D8C69F"/>
    <w:rsid w:val="31DC5A0A"/>
    <w:rsid w:val="31DE7EC7"/>
    <w:rsid w:val="31E00183"/>
    <w:rsid w:val="31E03AD9"/>
    <w:rsid w:val="31E71DB0"/>
    <w:rsid w:val="31EB3AC6"/>
    <w:rsid w:val="31ED5785"/>
    <w:rsid w:val="31EE3D0A"/>
    <w:rsid w:val="31F22745"/>
    <w:rsid w:val="31F37695"/>
    <w:rsid w:val="31F86CB6"/>
    <w:rsid w:val="31FFEE3C"/>
    <w:rsid w:val="3212FD1A"/>
    <w:rsid w:val="321317BD"/>
    <w:rsid w:val="321A7019"/>
    <w:rsid w:val="32266982"/>
    <w:rsid w:val="32271250"/>
    <w:rsid w:val="3227B4A7"/>
    <w:rsid w:val="322A5741"/>
    <w:rsid w:val="32404ACA"/>
    <w:rsid w:val="3259A047"/>
    <w:rsid w:val="325B3D72"/>
    <w:rsid w:val="325BDCC6"/>
    <w:rsid w:val="326ABB12"/>
    <w:rsid w:val="326ACA7E"/>
    <w:rsid w:val="326F11FD"/>
    <w:rsid w:val="327B77AA"/>
    <w:rsid w:val="3285D34B"/>
    <w:rsid w:val="3285DC32"/>
    <w:rsid w:val="328E7780"/>
    <w:rsid w:val="32908350"/>
    <w:rsid w:val="32948053"/>
    <w:rsid w:val="3294B586"/>
    <w:rsid w:val="329D8757"/>
    <w:rsid w:val="32A041E5"/>
    <w:rsid w:val="32A0F4A7"/>
    <w:rsid w:val="32A3751B"/>
    <w:rsid w:val="32A7E8C1"/>
    <w:rsid w:val="32B22F85"/>
    <w:rsid w:val="32B47DB8"/>
    <w:rsid w:val="32D3BEA4"/>
    <w:rsid w:val="32DE9EDC"/>
    <w:rsid w:val="32EB3EFF"/>
    <w:rsid w:val="32EBF828"/>
    <w:rsid w:val="32EDA5E7"/>
    <w:rsid w:val="32EE7BF6"/>
    <w:rsid w:val="32F831A1"/>
    <w:rsid w:val="32F89443"/>
    <w:rsid w:val="3301A32D"/>
    <w:rsid w:val="33134DDC"/>
    <w:rsid w:val="332136A6"/>
    <w:rsid w:val="3321E0FF"/>
    <w:rsid w:val="33227F6E"/>
    <w:rsid w:val="332D747F"/>
    <w:rsid w:val="332F13E1"/>
    <w:rsid w:val="3341F5E7"/>
    <w:rsid w:val="334CB6D2"/>
    <w:rsid w:val="33535ADC"/>
    <w:rsid w:val="3355224D"/>
    <w:rsid w:val="335638F2"/>
    <w:rsid w:val="336A4A96"/>
    <w:rsid w:val="3377148F"/>
    <w:rsid w:val="3381E3A1"/>
    <w:rsid w:val="3384E9F0"/>
    <w:rsid w:val="338BF370"/>
    <w:rsid w:val="338D20E1"/>
    <w:rsid w:val="338E1660"/>
    <w:rsid w:val="33940A4D"/>
    <w:rsid w:val="339A461C"/>
    <w:rsid w:val="33AC1500"/>
    <w:rsid w:val="33BC1474"/>
    <w:rsid w:val="33BD2A2C"/>
    <w:rsid w:val="33C02DBB"/>
    <w:rsid w:val="33C06F38"/>
    <w:rsid w:val="33D48F15"/>
    <w:rsid w:val="33E36054"/>
    <w:rsid w:val="33E74EFE"/>
    <w:rsid w:val="33E860C5"/>
    <w:rsid w:val="33F2240F"/>
    <w:rsid w:val="33F5A68C"/>
    <w:rsid w:val="33F78E89"/>
    <w:rsid w:val="33F7B120"/>
    <w:rsid w:val="33F7FABD"/>
    <w:rsid w:val="3408D9C5"/>
    <w:rsid w:val="3409E299"/>
    <w:rsid w:val="340C9FDE"/>
    <w:rsid w:val="34166338"/>
    <w:rsid w:val="341E79DB"/>
    <w:rsid w:val="341F526C"/>
    <w:rsid w:val="3437B5F0"/>
    <w:rsid w:val="343965FC"/>
    <w:rsid w:val="343B3EA9"/>
    <w:rsid w:val="343C045C"/>
    <w:rsid w:val="34479D37"/>
    <w:rsid w:val="34480862"/>
    <w:rsid w:val="344A3378"/>
    <w:rsid w:val="344A84FA"/>
    <w:rsid w:val="344D530D"/>
    <w:rsid w:val="3451CD87"/>
    <w:rsid w:val="345B800B"/>
    <w:rsid w:val="346F893B"/>
    <w:rsid w:val="3472447D"/>
    <w:rsid w:val="34842BC0"/>
    <w:rsid w:val="3488F9B0"/>
    <w:rsid w:val="3490C135"/>
    <w:rsid w:val="34913CAB"/>
    <w:rsid w:val="349ADFD9"/>
    <w:rsid w:val="349D2013"/>
    <w:rsid w:val="34AD5EB4"/>
    <w:rsid w:val="34AF85A1"/>
    <w:rsid w:val="34BB22DD"/>
    <w:rsid w:val="34C2900B"/>
    <w:rsid w:val="34C4DBFD"/>
    <w:rsid w:val="34D7DF9A"/>
    <w:rsid w:val="34E28012"/>
    <w:rsid w:val="34E31C09"/>
    <w:rsid w:val="34E3C9BD"/>
    <w:rsid w:val="34E7C63A"/>
    <w:rsid w:val="34EB45C7"/>
    <w:rsid w:val="34F15952"/>
    <w:rsid w:val="34F187C8"/>
    <w:rsid w:val="34F1ADE6"/>
    <w:rsid w:val="34F2CFDD"/>
    <w:rsid w:val="34F64BF6"/>
    <w:rsid w:val="34FF4879"/>
    <w:rsid w:val="3502A202"/>
    <w:rsid w:val="350E5368"/>
    <w:rsid w:val="3515A9FE"/>
    <w:rsid w:val="351727A7"/>
    <w:rsid w:val="35181424"/>
    <w:rsid w:val="3518B33F"/>
    <w:rsid w:val="352D933F"/>
    <w:rsid w:val="3532CE28"/>
    <w:rsid w:val="3533BE96"/>
    <w:rsid w:val="353604C0"/>
    <w:rsid w:val="353B8D1E"/>
    <w:rsid w:val="353C2AA2"/>
    <w:rsid w:val="35427D9A"/>
    <w:rsid w:val="3543D9A2"/>
    <w:rsid w:val="35441317"/>
    <w:rsid w:val="3546E845"/>
    <w:rsid w:val="35478F8C"/>
    <w:rsid w:val="3555605E"/>
    <w:rsid w:val="355603B9"/>
    <w:rsid w:val="355655AF"/>
    <w:rsid w:val="355A12B5"/>
    <w:rsid w:val="355D8316"/>
    <w:rsid w:val="35624176"/>
    <w:rsid w:val="35719F0D"/>
    <w:rsid w:val="3573FA2B"/>
    <w:rsid w:val="35753F3B"/>
    <w:rsid w:val="35795510"/>
    <w:rsid w:val="357AB8D1"/>
    <w:rsid w:val="357B2743"/>
    <w:rsid w:val="358407C1"/>
    <w:rsid w:val="3591A192"/>
    <w:rsid w:val="359C9235"/>
    <w:rsid w:val="359D35D5"/>
    <w:rsid w:val="359D734F"/>
    <w:rsid w:val="359F1262"/>
    <w:rsid w:val="35A588E3"/>
    <w:rsid w:val="35A67945"/>
    <w:rsid w:val="35AA4002"/>
    <w:rsid w:val="35AB42D3"/>
    <w:rsid w:val="35AE3A2F"/>
    <w:rsid w:val="35B9110B"/>
    <w:rsid w:val="35C03BCA"/>
    <w:rsid w:val="35C2794E"/>
    <w:rsid w:val="35C9FF49"/>
    <w:rsid w:val="35CE66D6"/>
    <w:rsid w:val="35D47512"/>
    <w:rsid w:val="35DA6027"/>
    <w:rsid w:val="35DF4DB7"/>
    <w:rsid w:val="35E48576"/>
    <w:rsid w:val="35EDDACB"/>
    <w:rsid w:val="3602E9F6"/>
    <w:rsid w:val="36040CE4"/>
    <w:rsid w:val="3624CFBF"/>
    <w:rsid w:val="362B6614"/>
    <w:rsid w:val="3637E692"/>
    <w:rsid w:val="363EDB74"/>
    <w:rsid w:val="364A1CF4"/>
    <w:rsid w:val="365BE2EE"/>
    <w:rsid w:val="3665D071"/>
    <w:rsid w:val="36691DE2"/>
    <w:rsid w:val="36718301"/>
    <w:rsid w:val="367B85A6"/>
    <w:rsid w:val="36842195"/>
    <w:rsid w:val="36899A71"/>
    <w:rsid w:val="368ECFCB"/>
    <w:rsid w:val="36910F6D"/>
    <w:rsid w:val="36915366"/>
    <w:rsid w:val="369269F9"/>
    <w:rsid w:val="36AD6EC5"/>
    <w:rsid w:val="36AE211A"/>
    <w:rsid w:val="36AFE5AD"/>
    <w:rsid w:val="36B2DB66"/>
    <w:rsid w:val="36B9F145"/>
    <w:rsid w:val="36BA33CA"/>
    <w:rsid w:val="36BCFE87"/>
    <w:rsid w:val="36C16D4E"/>
    <w:rsid w:val="36CCC3CD"/>
    <w:rsid w:val="36CE331A"/>
    <w:rsid w:val="36CF505E"/>
    <w:rsid w:val="36D1B967"/>
    <w:rsid w:val="36D4EEC3"/>
    <w:rsid w:val="36D7E164"/>
    <w:rsid w:val="36E0CE6A"/>
    <w:rsid w:val="36E35BF2"/>
    <w:rsid w:val="36E3A84F"/>
    <w:rsid w:val="36F59CC7"/>
    <w:rsid w:val="36FDF90C"/>
    <w:rsid w:val="36FE2085"/>
    <w:rsid w:val="37002A42"/>
    <w:rsid w:val="3700B156"/>
    <w:rsid w:val="3705DE73"/>
    <w:rsid w:val="3708B8DA"/>
    <w:rsid w:val="370D2C6F"/>
    <w:rsid w:val="37125BC2"/>
    <w:rsid w:val="37130998"/>
    <w:rsid w:val="37225AE1"/>
    <w:rsid w:val="37254F53"/>
    <w:rsid w:val="372591E2"/>
    <w:rsid w:val="37286B9E"/>
    <w:rsid w:val="372949B6"/>
    <w:rsid w:val="3730FF0F"/>
    <w:rsid w:val="3731FC18"/>
    <w:rsid w:val="373B0230"/>
    <w:rsid w:val="374604C2"/>
    <w:rsid w:val="374DEA76"/>
    <w:rsid w:val="37514C28"/>
    <w:rsid w:val="37645684"/>
    <w:rsid w:val="376619FA"/>
    <w:rsid w:val="3767EAC2"/>
    <w:rsid w:val="3769734B"/>
    <w:rsid w:val="376B0062"/>
    <w:rsid w:val="376C42CF"/>
    <w:rsid w:val="3773CA66"/>
    <w:rsid w:val="3775FE6F"/>
    <w:rsid w:val="377D15A0"/>
    <w:rsid w:val="377D4468"/>
    <w:rsid w:val="377E6D48"/>
    <w:rsid w:val="377ECF4F"/>
    <w:rsid w:val="378882B7"/>
    <w:rsid w:val="37922822"/>
    <w:rsid w:val="379435A9"/>
    <w:rsid w:val="37970CBF"/>
    <w:rsid w:val="379A6344"/>
    <w:rsid w:val="379EA8B2"/>
    <w:rsid w:val="37AEDA2E"/>
    <w:rsid w:val="37BD7F08"/>
    <w:rsid w:val="37BE8FC6"/>
    <w:rsid w:val="37C12F04"/>
    <w:rsid w:val="37C257C6"/>
    <w:rsid w:val="37C3FF56"/>
    <w:rsid w:val="37CDECAE"/>
    <w:rsid w:val="37CE484B"/>
    <w:rsid w:val="37CF8C9E"/>
    <w:rsid w:val="37D52442"/>
    <w:rsid w:val="37D88F10"/>
    <w:rsid w:val="37DE40F7"/>
    <w:rsid w:val="37E5C3DA"/>
    <w:rsid w:val="37E8F5B5"/>
    <w:rsid w:val="37E9D57C"/>
    <w:rsid w:val="37F0061C"/>
    <w:rsid w:val="37F4E76F"/>
    <w:rsid w:val="37FAE1B2"/>
    <w:rsid w:val="38048689"/>
    <w:rsid w:val="3809AEEB"/>
    <w:rsid w:val="3809B5E6"/>
    <w:rsid w:val="380F015A"/>
    <w:rsid w:val="380F1664"/>
    <w:rsid w:val="381139BA"/>
    <w:rsid w:val="3818D97C"/>
    <w:rsid w:val="3819382F"/>
    <w:rsid w:val="3826F3D0"/>
    <w:rsid w:val="382AAC55"/>
    <w:rsid w:val="383EA511"/>
    <w:rsid w:val="3848E5DD"/>
    <w:rsid w:val="384AB935"/>
    <w:rsid w:val="385280BE"/>
    <w:rsid w:val="385C8A6E"/>
    <w:rsid w:val="385DE2DA"/>
    <w:rsid w:val="3866D6D3"/>
    <w:rsid w:val="3868B3E6"/>
    <w:rsid w:val="386C8F4E"/>
    <w:rsid w:val="386D2632"/>
    <w:rsid w:val="386D6B2D"/>
    <w:rsid w:val="386EBC48"/>
    <w:rsid w:val="38755BEC"/>
    <w:rsid w:val="387614FD"/>
    <w:rsid w:val="387E9A28"/>
    <w:rsid w:val="388AA770"/>
    <w:rsid w:val="388EBA2A"/>
    <w:rsid w:val="38900E56"/>
    <w:rsid w:val="3893540C"/>
    <w:rsid w:val="38A1CC91"/>
    <w:rsid w:val="38B29225"/>
    <w:rsid w:val="38B3320F"/>
    <w:rsid w:val="38B8B491"/>
    <w:rsid w:val="38C789E4"/>
    <w:rsid w:val="38C8B412"/>
    <w:rsid w:val="38E0ADBC"/>
    <w:rsid w:val="38E882E7"/>
    <w:rsid w:val="38EACA05"/>
    <w:rsid w:val="38EC108D"/>
    <w:rsid w:val="38F0D821"/>
    <w:rsid w:val="38F5BC3F"/>
    <w:rsid w:val="38F6D0E4"/>
    <w:rsid w:val="38F9C636"/>
    <w:rsid w:val="38FD9A59"/>
    <w:rsid w:val="38FE38A4"/>
    <w:rsid w:val="39074ECF"/>
    <w:rsid w:val="390A08EA"/>
    <w:rsid w:val="391100C4"/>
    <w:rsid w:val="39146B3D"/>
    <w:rsid w:val="3916D04E"/>
    <w:rsid w:val="391F4430"/>
    <w:rsid w:val="39255F86"/>
    <w:rsid w:val="39347771"/>
    <w:rsid w:val="39385C77"/>
    <w:rsid w:val="39397520"/>
    <w:rsid w:val="394CEB57"/>
    <w:rsid w:val="394CFADC"/>
    <w:rsid w:val="3951FD85"/>
    <w:rsid w:val="3952EDA1"/>
    <w:rsid w:val="395463A5"/>
    <w:rsid w:val="395E300E"/>
    <w:rsid w:val="395F8C3A"/>
    <w:rsid w:val="3964297E"/>
    <w:rsid w:val="396C9012"/>
    <w:rsid w:val="396F39FF"/>
    <w:rsid w:val="3977FD3C"/>
    <w:rsid w:val="39781E1B"/>
    <w:rsid w:val="39783397"/>
    <w:rsid w:val="39827CE7"/>
    <w:rsid w:val="39880D60"/>
    <w:rsid w:val="39979B1E"/>
    <w:rsid w:val="3997AC99"/>
    <w:rsid w:val="39998AC5"/>
    <w:rsid w:val="39A07EE5"/>
    <w:rsid w:val="39A2CB54"/>
    <w:rsid w:val="39B0CF5B"/>
    <w:rsid w:val="39B5FA2C"/>
    <w:rsid w:val="39B69823"/>
    <w:rsid w:val="39BF70A8"/>
    <w:rsid w:val="39C257AC"/>
    <w:rsid w:val="39C3F5F6"/>
    <w:rsid w:val="39C52287"/>
    <w:rsid w:val="39C55FC0"/>
    <w:rsid w:val="39CA3C85"/>
    <w:rsid w:val="39D90F24"/>
    <w:rsid w:val="39DA1D7B"/>
    <w:rsid w:val="39DE17D6"/>
    <w:rsid w:val="39DE7F0A"/>
    <w:rsid w:val="39DF1164"/>
    <w:rsid w:val="39E48E20"/>
    <w:rsid w:val="39F34B9A"/>
    <w:rsid w:val="39F8A3AE"/>
    <w:rsid w:val="39FD707D"/>
    <w:rsid w:val="39FF559B"/>
    <w:rsid w:val="3A09C71F"/>
    <w:rsid w:val="3A0BBAE4"/>
    <w:rsid w:val="3A10C5E4"/>
    <w:rsid w:val="3A124A80"/>
    <w:rsid w:val="3A189577"/>
    <w:rsid w:val="3A24867F"/>
    <w:rsid w:val="3A258B8B"/>
    <w:rsid w:val="3A2D889A"/>
    <w:rsid w:val="3A330131"/>
    <w:rsid w:val="3A35E5C0"/>
    <w:rsid w:val="3A3C1252"/>
    <w:rsid w:val="3A3C7C06"/>
    <w:rsid w:val="3A40F599"/>
    <w:rsid w:val="3A465905"/>
    <w:rsid w:val="3A468890"/>
    <w:rsid w:val="3A4B2486"/>
    <w:rsid w:val="3A52C41B"/>
    <w:rsid w:val="3A55CF74"/>
    <w:rsid w:val="3A59B0BD"/>
    <w:rsid w:val="3A5EBDB4"/>
    <w:rsid w:val="3A655910"/>
    <w:rsid w:val="3A6A1674"/>
    <w:rsid w:val="3A6DE458"/>
    <w:rsid w:val="3A807A2B"/>
    <w:rsid w:val="3A83A210"/>
    <w:rsid w:val="3A8D28B8"/>
    <w:rsid w:val="3A9349E0"/>
    <w:rsid w:val="3A9EC210"/>
    <w:rsid w:val="3AA66366"/>
    <w:rsid w:val="3AAB4B75"/>
    <w:rsid w:val="3AAFF64C"/>
    <w:rsid w:val="3ABA3611"/>
    <w:rsid w:val="3ABF48BB"/>
    <w:rsid w:val="3ABFDDAD"/>
    <w:rsid w:val="3AC20147"/>
    <w:rsid w:val="3ACC8C75"/>
    <w:rsid w:val="3ACEB34B"/>
    <w:rsid w:val="3ADFDD63"/>
    <w:rsid w:val="3AE075D2"/>
    <w:rsid w:val="3AE68289"/>
    <w:rsid w:val="3B1DEB64"/>
    <w:rsid w:val="3B225726"/>
    <w:rsid w:val="3B266598"/>
    <w:rsid w:val="3B2C5CE5"/>
    <w:rsid w:val="3B326C2E"/>
    <w:rsid w:val="3B365A8D"/>
    <w:rsid w:val="3B3BEFD5"/>
    <w:rsid w:val="3B5BE791"/>
    <w:rsid w:val="3B622279"/>
    <w:rsid w:val="3B62C960"/>
    <w:rsid w:val="3B656D16"/>
    <w:rsid w:val="3B6D4348"/>
    <w:rsid w:val="3B722528"/>
    <w:rsid w:val="3B72E131"/>
    <w:rsid w:val="3B755352"/>
    <w:rsid w:val="3B75F474"/>
    <w:rsid w:val="3B769AAA"/>
    <w:rsid w:val="3B841EBE"/>
    <w:rsid w:val="3B8C850E"/>
    <w:rsid w:val="3BA66143"/>
    <w:rsid w:val="3BA81F85"/>
    <w:rsid w:val="3BA9E504"/>
    <w:rsid w:val="3BB17BA7"/>
    <w:rsid w:val="3BB3B0EE"/>
    <w:rsid w:val="3BB4205C"/>
    <w:rsid w:val="3BB47E3C"/>
    <w:rsid w:val="3BBA2081"/>
    <w:rsid w:val="3BBA6B6F"/>
    <w:rsid w:val="3BBBC3A2"/>
    <w:rsid w:val="3BC184DA"/>
    <w:rsid w:val="3BCFD067"/>
    <w:rsid w:val="3BD4F2A2"/>
    <w:rsid w:val="3BD761B4"/>
    <w:rsid w:val="3BDBDE15"/>
    <w:rsid w:val="3BE24278"/>
    <w:rsid w:val="3BE825F7"/>
    <w:rsid w:val="3BED7ED6"/>
    <w:rsid w:val="3BED9C51"/>
    <w:rsid w:val="3BEE491E"/>
    <w:rsid w:val="3BFBD088"/>
    <w:rsid w:val="3BFC07B8"/>
    <w:rsid w:val="3C034CE9"/>
    <w:rsid w:val="3C052705"/>
    <w:rsid w:val="3C07A87D"/>
    <w:rsid w:val="3C0938F3"/>
    <w:rsid w:val="3C1AF189"/>
    <w:rsid w:val="3C1DCC7E"/>
    <w:rsid w:val="3C22A260"/>
    <w:rsid w:val="3C2716E2"/>
    <w:rsid w:val="3C355F60"/>
    <w:rsid w:val="3C3887D5"/>
    <w:rsid w:val="3C490EE5"/>
    <w:rsid w:val="3C493326"/>
    <w:rsid w:val="3C49498B"/>
    <w:rsid w:val="3C4EC0F5"/>
    <w:rsid w:val="3C612D8C"/>
    <w:rsid w:val="3C63BF80"/>
    <w:rsid w:val="3C698631"/>
    <w:rsid w:val="3C6B493D"/>
    <w:rsid w:val="3C723A0E"/>
    <w:rsid w:val="3C72C624"/>
    <w:rsid w:val="3C89A087"/>
    <w:rsid w:val="3C89AC33"/>
    <w:rsid w:val="3C8B24D4"/>
    <w:rsid w:val="3CA005D7"/>
    <w:rsid w:val="3CA18895"/>
    <w:rsid w:val="3CA6FBF0"/>
    <w:rsid w:val="3CBC7F1E"/>
    <w:rsid w:val="3CC0A168"/>
    <w:rsid w:val="3CC4C879"/>
    <w:rsid w:val="3CC4E56A"/>
    <w:rsid w:val="3CC667D7"/>
    <w:rsid w:val="3CC81E5A"/>
    <w:rsid w:val="3CDCAEE6"/>
    <w:rsid w:val="3CE0C562"/>
    <w:rsid w:val="3CE13568"/>
    <w:rsid w:val="3CE805C9"/>
    <w:rsid w:val="3CE95E03"/>
    <w:rsid w:val="3CE9A5C8"/>
    <w:rsid w:val="3CF13424"/>
    <w:rsid w:val="3CF5419D"/>
    <w:rsid w:val="3CF6412A"/>
    <w:rsid w:val="3CFCCEDA"/>
    <w:rsid w:val="3D003E9E"/>
    <w:rsid w:val="3D02418A"/>
    <w:rsid w:val="3D07A80A"/>
    <w:rsid w:val="3D07B260"/>
    <w:rsid w:val="3D1E6854"/>
    <w:rsid w:val="3D28AFF1"/>
    <w:rsid w:val="3D28E76A"/>
    <w:rsid w:val="3D2C8E85"/>
    <w:rsid w:val="3D302A9B"/>
    <w:rsid w:val="3D3DBCE0"/>
    <w:rsid w:val="3D4405F0"/>
    <w:rsid w:val="3D46C502"/>
    <w:rsid w:val="3D47F756"/>
    <w:rsid w:val="3D489D05"/>
    <w:rsid w:val="3D4FEBD4"/>
    <w:rsid w:val="3D54AF12"/>
    <w:rsid w:val="3D55E61F"/>
    <w:rsid w:val="3D5F30B5"/>
    <w:rsid w:val="3D623DD2"/>
    <w:rsid w:val="3D69D90A"/>
    <w:rsid w:val="3D6A5ADF"/>
    <w:rsid w:val="3D71D009"/>
    <w:rsid w:val="3D8E97F9"/>
    <w:rsid w:val="3D8F6702"/>
    <w:rsid w:val="3D9F8A8E"/>
    <w:rsid w:val="3DA09FFC"/>
    <w:rsid w:val="3DA782C6"/>
    <w:rsid w:val="3DAA84DD"/>
    <w:rsid w:val="3DBA3FA0"/>
    <w:rsid w:val="3DC478CB"/>
    <w:rsid w:val="3DC4D2BA"/>
    <w:rsid w:val="3DC87264"/>
    <w:rsid w:val="3DD7FAE1"/>
    <w:rsid w:val="3DE42AD9"/>
    <w:rsid w:val="3DE5B4C3"/>
    <w:rsid w:val="3DF4355D"/>
    <w:rsid w:val="3DF45BFB"/>
    <w:rsid w:val="3DF7F0A6"/>
    <w:rsid w:val="3E00819B"/>
    <w:rsid w:val="3E04D464"/>
    <w:rsid w:val="3E11BFD5"/>
    <w:rsid w:val="3E1F14AF"/>
    <w:rsid w:val="3E251BF4"/>
    <w:rsid w:val="3E26ED60"/>
    <w:rsid w:val="3E28537B"/>
    <w:rsid w:val="3E2C0F53"/>
    <w:rsid w:val="3E315844"/>
    <w:rsid w:val="3E3BBD10"/>
    <w:rsid w:val="3E45D29F"/>
    <w:rsid w:val="3E4CEB2F"/>
    <w:rsid w:val="3E66CB5F"/>
    <w:rsid w:val="3E6E0662"/>
    <w:rsid w:val="3E783F29"/>
    <w:rsid w:val="3E7D3D71"/>
    <w:rsid w:val="3E7ECE99"/>
    <w:rsid w:val="3E886670"/>
    <w:rsid w:val="3EA5B723"/>
    <w:rsid w:val="3EB96560"/>
    <w:rsid w:val="3EC9DD40"/>
    <w:rsid w:val="3ECB9E82"/>
    <w:rsid w:val="3ED78ED4"/>
    <w:rsid w:val="3ED82616"/>
    <w:rsid w:val="3EDDC8F8"/>
    <w:rsid w:val="3EDF133D"/>
    <w:rsid w:val="3EE215F2"/>
    <w:rsid w:val="3EF4671B"/>
    <w:rsid w:val="3F022C9A"/>
    <w:rsid w:val="3F03C4A2"/>
    <w:rsid w:val="3F0CE315"/>
    <w:rsid w:val="3F0DAD5B"/>
    <w:rsid w:val="3F14DE9D"/>
    <w:rsid w:val="3F1CAE6F"/>
    <w:rsid w:val="3F1CE3BD"/>
    <w:rsid w:val="3F2335F9"/>
    <w:rsid w:val="3F2AFAD5"/>
    <w:rsid w:val="3F313E66"/>
    <w:rsid w:val="3F353D16"/>
    <w:rsid w:val="3F3E216B"/>
    <w:rsid w:val="3F3F40C0"/>
    <w:rsid w:val="3F461E22"/>
    <w:rsid w:val="3F496927"/>
    <w:rsid w:val="3F4C3893"/>
    <w:rsid w:val="3F4FCC4D"/>
    <w:rsid w:val="3F5140F0"/>
    <w:rsid w:val="3F573D4E"/>
    <w:rsid w:val="3F57D9C4"/>
    <w:rsid w:val="3F5ABD5A"/>
    <w:rsid w:val="3F603FC9"/>
    <w:rsid w:val="3F608304"/>
    <w:rsid w:val="3F73F989"/>
    <w:rsid w:val="3F746DD4"/>
    <w:rsid w:val="3F80FA6E"/>
    <w:rsid w:val="3F866D32"/>
    <w:rsid w:val="3F8D7E5D"/>
    <w:rsid w:val="3F95092F"/>
    <w:rsid w:val="3F9A6967"/>
    <w:rsid w:val="3FA1C001"/>
    <w:rsid w:val="3FA4D37A"/>
    <w:rsid w:val="3FA5B6B4"/>
    <w:rsid w:val="3FA9F34A"/>
    <w:rsid w:val="3FAAF8D8"/>
    <w:rsid w:val="3FC6E977"/>
    <w:rsid w:val="3FD45069"/>
    <w:rsid w:val="3FDC8467"/>
    <w:rsid w:val="3FE09969"/>
    <w:rsid w:val="3FE55CAF"/>
    <w:rsid w:val="3FF0616B"/>
    <w:rsid w:val="4001C143"/>
    <w:rsid w:val="400743AE"/>
    <w:rsid w:val="400A85FF"/>
    <w:rsid w:val="400AC3DC"/>
    <w:rsid w:val="4010C911"/>
    <w:rsid w:val="4016FCD5"/>
    <w:rsid w:val="40178BC9"/>
    <w:rsid w:val="4028368C"/>
    <w:rsid w:val="40309415"/>
    <w:rsid w:val="403211E5"/>
    <w:rsid w:val="4034FED7"/>
    <w:rsid w:val="40352176"/>
    <w:rsid w:val="4037169E"/>
    <w:rsid w:val="403E75EA"/>
    <w:rsid w:val="40420ECD"/>
    <w:rsid w:val="4042A791"/>
    <w:rsid w:val="404973AB"/>
    <w:rsid w:val="404C8DEB"/>
    <w:rsid w:val="40583A8B"/>
    <w:rsid w:val="4059A8B4"/>
    <w:rsid w:val="405E103F"/>
    <w:rsid w:val="406CDFB2"/>
    <w:rsid w:val="407004D9"/>
    <w:rsid w:val="407F6738"/>
    <w:rsid w:val="40808FDE"/>
    <w:rsid w:val="4090CA56"/>
    <w:rsid w:val="409AF49E"/>
    <w:rsid w:val="409F37BF"/>
    <w:rsid w:val="409FCA53"/>
    <w:rsid w:val="40A0AFD3"/>
    <w:rsid w:val="40A1B61A"/>
    <w:rsid w:val="40A2A36C"/>
    <w:rsid w:val="40A302EE"/>
    <w:rsid w:val="40ADA286"/>
    <w:rsid w:val="40ADFEE6"/>
    <w:rsid w:val="40B29E3A"/>
    <w:rsid w:val="40B6900E"/>
    <w:rsid w:val="40B77BB7"/>
    <w:rsid w:val="40C1A5B8"/>
    <w:rsid w:val="40C922A1"/>
    <w:rsid w:val="40DBF83B"/>
    <w:rsid w:val="40E4E2EC"/>
    <w:rsid w:val="40E652FD"/>
    <w:rsid w:val="40F25CFC"/>
    <w:rsid w:val="40F3E146"/>
    <w:rsid w:val="40F8FA65"/>
    <w:rsid w:val="410082FC"/>
    <w:rsid w:val="4105299C"/>
    <w:rsid w:val="4105F815"/>
    <w:rsid w:val="410689E5"/>
    <w:rsid w:val="41098F83"/>
    <w:rsid w:val="410B8562"/>
    <w:rsid w:val="410F4C3C"/>
    <w:rsid w:val="4110139B"/>
    <w:rsid w:val="4112F622"/>
    <w:rsid w:val="41267354"/>
    <w:rsid w:val="412C146D"/>
    <w:rsid w:val="413340D7"/>
    <w:rsid w:val="41368386"/>
    <w:rsid w:val="41430DFB"/>
    <w:rsid w:val="414DDF12"/>
    <w:rsid w:val="414F01EA"/>
    <w:rsid w:val="4159F464"/>
    <w:rsid w:val="4160FA08"/>
    <w:rsid w:val="416FCDCB"/>
    <w:rsid w:val="41803377"/>
    <w:rsid w:val="418C19FD"/>
    <w:rsid w:val="418FEEB9"/>
    <w:rsid w:val="41915ABA"/>
    <w:rsid w:val="41919861"/>
    <w:rsid w:val="4196A1DC"/>
    <w:rsid w:val="419855D0"/>
    <w:rsid w:val="419EC1C3"/>
    <w:rsid w:val="419F737E"/>
    <w:rsid w:val="41A5480C"/>
    <w:rsid w:val="41A6A32A"/>
    <w:rsid w:val="41B05F92"/>
    <w:rsid w:val="41B88D67"/>
    <w:rsid w:val="41C7C814"/>
    <w:rsid w:val="41C9319B"/>
    <w:rsid w:val="41D37ED7"/>
    <w:rsid w:val="41DC8421"/>
    <w:rsid w:val="41DD61F1"/>
    <w:rsid w:val="41E57E36"/>
    <w:rsid w:val="41E8B441"/>
    <w:rsid w:val="41E957F0"/>
    <w:rsid w:val="41EBAA8E"/>
    <w:rsid w:val="41F61B39"/>
    <w:rsid w:val="41F7DFBF"/>
    <w:rsid w:val="41F9C331"/>
    <w:rsid w:val="4208DFFE"/>
    <w:rsid w:val="421B127D"/>
    <w:rsid w:val="421CAE11"/>
    <w:rsid w:val="42288574"/>
    <w:rsid w:val="422B738C"/>
    <w:rsid w:val="42349831"/>
    <w:rsid w:val="4239BB14"/>
    <w:rsid w:val="423B9E77"/>
    <w:rsid w:val="4244E4D4"/>
    <w:rsid w:val="4246EAA8"/>
    <w:rsid w:val="424A02BA"/>
    <w:rsid w:val="424DB5D4"/>
    <w:rsid w:val="42531BA5"/>
    <w:rsid w:val="4254EBB9"/>
    <w:rsid w:val="42558D93"/>
    <w:rsid w:val="425D8C39"/>
    <w:rsid w:val="425F5B29"/>
    <w:rsid w:val="42672B74"/>
    <w:rsid w:val="426A033F"/>
    <w:rsid w:val="426AA09A"/>
    <w:rsid w:val="426BA790"/>
    <w:rsid w:val="426C61F2"/>
    <w:rsid w:val="426C94D8"/>
    <w:rsid w:val="42768C3B"/>
    <w:rsid w:val="4278420F"/>
    <w:rsid w:val="4278BB6F"/>
    <w:rsid w:val="42812B3A"/>
    <w:rsid w:val="4290FF33"/>
    <w:rsid w:val="42957493"/>
    <w:rsid w:val="429996CF"/>
    <w:rsid w:val="42A1D085"/>
    <w:rsid w:val="42A74066"/>
    <w:rsid w:val="42A84004"/>
    <w:rsid w:val="42AA536C"/>
    <w:rsid w:val="42B09902"/>
    <w:rsid w:val="42B52A0C"/>
    <w:rsid w:val="42B576B6"/>
    <w:rsid w:val="42B7C477"/>
    <w:rsid w:val="42BE4CE7"/>
    <w:rsid w:val="42CB9278"/>
    <w:rsid w:val="42CFCF44"/>
    <w:rsid w:val="42D14294"/>
    <w:rsid w:val="42D4207A"/>
    <w:rsid w:val="42D7235F"/>
    <w:rsid w:val="42DC134D"/>
    <w:rsid w:val="42E2B254"/>
    <w:rsid w:val="42E33CE6"/>
    <w:rsid w:val="42E4F40F"/>
    <w:rsid w:val="42E4FA51"/>
    <w:rsid w:val="42E6D9D4"/>
    <w:rsid w:val="42EB1405"/>
    <w:rsid w:val="42EE01CD"/>
    <w:rsid w:val="42FB9C2F"/>
    <w:rsid w:val="42FCE353"/>
    <w:rsid w:val="430BBDD8"/>
    <w:rsid w:val="4311F6D7"/>
    <w:rsid w:val="431349E4"/>
    <w:rsid w:val="4313E9BE"/>
    <w:rsid w:val="4316072D"/>
    <w:rsid w:val="43171A43"/>
    <w:rsid w:val="431A70AD"/>
    <w:rsid w:val="431B0321"/>
    <w:rsid w:val="43248A81"/>
    <w:rsid w:val="4328141D"/>
    <w:rsid w:val="4331183C"/>
    <w:rsid w:val="43388B94"/>
    <w:rsid w:val="43440B98"/>
    <w:rsid w:val="4348D81A"/>
    <w:rsid w:val="4352F0B9"/>
    <w:rsid w:val="4354752D"/>
    <w:rsid w:val="4358C151"/>
    <w:rsid w:val="435A5300"/>
    <w:rsid w:val="435AD523"/>
    <w:rsid w:val="435AD5D7"/>
    <w:rsid w:val="436020ED"/>
    <w:rsid w:val="436164DA"/>
    <w:rsid w:val="4368C96A"/>
    <w:rsid w:val="436C982A"/>
    <w:rsid w:val="436DFCFE"/>
    <w:rsid w:val="436E92F9"/>
    <w:rsid w:val="436F36D6"/>
    <w:rsid w:val="437D7AF5"/>
    <w:rsid w:val="437FA31C"/>
    <w:rsid w:val="43827C1F"/>
    <w:rsid w:val="43864682"/>
    <w:rsid w:val="438948CB"/>
    <w:rsid w:val="438AB041"/>
    <w:rsid w:val="438B80CA"/>
    <w:rsid w:val="439C6471"/>
    <w:rsid w:val="43A2E567"/>
    <w:rsid w:val="43AC8C58"/>
    <w:rsid w:val="43B6A994"/>
    <w:rsid w:val="43B76EC9"/>
    <w:rsid w:val="43BBC6BD"/>
    <w:rsid w:val="43CD238A"/>
    <w:rsid w:val="43D2BAAE"/>
    <w:rsid w:val="43DBAE44"/>
    <w:rsid w:val="43E08842"/>
    <w:rsid w:val="43E18D52"/>
    <w:rsid w:val="43E62ACF"/>
    <w:rsid w:val="43E97C0C"/>
    <w:rsid w:val="43FEF0FC"/>
    <w:rsid w:val="43FFACC5"/>
    <w:rsid w:val="440D6D43"/>
    <w:rsid w:val="44171122"/>
    <w:rsid w:val="44194D6A"/>
    <w:rsid w:val="4433B8FB"/>
    <w:rsid w:val="443CCF5D"/>
    <w:rsid w:val="443D3695"/>
    <w:rsid w:val="44440FAF"/>
    <w:rsid w:val="444786F0"/>
    <w:rsid w:val="444ADC17"/>
    <w:rsid w:val="444CE413"/>
    <w:rsid w:val="444CF05A"/>
    <w:rsid w:val="4458AC2E"/>
    <w:rsid w:val="445ACBB7"/>
    <w:rsid w:val="44602CE5"/>
    <w:rsid w:val="4466D36E"/>
    <w:rsid w:val="44677765"/>
    <w:rsid w:val="44728A42"/>
    <w:rsid w:val="447504CF"/>
    <w:rsid w:val="4475680A"/>
    <w:rsid w:val="4476B1B5"/>
    <w:rsid w:val="447AA6FF"/>
    <w:rsid w:val="447AD18D"/>
    <w:rsid w:val="44832CA1"/>
    <w:rsid w:val="44860DDF"/>
    <w:rsid w:val="448A9028"/>
    <w:rsid w:val="448E302D"/>
    <w:rsid w:val="44928B2A"/>
    <w:rsid w:val="4497A20B"/>
    <w:rsid w:val="449905F3"/>
    <w:rsid w:val="449FEAEE"/>
    <w:rsid w:val="44A3F1CB"/>
    <w:rsid w:val="44A9DB87"/>
    <w:rsid w:val="44AC424A"/>
    <w:rsid w:val="44AF1401"/>
    <w:rsid w:val="44B29F9D"/>
    <w:rsid w:val="44B4D73F"/>
    <w:rsid w:val="44BD5B74"/>
    <w:rsid w:val="44C21174"/>
    <w:rsid w:val="44C6D4F8"/>
    <w:rsid w:val="44CA351B"/>
    <w:rsid w:val="44CC9C29"/>
    <w:rsid w:val="44D04D8F"/>
    <w:rsid w:val="44D4550A"/>
    <w:rsid w:val="44DD6ACE"/>
    <w:rsid w:val="44E89147"/>
    <w:rsid w:val="44EC6D0C"/>
    <w:rsid w:val="44F1A5EA"/>
    <w:rsid w:val="44F639FC"/>
    <w:rsid w:val="44F81DBC"/>
    <w:rsid w:val="44FA1443"/>
    <w:rsid w:val="44FB5961"/>
    <w:rsid w:val="44FBBE92"/>
    <w:rsid w:val="44FCD08B"/>
    <w:rsid w:val="450E39D6"/>
    <w:rsid w:val="451B453C"/>
    <w:rsid w:val="4521371A"/>
    <w:rsid w:val="4523E8B5"/>
    <w:rsid w:val="4526AC46"/>
    <w:rsid w:val="4526B1C8"/>
    <w:rsid w:val="452B7017"/>
    <w:rsid w:val="452E5686"/>
    <w:rsid w:val="452F55F0"/>
    <w:rsid w:val="4535164B"/>
    <w:rsid w:val="4537A4DC"/>
    <w:rsid w:val="453A0A95"/>
    <w:rsid w:val="45424F40"/>
    <w:rsid w:val="454E1D00"/>
    <w:rsid w:val="45514644"/>
    <w:rsid w:val="45567DD5"/>
    <w:rsid w:val="455ED682"/>
    <w:rsid w:val="455EE108"/>
    <w:rsid w:val="4563C665"/>
    <w:rsid w:val="45662AE7"/>
    <w:rsid w:val="4569B5D6"/>
    <w:rsid w:val="457683B5"/>
    <w:rsid w:val="458393A1"/>
    <w:rsid w:val="4587716E"/>
    <w:rsid w:val="45879252"/>
    <w:rsid w:val="45887877"/>
    <w:rsid w:val="4588BF7D"/>
    <w:rsid w:val="458C4AC9"/>
    <w:rsid w:val="45976BE6"/>
    <w:rsid w:val="459774E1"/>
    <w:rsid w:val="459CD1D6"/>
    <w:rsid w:val="45A2AE19"/>
    <w:rsid w:val="45A52E3E"/>
    <w:rsid w:val="45AF9C6D"/>
    <w:rsid w:val="45AFFB28"/>
    <w:rsid w:val="45B2E000"/>
    <w:rsid w:val="45B8416A"/>
    <w:rsid w:val="45BB5E2C"/>
    <w:rsid w:val="45C146AF"/>
    <w:rsid w:val="45C3915B"/>
    <w:rsid w:val="45C4EAC6"/>
    <w:rsid w:val="45CBEEB9"/>
    <w:rsid w:val="45CD2457"/>
    <w:rsid w:val="45D0D9CB"/>
    <w:rsid w:val="45E1EEE4"/>
    <w:rsid w:val="45EA71A5"/>
    <w:rsid w:val="45EFA52C"/>
    <w:rsid w:val="45F59E01"/>
    <w:rsid w:val="4605B998"/>
    <w:rsid w:val="46139276"/>
    <w:rsid w:val="4615D2C1"/>
    <w:rsid w:val="46161674"/>
    <w:rsid w:val="461656E8"/>
    <w:rsid w:val="4616E7FD"/>
    <w:rsid w:val="461D6230"/>
    <w:rsid w:val="46247C1B"/>
    <w:rsid w:val="462A79C6"/>
    <w:rsid w:val="462C5AC1"/>
    <w:rsid w:val="46425AD8"/>
    <w:rsid w:val="464BAEC2"/>
    <w:rsid w:val="465B9743"/>
    <w:rsid w:val="4662F6D2"/>
    <w:rsid w:val="4664093D"/>
    <w:rsid w:val="4666BBB8"/>
    <w:rsid w:val="4669A496"/>
    <w:rsid w:val="4669FF30"/>
    <w:rsid w:val="466C5B6E"/>
    <w:rsid w:val="467300C9"/>
    <w:rsid w:val="4675C6B8"/>
    <w:rsid w:val="4679DB95"/>
    <w:rsid w:val="46822DEA"/>
    <w:rsid w:val="4689C474"/>
    <w:rsid w:val="468E61B6"/>
    <w:rsid w:val="469038D9"/>
    <w:rsid w:val="4698FAFD"/>
    <w:rsid w:val="469FC386"/>
    <w:rsid w:val="46A07775"/>
    <w:rsid w:val="46A84359"/>
    <w:rsid w:val="46A9B05F"/>
    <w:rsid w:val="46B52AEB"/>
    <w:rsid w:val="46B5DA63"/>
    <w:rsid w:val="46B870A4"/>
    <w:rsid w:val="46C3790C"/>
    <w:rsid w:val="46C3D988"/>
    <w:rsid w:val="46C80052"/>
    <w:rsid w:val="46D04B54"/>
    <w:rsid w:val="46D82029"/>
    <w:rsid w:val="46DDF5A5"/>
    <w:rsid w:val="47011E42"/>
    <w:rsid w:val="470BB8B6"/>
    <w:rsid w:val="4711BAF9"/>
    <w:rsid w:val="4712CCF0"/>
    <w:rsid w:val="47191BD7"/>
    <w:rsid w:val="471A7907"/>
    <w:rsid w:val="471EB2FA"/>
    <w:rsid w:val="472B6704"/>
    <w:rsid w:val="4744E4CB"/>
    <w:rsid w:val="4745A284"/>
    <w:rsid w:val="475048C4"/>
    <w:rsid w:val="475AB36B"/>
    <w:rsid w:val="475F7AA7"/>
    <w:rsid w:val="476620F4"/>
    <w:rsid w:val="47692406"/>
    <w:rsid w:val="476A97F0"/>
    <w:rsid w:val="476A999E"/>
    <w:rsid w:val="476DCEB6"/>
    <w:rsid w:val="47734911"/>
    <w:rsid w:val="478050C0"/>
    <w:rsid w:val="4789736B"/>
    <w:rsid w:val="478D03B6"/>
    <w:rsid w:val="47B2F3B0"/>
    <w:rsid w:val="47B51675"/>
    <w:rsid w:val="47BE4382"/>
    <w:rsid w:val="47C1D127"/>
    <w:rsid w:val="47C7A5C2"/>
    <w:rsid w:val="47D1FEEC"/>
    <w:rsid w:val="47D24676"/>
    <w:rsid w:val="47D29B26"/>
    <w:rsid w:val="47D4A6AB"/>
    <w:rsid w:val="47D8689A"/>
    <w:rsid w:val="47E04AD5"/>
    <w:rsid w:val="47EE0722"/>
    <w:rsid w:val="47EFB508"/>
    <w:rsid w:val="47F38D32"/>
    <w:rsid w:val="47FB126F"/>
    <w:rsid w:val="480849D9"/>
    <w:rsid w:val="48085F71"/>
    <w:rsid w:val="4810BFAA"/>
    <w:rsid w:val="4815A547"/>
    <w:rsid w:val="4821C66F"/>
    <w:rsid w:val="4826C429"/>
    <w:rsid w:val="4828408D"/>
    <w:rsid w:val="482BF0A4"/>
    <w:rsid w:val="482CC732"/>
    <w:rsid w:val="48353276"/>
    <w:rsid w:val="483B99B6"/>
    <w:rsid w:val="4848B7E9"/>
    <w:rsid w:val="484991F7"/>
    <w:rsid w:val="4851574C"/>
    <w:rsid w:val="48568C40"/>
    <w:rsid w:val="4858AC81"/>
    <w:rsid w:val="485C53DF"/>
    <w:rsid w:val="485C945F"/>
    <w:rsid w:val="4861C5FA"/>
    <w:rsid w:val="486905CE"/>
    <w:rsid w:val="486DF92A"/>
    <w:rsid w:val="487C6DB7"/>
    <w:rsid w:val="487DE1C3"/>
    <w:rsid w:val="487E4BEA"/>
    <w:rsid w:val="487E8BEC"/>
    <w:rsid w:val="4882E2CE"/>
    <w:rsid w:val="48831494"/>
    <w:rsid w:val="4884A71C"/>
    <w:rsid w:val="4885DFC1"/>
    <w:rsid w:val="4886FF94"/>
    <w:rsid w:val="488ADBEF"/>
    <w:rsid w:val="488D4BD8"/>
    <w:rsid w:val="48900B36"/>
    <w:rsid w:val="48936F64"/>
    <w:rsid w:val="48978751"/>
    <w:rsid w:val="489C0E51"/>
    <w:rsid w:val="48A09407"/>
    <w:rsid w:val="48AA8B97"/>
    <w:rsid w:val="48AB68D0"/>
    <w:rsid w:val="48AC95FD"/>
    <w:rsid w:val="48AF57B2"/>
    <w:rsid w:val="48AFA966"/>
    <w:rsid w:val="48B6ED19"/>
    <w:rsid w:val="48B9C0C8"/>
    <w:rsid w:val="48C18E4C"/>
    <w:rsid w:val="48C18FCD"/>
    <w:rsid w:val="48C31F6F"/>
    <w:rsid w:val="48D16010"/>
    <w:rsid w:val="48DC9F90"/>
    <w:rsid w:val="48DE3011"/>
    <w:rsid w:val="48E34F79"/>
    <w:rsid w:val="48F1004E"/>
    <w:rsid w:val="48F174DD"/>
    <w:rsid w:val="48F3FB3C"/>
    <w:rsid w:val="48FE6E0E"/>
    <w:rsid w:val="48FEEC07"/>
    <w:rsid w:val="491527C1"/>
    <w:rsid w:val="491DD9D3"/>
    <w:rsid w:val="4924691C"/>
    <w:rsid w:val="4924EF41"/>
    <w:rsid w:val="492BBD8B"/>
    <w:rsid w:val="492C34FD"/>
    <w:rsid w:val="492E07B4"/>
    <w:rsid w:val="492F45D7"/>
    <w:rsid w:val="49354168"/>
    <w:rsid w:val="49375E06"/>
    <w:rsid w:val="49377C88"/>
    <w:rsid w:val="493D8709"/>
    <w:rsid w:val="494ACF00"/>
    <w:rsid w:val="494E31BB"/>
    <w:rsid w:val="4952541A"/>
    <w:rsid w:val="495CAA8C"/>
    <w:rsid w:val="4962C196"/>
    <w:rsid w:val="4966A677"/>
    <w:rsid w:val="496A3F3F"/>
    <w:rsid w:val="496A8149"/>
    <w:rsid w:val="49753635"/>
    <w:rsid w:val="49810EEF"/>
    <w:rsid w:val="498DCE69"/>
    <w:rsid w:val="49902DEC"/>
    <w:rsid w:val="49951A8A"/>
    <w:rsid w:val="49A70510"/>
    <w:rsid w:val="49A81917"/>
    <w:rsid w:val="49AAA24B"/>
    <w:rsid w:val="49ADF938"/>
    <w:rsid w:val="49B533A4"/>
    <w:rsid w:val="49B6513B"/>
    <w:rsid w:val="49BBE4C8"/>
    <w:rsid w:val="49C38344"/>
    <w:rsid w:val="49C59A08"/>
    <w:rsid w:val="49CC4E1C"/>
    <w:rsid w:val="49E36BF3"/>
    <w:rsid w:val="49F2B512"/>
    <w:rsid w:val="49F4282C"/>
    <w:rsid w:val="49FA2AE2"/>
    <w:rsid w:val="49FB615E"/>
    <w:rsid w:val="4A017EDB"/>
    <w:rsid w:val="4A029646"/>
    <w:rsid w:val="4A164445"/>
    <w:rsid w:val="4A2070BE"/>
    <w:rsid w:val="4A233F01"/>
    <w:rsid w:val="4A2447D3"/>
    <w:rsid w:val="4A443E65"/>
    <w:rsid w:val="4A49C63D"/>
    <w:rsid w:val="4A4C559E"/>
    <w:rsid w:val="4A4E63D5"/>
    <w:rsid w:val="4A5697D9"/>
    <w:rsid w:val="4A5D0579"/>
    <w:rsid w:val="4A659E11"/>
    <w:rsid w:val="4A662FB5"/>
    <w:rsid w:val="4A6C6C19"/>
    <w:rsid w:val="4A7103E5"/>
    <w:rsid w:val="4A71EF99"/>
    <w:rsid w:val="4A74A382"/>
    <w:rsid w:val="4A78B264"/>
    <w:rsid w:val="4A7E820D"/>
    <w:rsid w:val="4A7ED37E"/>
    <w:rsid w:val="4A844E88"/>
    <w:rsid w:val="4A844EFB"/>
    <w:rsid w:val="4A8E7292"/>
    <w:rsid w:val="4A9487D2"/>
    <w:rsid w:val="4A9E5075"/>
    <w:rsid w:val="4A9EFED7"/>
    <w:rsid w:val="4AA3775D"/>
    <w:rsid w:val="4AA595BF"/>
    <w:rsid w:val="4AAE5670"/>
    <w:rsid w:val="4AAE9D1E"/>
    <w:rsid w:val="4AAF1AD0"/>
    <w:rsid w:val="4ABCB827"/>
    <w:rsid w:val="4ABEF98F"/>
    <w:rsid w:val="4AD052F6"/>
    <w:rsid w:val="4AD3820E"/>
    <w:rsid w:val="4AD76B69"/>
    <w:rsid w:val="4ADC18A7"/>
    <w:rsid w:val="4AE321E7"/>
    <w:rsid w:val="4AE83CD7"/>
    <w:rsid w:val="4AEC5127"/>
    <w:rsid w:val="4AF374B0"/>
    <w:rsid w:val="4AFDC781"/>
    <w:rsid w:val="4AFE07D4"/>
    <w:rsid w:val="4B0AE196"/>
    <w:rsid w:val="4B0D4BDC"/>
    <w:rsid w:val="4B0FF1DE"/>
    <w:rsid w:val="4B116EB8"/>
    <w:rsid w:val="4B244188"/>
    <w:rsid w:val="4B2C23F7"/>
    <w:rsid w:val="4B33EFE4"/>
    <w:rsid w:val="4B3F7114"/>
    <w:rsid w:val="4B4399FA"/>
    <w:rsid w:val="4B48DE87"/>
    <w:rsid w:val="4B51942C"/>
    <w:rsid w:val="4B51FE25"/>
    <w:rsid w:val="4B56C71A"/>
    <w:rsid w:val="4B67B780"/>
    <w:rsid w:val="4B67BC8D"/>
    <w:rsid w:val="4B706139"/>
    <w:rsid w:val="4B74DBDC"/>
    <w:rsid w:val="4B799F6A"/>
    <w:rsid w:val="4B871F74"/>
    <w:rsid w:val="4B8A9F0B"/>
    <w:rsid w:val="4B8E9041"/>
    <w:rsid w:val="4B9638C4"/>
    <w:rsid w:val="4B975A96"/>
    <w:rsid w:val="4BB6B1E4"/>
    <w:rsid w:val="4BBC6B61"/>
    <w:rsid w:val="4BBD2038"/>
    <w:rsid w:val="4BBD9045"/>
    <w:rsid w:val="4BBDEEC0"/>
    <w:rsid w:val="4BC41570"/>
    <w:rsid w:val="4BC49B78"/>
    <w:rsid w:val="4BCA3F70"/>
    <w:rsid w:val="4BD2A869"/>
    <w:rsid w:val="4BD4BB00"/>
    <w:rsid w:val="4BDBBAEB"/>
    <w:rsid w:val="4BDE32F4"/>
    <w:rsid w:val="4BDE8118"/>
    <w:rsid w:val="4BE12EDF"/>
    <w:rsid w:val="4BE1FDF5"/>
    <w:rsid w:val="4BE65274"/>
    <w:rsid w:val="4BE7CA39"/>
    <w:rsid w:val="4BEC53F6"/>
    <w:rsid w:val="4BEC6122"/>
    <w:rsid w:val="4BEEB19D"/>
    <w:rsid w:val="4BF8B980"/>
    <w:rsid w:val="4BF8EC55"/>
    <w:rsid w:val="4C03643F"/>
    <w:rsid w:val="4C0AC114"/>
    <w:rsid w:val="4C128877"/>
    <w:rsid w:val="4C135FAC"/>
    <w:rsid w:val="4C19F95E"/>
    <w:rsid w:val="4C1FAABB"/>
    <w:rsid w:val="4C25E266"/>
    <w:rsid w:val="4C28F188"/>
    <w:rsid w:val="4C2EB1FF"/>
    <w:rsid w:val="4C2FDEC7"/>
    <w:rsid w:val="4C300A85"/>
    <w:rsid w:val="4C3F02E9"/>
    <w:rsid w:val="4C544DF7"/>
    <w:rsid w:val="4C571435"/>
    <w:rsid w:val="4C606608"/>
    <w:rsid w:val="4C670262"/>
    <w:rsid w:val="4C678680"/>
    <w:rsid w:val="4C784146"/>
    <w:rsid w:val="4C78792E"/>
    <w:rsid w:val="4C787F0E"/>
    <w:rsid w:val="4C83E0FB"/>
    <w:rsid w:val="4C8A37F0"/>
    <w:rsid w:val="4C8A6D40"/>
    <w:rsid w:val="4C947604"/>
    <w:rsid w:val="4C975C70"/>
    <w:rsid w:val="4C987091"/>
    <w:rsid w:val="4CA3776B"/>
    <w:rsid w:val="4CAECAE7"/>
    <w:rsid w:val="4CAF3E35"/>
    <w:rsid w:val="4CB21C17"/>
    <w:rsid w:val="4CBD002A"/>
    <w:rsid w:val="4CBDC0A8"/>
    <w:rsid w:val="4CBEEC26"/>
    <w:rsid w:val="4CC0DC5A"/>
    <w:rsid w:val="4CD68314"/>
    <w:rsid w:val="4CD7FE82"/>
    <w:rsid w:val="4CD8C166"/>
    <w:rsid w:val="4CE55DF6"/>
    <w:rsid w:val="4CE9B5B2"/>
    <w:rsid w:val="4CF436B3"/>
    <w:rsid w:val="4D0B1CFD"/>
    <w:rsid w:val="4D0B6D7E"/>
    <w:rsid w:val="4D136C8A"/>
    <w:rsid w:val="4D1646C7"/>
    <w:rsid w:val="4D16E62E"/>
    <w:rsid w:val="4D202E80"/>
    <w:rsid w:val="4D2ACA2A"/>
    <w:rsid w:val="4D2D2042"/>
    <w:rsid w:val="4D35337A"/>
    <w:rsid w:val="4D492C59"/>
    <w:rsid w:val="4D4B5EAC"/>
    <w:rsid w:val="4D661146"/>
    <w:rsid w:val="4D79B9F1"/>
    <w:rsid w:val="4D84EFF9"/>
    <w:rsid w:val="4D85D433"/>
    <w:rsid w:val="4D91A26E"/>
    <w:rsid w:val="4D9A5DC7"/>
    <w:rsid w:val="4DA40942"/>
    <w:rsid w:val="4DB588F8"/>
    <w:rsid w:val="4DB5E6FC"/>
    <w:rsid w:val="4DC2E365"/>
    <w:rsid w:val="4DC310EB"/>
    <w:rsid w:val="4DC40639"/>
    <w:rsid w:val="4DC71346"/>
    <w:rsid w:val="4DC85876"/>
    <w:rsid w:val="4DC98216"/>
    <w:rsid w:val="4DD1FF9D"/>
    <w:rsid w:val="4DDBEBAC"/>
    <w:rsid w:val="4DDC8E01"/>
    <w:rsid w:val="4DE6D0B7"/>
    <w:rsid w:val="4DF44940"/>
    <w:rsid w:val="4DF45624"/>
    <w:rsid w:val="4DF9C7BE"/>
    <w:rsid w:val="4DFDDD15"/>
    <w:rsid w:val="4DFEC0F4"/>
    <w:rsid w:val="4E0750C0"/>
    <w:rsid w:val="4E08FD5D"/>
    <w:rsid w:val="4E0EA9CA"/>
    <w:rsid w:val="4E18426C"/>
    <w:rsid w:val="4E2C73AF"/>
    <w:rsid w:val="4E2DA424"/>
    <w:rsid w:val="4E4CB9D7"/>
    <w:rsid w:val="4E611CAE"/>
    <w:rsid w:val="4E68A3A0"/>
    <w:rsid w:val="4E6B10C2"/>
    <w:rsid w:val="4E711D63"/>
    <w:rsid w:val="4E7572D3"/>
    <w:rsid w:val="4E780E9A"/>
    <w:rsid w:val="4E818FE0"/>
    <w:rsid w:val="4E835A87"/>
    <w:rsid w:val="4E847BC3"/>
    <w:rsid w:val="4E89D8CA"/>
    <w:rsid w:val="4E8D6733"/>
    <w:rsid w:val="4E910BFC"/>
    <w:rsid w:val="4E92D8E5"/>
    <w:rsid w:val="4E99F2C6"/>
    <w:rsid w:val="4E9A8D8F"/>
    <w:rsid w:val="4E9CBD03"/>
    <w:rsid w:val="4E9DA5C0"/>
    <w:rsid w:val="4EA939B3"/>
    <w:rsid w:val="4EAD1C7F"/>
    <w:rsid w:val="4EB21DCC"/>
    <w:rsid w:val="4EB770A9"/>
    <w:rsid w:val="4EB9261C"/>
    <w:rsid w:val="4EBA5F97"/>
    <w:rsid w:val="4EBDE577"/>
    <w:rsid w:val="4EBF3369"/>
    <w:rsid w:val="4EC5BF39"/>
    <w:rsid w:val="4EC724EA"/>
    <w:rsid w:val="4ECEBDFF"/>
    <w:rsid w:val="4ED279C0"/>
    <w:rsid w:val="4ED3C581"/>
    <w:rsid w:val="4ED48906"/>
    <w:rsid w:val="4EDDE5E9"/>
    <w:rsid w:val="4EDE41BC"/>
    <w:rsid w:val="4EE3A02D"/>
    <w:rsid w:val="4EE6D1A2"/>
    <w:rsid w:val="4EED29A7"/>
    <w:rsid w:val="4EF6397D"/>
    <w:rsid w:val="4EF9F0F0"/>
    <w:rsid w:val="4F14AB40"/>
    <w:rsid w:val="4F2628A8"/>
    <w:rsid w:val="4F2D3EBE"/>
    <w:rsid w:val="4F2EA280"/>
    <w:rsid w:val="4F3A5432"/>
    <w:rsid w:val="4F449EB6"/>
    <w:rsid w:val="4F452AB8"/>
    <w:rsid w:val="4F45A5CE"/>
    <w:rsid w:val="4F4B3F57"/>
    <w:rsid w:val="4F4CDA8E"/>
    <w:rsid w:val="4F530DF6"/>
    <w:rsid w:val="4F5C6D90"/>
    <w:rsid w:val="4F618089"/>
    <w:rsid w:val="4F64C58F"/>
    <w:rsid w:val="4F68854A"/>
    <w:rsid w:val="4F6C7159"/>
    <w:rsid w:val="4F823FB5"/>
    <w:rsid w:val="4F848700"/>
    <w:rsid w:val="4F88D15F"/>
    <w:rsid w:val="4F8CDF77"/>
    <w:rsid w:val="4F94DDAA"/>
    <w:rsid w:val="4F96C286"/>
    <w:rsid w:val="4F995797"/>
    <w:rsid w:val="4F9D73FF"/>
    <w:rsid w:val="4FA6AD83"/>
    <w:rsid w:val="4FAB98DB"/>
    <w:rsid w:val="4FB4637B"/>
    <w:rsid w:val="4FB65C97"/>
    <w:rsid w:val="4FB8E20D"/>
    <w:rsid w:val="4FC2E64F"/>
    <w:rsid w:val="4FCA2C0E"/>
    <w:rsid w:val="4FDCD1EC"/>
    <w:rsid w:val="4FDF429A"/>
    <w:rsid w:val="4FECB061"/>
    <w:rsid w:val="4FF10ECA"/>
    <w:rsid w:val="4FF1A364"/>
    <w:rsid w:val="4FF40BB4"/>
    <w:rsid w:val="4FF55AB3"/>
    <w:rsid w:val="4FF5A3F9"/>
    <w:rsid w:val="4FF8758B"/>
    <w:rsid w:val="4FF88D0F"/>
    <w:rsid w:val="4FF9A7EB"/>
    <w:rsid w:val="4FFAB7D5"/>
    <w:rsid w:val="5009C751"/>
    <w:rsid w:val="500DF290"/>
    <w:rsid w:val="501654F5"/>
    <w:rsid w:val="501A0B91"/>
    <w:rsid w:val="501B2901"/>
    <w:rsid w:val="501BBE38"/>
    <w:rsid w:val="502123CB"/>
    <w:rsid w:val="5022EB93"/>
    <w:rsid w:val="502E9E47"/>
    <w:rsid w:val="503196A8"/>
    <w:rsid w:val="50334E6B"/>
    <w:rsid w:val="5033A33E"/>
    <w:rsid w:val="5041AE0C"/>
    <w:rsid w:val="5041BE16"/>
    <w:rsid w:val="504462C0"/>
    <w:rsid w:val="5046DE3B"/>
    <w:rsid w:val="50489F70"/>
    <w:rsid w:val="5049A7F7"/>
    <w:rsid w:val="504C2C69"/>
    <w:rsid w:val="50529743"/>
    <w:rsid w:val="50576E85"/>
    <w:rsid w:val="50599829"/>
    <w:rsid w:val="505E85D9"/>
    <w:rsid w:val="5066B305"/>
    <w:rsid w:val="506DE45D"/>
    <w:rsid w:val="506ED43A"/>
    <w:rsid w:val="5073EC50"/>
    <w:rsid w:val="507B4277"/>
    <w:rsid w:val="507B98AB"/>
    <w:rsid w:val="507CF52D"/>
    <w:rsid w:val="507DFDD9"/>
    <w:rsid w:val="50815758"/>
    <w:rsid w:val="508198A9"/>
    <w:rsid w:val="50870C46"/>
    <w:rsid w:val="5094AB89"/>
    <w:rsid w:val="5098F79F"/>
    <w:rsid w:val="509B18F9"/>
    <w:rsid w:val="50A11E05"/>
    <w:rsid w:val="50A46ED4"/>
    <w:rsid w:val="50B269F6"/>
    <w:rsid w:val="50B580C9"/>
    <w:rsid w:val="50B66B33"/>
    <w:rsid w:val="50B91C05"/>
    <w:rsid w:val="50BAB667"/>
    <w:rsid w:val="50BB31AC"/>
    <w:rsid w:val="50BF1A17"/>
    <w:rsid w:val="50D518EF"/>
    <w:rsid w:val="50DD6A84"/>
    <w:rsid w:val="50DE42F8"/>
    <w:rsid w:val="50DEDE52"/>
    <w:rsid w:val="50E095D5"/>
    <w:rsid w:val="50E527D1"/>
    <w:rsid w:val="50EA16F0"/>
    <w:rsid w:val="50EC3889"/>
    <w:rsid w:val="50EF5EA6"/>
    <w:rsid w:val="50F0200A"/>
    <w:rsid w:val="50F2A0F1"/>
    <w:rsid w:val="50FBAB6E"/>
    <w:rsid w:val="50FE1504"/>
    <w:rsid w:val="510AC6A3"/>
    <w:rsid w:val="51184D6D"/>
    <w:rsid w:val="511AD7CA"/>
    <w:rsid w:val="5121AE3F"/>
    <w:rsid w:val="5122B824"/>
    <w:rsid w:val="51246957"/>
    <w:rsid w:val="5139718C"/>
    <w:rsid w:val="513CC02F"/>
    <w:rsid w:val="513F1530"/>
    <w:rsid w:val="513FFF6D"/>
    <w:rsid w:val="5143E32D"/>
    <w:rsid w:val="5148FC46"/>
    <w:rsid w:val="514963B1"/>
    <w:rsid w:val="514A39BB"/>
    <w:rsid w:val="514E0A3D"/>
    <w:rsid w:val="5153FBE3"/>
    <w:rsid w:val="515AB7D9"/>
    <w:rsid w:val="515EB454"/>
    <w:rsid w:val="5163DB87"/>
    <w:rsid w:val="5168873A"/>
    <w:rsid w:val="516F3DDC"/>
    <w:rsid w:val="51721618"/>
    <w:rsid w:val="517DFB69"/>
    <w:rsid w:val="517FCF5E"/>
    <w:rsid w:val="518C3D83"/>
    <w:rsid w:val="518FE507"/>
    <w:rsid w:val="51ACFFBE"/>
    <w:rsid w:val="51B047B6"/>
    <w:rsid w:val="51C30263"/>
    <w:rsid w:val="51C42608"/>
    <w:rsid w:val="51CC22C3"/>
    <w:rsid w:val="51CE760F"/>
    <w:rsid w:val="51CF8BC3"/>
    <w:rsid w:val="51D0B386"/>
    <w:rsid w:val="51D15612"/>
    <w:rsid w:val="51D70FF2"/>
    <w:rsid w:val="51E2F251"/>
    <w:rsid w:val="51F3EB1A"/>
    <w:rsid w:val="51F60559"/>
    <w:rsid w:val="5200C824"/>
    <w:rsid w:val="5204D6F8"/>
    <w:rsid w:val="520D88F1"/>
    <w:rsid w:val="521034EB"/>
    <w:rsid w:val="52228374"/>
    <w:rsid w:val="5224C8EA"/>
    <w:rsid w:val="5224DF4D"/>
    <w:rsid w:val="52286B1F"/>
    <w:rsid w:val="522985BB"/>
    <w:rsid w:val="5229B1BE"/>
    <w:rsid w:val="5234CB29"/>
    <w:rsid w:val="523A8658"/>
    <w:rsid w:val="5240451A"/>
    <w:rsid w:val="524232F7"/>
    <w:rsid w:val="5251FA72"/>
    <w:rsid w:val="525C5D77"/>
    <w:rsid w:val="525E63BD"/>
    <w:rsid w:val="5260A962"/>
    <w:rsid w:val="52653B4E"/>
    <w:rsid w:val="52701B2C"/>
    <w:rsid w:val="5272E39B"/>
    <w:rsid w:val="52829BDE"/>
    <w:rsid w:val="528A4F80"/>
    <w:rsid w:val="528D39D0"/>
    <w:rsid w:val="5293692D"/>
    <w:rsid w:val="5296470E"/>
    <w:rsid w:val="52A34343"/>
    <w:rsid w:val="52A93398"/>
    <w:rsid w:val="52AB0D76"/>
    <w:rsid w:val="52B1E975"/>
    <w:rsid w:val="52B75186"/>
    <w:rsid w:val="52C16755"/>
    <w:rsid w:val="52C29F82"/>
    <w:rsid w:val="52C3C360"/>
    <w:rsid w:val="52C9D6BA"/>
    <w:rsid w:val="52CBF6BE"/>
    <w:rsid w:val="52DBF131"/>
    <w:rsid w:val="52DF2ECA"/>
    <w:rsid w:val="52E5EC0C"/>
    <w:rsid w:val="52F065D8"/>
    <w:rsid w:val="52F1DDD0"/>
    <w:rsid w:val="530BAEB0"/>
    <w:rsid w:val="531F3919"/>
    <w:rsid w:val="5323996A"/>
    <w:rsid w:val="532B2CA9"/>
    <w:rsid w:val="532D8547"/>
    <w:rsid w:val="533044A0"/>
    <w:rsid w:val="5336A906"/>
    <w:rsid w:val="5339A131"/>
    <w:rsid w:val="533E7277"/>
    <w:rsid w:val="533EAEC3"/>
    <w:rsid w:val="534B5A64"/>
    <w:rsid w:val="534CC185"/>
    <w:rsid w:val="535041B5"/>
    <w:rsid w:val="5353144B"/>
    <w:rsid w:val="5353D443"/>
    <w:rsid w:val="5356EDA2"/>
    <w:rsid w:val="535F56CB"/>
    <w:rsid w:val="53655F43"/>
    <w:rsid w:val="53706818"/>
    <w:rsid w:val="5372BA04"/>
    <w:rsid w:val="5377B471"/>
    <w:rsid w:val="537836BE"/>
    <w:rsid w:val="537AEE67"/>
    <w:rsid w:val="537E7E1A"/>
    <w:rsid w:val="53813277"/>
    <w:rsid w:val="53863897"/>
    <w:rsid w:val="53877D70"/>
    <w:rsid w:val="538C378D"/>
    <w:rsid w:val="53934A4F"/>
    <w:rsid w:val="53973718"/>
    <w:rsid w:val="539A08C3"/>
    <w:rsid w:val="539A315E"/>
    <w:rsid w:val="53A152B4"/>
    <w:rsid w:val="53A9E3A9"/>
    <w:rsid w:val="53AB2EF8"/>
    <w:rsid w:val="53B167A1"/>
    <w:rsid w:val="53B41393"/>
    <w:rsid w:val="53B70809"/>
    <w:rsid w:val="53BAEB13"/>
    <w:rsid w:val="53C25195"/>
    <w:rsid w:val="53C980F5"/>
    <w:rsid w:val="53D49B0B"/>
    <w:rsid w:val="53DEC452"/>
    <w:rsid w:val="53E3A5D4"/>
    <w:rsid w:val="53E76702"/>
    <w:rsid w:val="53EC2724"/>
    <w:rsid w:val="53EF3665"/>
    <w:rsid w:val="53FA5509"/>
    <w:rsid w:val="53FCC8FD"/>
    <w:rsid w:val="540247B0"/>
    <w:rsid w:val="540FDAF5"/>
    <w:rsid w:val="541309D4"/>
    <w:rsid w:val="54136B50"/>
    <w:rsid w:val="54139CE6"/>
    <w:rsid w:val="541878C8"/>
    <w:rsid w:val="541A3A6D"/>
    <w:rsid w:val="5427D66A"/>
    <w:rsid w:val="5428F27E"/>
    <w:rsid w:val="54312E0E"/>
    <w:rsid w:val="5433C56D"/>
    <w:rsid w:val="5436D37B"/>
    <w:rsid w:val="543DD61B"/>
    <w:rsid w:val="543FE15D"/>
    <w:rsid w:val="5447CD4F"/>
    <w:rsid w:val="5447FA81"/>
    <w:rsid w:val="545FB106"/>
    <w:rsid w:val="54655188"/>
    <w:rsid w:val="5465FD83"/>
    <w:rsid w:val="54691041"/>
    <w:rsid w:val="5469F73C"/>
    <w:rsid w:val="546A1511"/>
    <w:rsid w:val="546A92CE"/>
    <w:rsid w:val="546E6594"/>
    <w:rsid w:val="547B99F2"/>
    <w:rsid w:val="547C291A"/>
    <w:rsid w:val="5482B315"/>
    <w:rsid w:val="5485E356"/>
    <w:rsid w:val="548B91FB"/>
    <w:rsid w:val="548F2B99"/>
    <w:rsid w:val="54905B3A"/>
    <w:rsid w:val="54932163"/>
    <w:rsid w:val="549C9C68"/>
    <w:rsid w:val="54AA95F5"/>
    <w:rsid w:val="54B04A3D"/>
    <w:rsid w:val="54B0C694"/>
    <w:rsid w:val="54B760DD"/>
    <w:rsid w:val="54BF2797"/>
    <w:rsid w:val="54C4CAEC"/>
    <w:rsid w:val="54C82A8F"/>
    <w:rsid w:val="54CA0EF6"/>
    <w:rsid w:val="54CA9659"/>
    <w:rsid w:val="54CE7F15"/>
    <w:rsid w:val="54D1DE76"/>
    <w:rsid w:val="54DCAB52"/>
    <w:rsid w:val="54E9CDE8"/>
    <w:rsid w:val="54EDEF92"/>
    <w:rsid w:val="54EE8DDB"/>
    <w:rsid w:val="54EEDD6A"/>
    <w:rsid w:val="54F0DE68"/>
    <w:rsid w:val="54F78EF7"/>
    <w:rsid w:val="54FCC6A7"/>
    <w:rsid w:val="551B712D"/>
    <w:rsid w:val="551FFB46"/>
    <w:rsid w:val="5526EE0B"/>
    <w:rsid w:val="55274E89"/>
    <w:rsid w:val="5527E2CE"/>
    <w:rsid w:val="552BFED5"/>
    <w:rsid w:val="552D86C4"/>
    <w:rsid w:val="5535319B"/>
    <w:rsid w:val="55382184"/>
    <w:rsid w:val="5538D58F"/>
    <w:rsid w:val="553E8ED4"/>
    <w:rsid w:val="55431C2F"/>
    <w:rsid w:val="555A928C"/>
    <w:rsid w:val="555E49F5"/>
    <w:rsid w:val="555E7639"/>
    <w:rsid w:val="55671469"/>
    <w:rsid w:val="55678D78"/>
    <w:rsid w:val="556A12DF"/>
    <w:rsid w:val="556A4C7B"/>
    <w:rsid w:val="556E6A4D"/>
    <w:rsid w:val="557847B3"/>
    <w:rsid w:val="558045AE"/>
    <w:rsid w:val="558A35A8"/>
    <w:rsid w:val="558A8891"/>
    <w:rsid w:val="558EDC7C"/>
    <w:rsid w:val="558F7C24"/>
    <w:rsid w:val="559AD9DF"/>
    <w:rsid w:val="559F09BC"/>
    <w:rsid w:val="55A27868"/>
    <w:rsid w:val="55A2CD6E"/>
    <w:rsid w:val="55B72B5C"/>
    <w:rsid w:val="55C1C2FB"/>
    <w:rsid w:val="55C6DF19"/>
    <w:rsid w:val="55C945E7"/>
    <w:rsid w:val="55D366B9"/>
    <w:rsid w:val="55DEA7B4"/>
    <w:rsid w:val="55EAEAEC"/>
    <w:rsid w:val="55EE0EFE"/>
    <w:rsid w:val="55F393E8"/>
    <w:rsid w:val="55F883D6"/>
    <w:rsid w:val="560CCC65"/>
    <w:rsid w:val="560D36A6"/>
    <w:rsid w:val="5613D5D3"/>
    <w:rsid w:val="5616DE16"/>
    <w:rsid w:val="56184FCA"/>
    <w:rsid w:val="561ECB4A"/>
    <w:rsid w:val="56225F75"/>
    <w:rsid w:val="56234F0A"/>
    <w:rsid w:val="56274F66"/>
    <w:rsid w:val="56278911"/>
    <w:rsid w:val="562AAA34"/>
    <w:rsid w:val="562D7A9D"/>
    <w:rsid w:val="562E32D7"/>
    <w:rsid w:val="56315000"/>
    <w:rsid w:val="56319C63"/>
    <w:rsid w:val="56476A3A"/>
    <w:rsid w:val="5649736C"/>
    <w:rsid w:val="564B6039"/>
    <w:rsid w:val="564B8256"/>
    <w:rsid w:val="5654CB40"/>
    <w:rsid w:val="56574518"/>
    <w:rsid w:val="565C8BAD"/>
    <w:rsid w:val="565F421F"/>
    <w:rsid w:val="5671A7F6"/>
    <w:rsid w:val="56765F46"/>
    <w:rsid w:val="56789180"/>
    <w:rsid w:val="567CF3EA"/>
    <w:rsid w:val="567F10BB"/>
    <w:rsid w:val="56975523"/>
    <w:rsid w:val="5697D8ED"/>
    <w:rsid w:val="56A0AF5E"/>
    <w:rsid w:val="56AA5B69"/>
    <w:rsid w:val="56AAAB8C"/>
    <w:rsid w:val="56ABCB5F"/>
    <w:rsid w:val="56B7267E"/>
    <w:rsid w:val="56B82485"/>
    <w:rsid w:val="56C31959"/>
    <w:rsid w:val="56C97C1C"/>
    <w:rsid w:val="56CB27D3"/>
    <w:rsid w:val="56CD752D"/>
    <w:rsid w:val="56D10348"/>
    <w:rsid w:val="56D6846A"/>
    <w:rsid w:val="56DABB15"/>
    <w:rsid w:val="56E53FBA"/>
    <w:rsid w:val="56EB220B"/>
    <w:rsid w:val="56EB32BA"/>
    <w:rsid w:val="56EC5660"/>
    <w:rsid w:val="56EC88F2"/>
    <w:rsid w:val="56FA2756"/>
    <w:rsid w:val="56FB6719"/>
    <w:rsid w:val="56FF833B"/>
    <w:rsid w:val="57078D1C"/>
    <w:rsid w:val="57138BE4"/>
    <w:rsid w:val="571B4DB3"/>
    <w:rsid w:val="57348F74"/>
    <w:rsid w:val="57383943"/>
    <w:rsid w:val="57418596"/>
    <w:rsid w:val="57454832"/>
    <w:rsid w:val="57481C50"/>
    <w:rsid w:val="574B2AE2"/>
    <w:rsid w:val="575D1FD8"/>
    <w:rsid w:val="5768A13F"/>
    <w:rsid w:val="576D347B"/>
    <w:rsid w:val="577CCD36"/>
    <w:rsid w:val="577CF448"/>
    <w:rsid w:val="577DAB8D"/>
    <w:rsid w:val="57986B8C"/>
    <w:rsid w:val="579FE073"/>
    <w:rsid w:val="57AAD3C3"/>
    <w:rsid w:val="57ACF4D7"/>
    <w:rsid w:val="57AE3FCB"/>
    <w:rsid w:val="57AE4164"/>
    <w:rsid w:val="57B3E612"/>
    <w:rsid w:val="57B6FC10"/>
    <w:rsid w:val="57BC54FB"/>
    <w:rsid w:val="57BF11A2"/>
    <w:rsid w:val="57C70187"/>
    <w:rsid w:val="57CFE0FF"/>
    <w:rsid w:val="57D282ED"/>
    <w:rsid w:val="57D2CA3F"/>
    <w:rsid w:val="57D3A977"/>
    <w:rsid w:val="57D3EAA3"/>
    <w:rsid w:val="57DB3667"/>
    <w:rsid w:val="57DD3E78"/>
    <w:rsid w:val="57DEC4C6"/>
    <w:rsid w:val="57E1153E"/>
    <w:rsid w:val="57EA0190"/>
    <w:rsid w:val="57EA5E3D"/>
    <w:rsid w:val="57EBE9AA"/>
    <w:rsid w:val="57F365CD"/>
    <w:rsid w:val="57F76B14"/>
    <w:rsid w:val="58079E20"/>
    <w:rsid w:val="580994FB"/>
    <w:rsid w:val="5809D389"/>
    <w:rsid w:val="580BB42C"/>
    <w:rsid w:val="580E28EF"/>
    <w:rsid w:val="5811132B"/>
    <w:rsid w:val="581A03BA"/>
    <w:rsid w:val="582D9E73"/>
    <w:rsid w:val="58382649"/>
    <w:rsid w:val="583D6D03"/>
    <w:rsid w:val="58455678"/>
    <w:rsid w:val="58476D2C"/>
    <w:rsid w:val="5847B0F7"/>
    <w:rsid w:val="584A983A"/>
    <w:rsid w:val="584B073A"/>
    <w:rsid w:val="584EB3CE"/>
    <w:rsid w:val="585039BE"/>
    <w:rsid w:val="58585605"/>
    <w:rsid w:val="585A60BF"/>
    <w:rsid w:val="5863E5D4"/>
    <w:rsid w:val="58676A16"/>
    <w:rsid w:val="587BF8C3"/>
    <w:rsid w:val="587C2512"/>
    <w:rsid w:val="587C9F40"/>
    <w:rsid w:val="588076F4"/>
    <w:rsid w:val="58850781"/>
    <w:rsid w:val="588531FE"/>
    <w:rsid w:val="58868DE0"/>
    <w:rsid w:val="588A433F"/>
    <w:rsid w:val="589341F9"/>
    <w:rsid w:val="589814F1"/>
    <w:rsid w:val="589A3E1D"/>
    <w:rsid w:val="589AC5BA"/>
    <w:rsid w:val="589C0789"/>
    <w:rsid w:val="589E5839"/>
    <w:rsid w:val="58A19D3F"/>
    <w:rsid w:val="58A4945B"/>
    <w:rsid w:val="58A52B55"/>
    <w:rsid w:val="58A9B661"/>
    <w:rsid w:val="58AB0B1C"/>
    <w:rsid w:val="58ADCA85"/>
    <w:rsid w:val="58B3503A"/>
    <w:rsid w:val="58B6BB3A"/>
    <w:rsid w:val="58B78329"/>
    <w:rsid w:val="58BE2FFC"/>
    <w:rsid w:val="58C0E9F0"/>
    <w:rsid w:val="58C10C47"/>
    <w:rsid w:val="58C174ED"/>
    <w:rsid w:val="58D96324"/>
    <w:rsid w:val="58DFE458"/>
    <w:rsid w:val="58E76AE5"/>
    <w:rsid w:val="58EDB26E"/>
    <w:rsid w:val="59038E02"/>
    <w:rsid w:val="5909D18B"/>
    <w:rsid w:val="59129956"/>
    <w:rsid w:val="59170EC4"/>
    <w:rsid w:val="591EA42D"/>
    <w:rsid w:val="59254983"/>
    <w:rsid w:val="5935EBD7"/>
    <w:rsid w:val="5937E14A"/>
    <w:rsid w:val="593CA3AD"/>
    <w:rsid w:val="593DB675"/>
    <w:rsid w:val="594498CA"/>
    <w:rsid w:val="59494736"/>
    <w:rsid w:val="594C8106"/>
    <w:rsid w:val="5956369B"/>
    <w:rsid w:val="595654B1"/>
    <w:rsid w:val="59593799"/>
    <w:rsid w:val="5966F073"/>
    <w:rsid w:val="59768757"/>
    <w:rsid w:val="59779C38"/>
    <w:rsid w:val="597D2AFF"/>
    <w:rsid w:val="597EF674"/>
    <w:rsid w:val="5984C172"/>
    <w:rsid w:val="59867DE1"/>
    <w:rsid w:val="5986926D"/>
    <w:rsid w:val="598D01AD"/>
    <w:rsid w:val="5993D993"/>
    <w:rsid w:val="5996946B"/>
    <w:rsid w:val="599E4B96"/>
    <w:rsid w:val="599E817A"/>
    <w:rsid w:val="59A7D4AF"/>
    <w:rsid w:val="59A88370"/>
    <w:rsid w:val="59AAB6AF"/>
    <w:rsid w:val="59C37383"/>
    <w:rsid w:val="59C8FF46"/>
    <w:rsid w:val="59CF104E"/>
    <w:rsid w:val="59CFC774"/>
    <w:rsid w:val="59D6DCF0"/>
    <w:rsid w:val="59D8F0E2"/>
    <w:rsid w:val="59EBEC77"/>
    <w:rsid w:val="59FCC0E9"/>
    <w:rsid w:val="5A015323"/>
    <w:rsid w:val="5A018253"/>
    <w:rsid w:val="5A02C142"/>
    <w:rsid w:val="5A0416C8"/>
    <w:rsid w:val="5A221E6B"/>
    <w:rsid w:val="5A384653"/>
    <w:rsid w:val="5A3D86DD"/>
    <w:rsid w:val="5A3DE425"/>
    <w:rsid w:val="5A448971"/>
    <w:rsid w:val="5A4A03C0"/>
    <w:rsid w:val="5A632D3F"/>
    <w:rsid w:val="5A6510ED"/>
    <w:rsid w:val="5A66FCE7"/>
    <w:rsid w:val="5A73051B"/>
    <w:rsid w:val="5A839D91"/>
    <w:rsid w:val="5A84AB00"/>
    <w:rsid w:val="5A8A0C7B"/>
    <w:rsid w:val="5A8EB076"/>
    <w:rsid w:val="5A9862BA"/>
    <w:rsid w:val="5AA3FA6F"/>
    <w:rsid w:val="5AACF1B1"/>
    <w:rsid w:val="5AB037FF"/>
    <w:rsid w:val="5AB61067"/>
    <w:rsid w:val="5ABC5D12"/>
    <w:rsid w:val="5AC1E511"/>
    <w:rsid w:val="5ACA3914"/>
    <w:rsid w:val="5AD1C770"/>
    <w:rsid w:val="5AD61927"/>
    <w:rsid w:val="5AD7AD09"/>
    <w:rsid w:val="5AD882C4"/>
    <w:rsid w:val="5ADE6334"/>
    <w:rsid w:val="5ADF5516"/>
    <w:rsid w:val="5AE444BD"/>
    <w:rsid w:val="5AECEEC5"/>
    <w:rsid w:val="5AF7FAE1"/>
    <w:rsid w:val="5AF9F40F"/>
    <w:rsid w:val="5AFE96CA"/>
    <w:rsid w:val="5AFEE841"/>
    <w:rsid w:val="5B03479A"/>
    <w:rsid w:val="5B0A86A4"/>
    <w:rsid w:val="5B0B2BB0"/>
    <w:rsid w:val="5B1765B0"/>
    <w:rsid w:val="5B234828"/>
    <w:rsid w:val="5B235FCB"/>
    <w:rsid w:val="5B247D6C"/>
    <w:rsid w:val="5B357488"/>
    <w:rsid w:val="5B48B359"/>
    <w:rsid w:val="5B4EE8A6"/>
    <w:rsid w:val="5B4FAF3B"/>
    <w:rsid w:val="5B515F6C"/>
    <w:rsid w:val="5B517B2B"/>
    <w:rsid w:val="5B52DB12"/>
    <w:rsid w:val="5B547EA9"/>
    <w:rsid w:val="5B54A7AE"/>
    <w:rsid w:val="5B58D586"/>
    <w:rsid w:val="5B6444B9"/>
    <w:rsid w:val="5B68A122"/>
    <w:rsid w:val="5B70DFA7"/>
    <w:rsid w:val="5B8F3FA2"/>
    <w:rsid w:val="5B9D769C"/>
    <w:rsid w:val="5BA4E45C"/>
    <w:rsid w:val="5BBA8FAD"/>
    <w:rsid w:val="5BBDEB45"/>
    <w:rsid w:val="5BBEB13A"/>
    <w:rsid w:val="5BBF75D5"/>
    <w:rsid w:val="5BC31A03"/>
    <w:rsid w:val="5BC6E46B"/>
    <w:rsid w:val="5BCAC33C"/>
    <w:rsid w:val="5BCED419"/>
    <w:rsid w:val="5BCF619C"/>
    <w:rsid w:val="5BDD0441"/>
    <w:rsid w:val="5BE37724"/>
    <w:rsid w:val="5BE7B1C3"/>
    <w:rsid w:val="5BF9D40C"/>
    <w:rsid w:val="5BFB8202"/>
    <w:rsid w:val="5BFFB116"/>
    <w:rsid w:val="5C012B42"/>
    <w:rsid w:val="5C087ECE"/>
    <w:rsid w:val="5C0E128C"/>
    <w:rsid w:val="5C10C33B"/>
    <w:rsid w:val="5C12755E"/>
    <w:rsid w:val="5C1CF2E2"/>
    <w:rsid w:val="5C27C102"/>
    <w:rsid w:val="5C2C8F35"/>
    <w:rsid w:val="5C325932"/>
    <w:rsid w:val="5C339098"/>
    <w:rsid w:val="5C38FAC8"/>
    <w:rsid w:val="5C417769"/>
    <w:rsid w:val="5C44DF90"/>
    <w:rsid w:val="5C4E0854"/>
    <w:rsid w:val="5C537DB5"/>
    <w:rsid w:val="5C5583E2"/>
    <w:rsid w:val="5C59B931"/>
    <w:rsid w:val="5C6A13A4"/>
    <w:rsid w:val="5C79530C"/>
    <w:rsid w:val="5C7A3E8E"/>
    <w:rsid w:val="5C7B884A"/>
    <w:rsid w:val="5C7E460E"/>
    <w:rsid w:val="5C836E7B"/>
    <w:rsid w:val="5C8B2F3C"/>
    <w:rsid w:val="5CA6C270"/>
    <w:rsid w:val="5CA9AF13"/>
    <w:rsid w:val="5CB63CFD"/>
    <w:rsid w:val="5CB9D160"/>
    <w:rsid w:val="5CC0EF6C"/>
    <w:rsid w:val="5CC84D20"/>
    <w:rsid w:val="5CCC112C"/>
    <w:rsid w:val="5CD06BFD"/>
    <w:rsid w:val="5CDBC497"/>
    <w:rsid w:val="5CE0317F"/>
    <w:rsid w:val="5CE07A8D"/>
    <w:rsid w:val="5CE99F20"/>
    <w:rsid w:val="5CEE0760"/>
    <w:rsid w:val="5CF14D22"/>
    <w:rsid w:val="5CF17516"/>
    <w:rsid w:val="5CF1C35C"/>
    <w:rsid w:val="5CF646DB"/>
    <w:rsid w:val="5CFDE701"/>
    <w:rsid w:val="5D03ADF1"/>
    <w:rsid w:val="5D066098"/>
    <w:rsid w:val="5D0B5F80"/>
    <w:rsid w:val="5D0C63B0"/>
    <w:rsid w:val="5D1C8312"/>
    <w:rsid w:val="5D20A65D"/>
    <w:rsid w:val="5D2B1927"/>
    <w:rsid w:val="5D33726F"/>
    <w:rsid w:val="5D34D84C"/>
    <w:rsid w:val="5D390510"/>
    <w:rsid w:val="5D3B0100"/>
    <w:rsid w:val="5D3E7E85"/>
    <w:rsid w:val="5D421A2A"/>
    <w:rsid w:val="5D46124A"/>
    <w:rsid w:val="5D4CACA9"/>
    <w:rsid w:val="5D55897D"/>
    <w:rsid w:val="5D57546A"/>
    <w:rsid w:val="5D58CE5C"/>
    <w:rsid w:val="5D5A1FB6"/>
    <w:rsid w:val="5D5D0CE9"/>
    <w:rsid w:val="5D6049DD"/>
    <w:rsid w:val="5D66182F"/>
    <w:rsid w:val="5D66D192"/>
    <w:rsid w:val="5D6C1EC2"/>
    <w:rsid w:val="5D758667"/>
    <w:rsid w:val="5D7806D7"/>
    <w:rsid w:val="5D78A7F4"/>
    <w:rsid w:val="5D870BEF"/>
    <w:rsid w:val="5D88325E"/>
    <w:rsid w:val="5D8C791E"/>
    <w:rsid w:val="5D90B427"/>
    <w:rsid w:val="5DA5A410"/>
    <w:rsid w:val="5DAF8EBF"/>
    <w:rsid w:val="5DB0DF74"/>
    <w:rsid w:val="5DBB0F4C"/>
    <w:rsid w:val="5DBD1DF5"/>
    <w:rsid w:val="5DC1E732"/>
    <w:rsid w:val="5DC5D995"/>
    <w:rsid w:val="5DC72B54"/>
    <w:rsid w:val="5DCCB324"/>
    <w:rsid w:val="5DD513B3"/>
    <w:rsid w:val="5DDA6104"/>
    <w:rsid w:val="5DDEC68D"/>
    <w:rsid w:val="5DE1DC72"/>
    <w:rsid w:val="5DE2247A"/>
    <w:rsid w:val="5DE25446"/>
    <w:rsid w:val="5DE5A8DD"/>
    <w:rsid w:val="5DE6D691"/>
    <w:rsid w:val="5DE83C4E"/>
    <w:rsid w:val="5DE86687"/>
    <w:rsid w:val="5DE9E8A7"/>
    <w:rsid w:val="5DEFC3EF"/>
    <w:rsid w:val="5DF0E8E2"/>
    <w:rsid w:val="5DF8D8B7"/>
    <w:rsid w:val="5DFAA15A"/>
    <w:rsid w:val="5E0A01D0"/>
    <w:rsid w:val="5E0F81D6"/>
    <w:rsid w:val="5E1B8916"/>
    <w:rsid w:val="5E217F01"/>
    <w:rsid w:val="5E2E6067"/>
    <w:rsid w:val="5E300EC7"/>
    <w:rsid w:val="5E310D59"/>
    <w:rsid w:val="5E32E287"/>
    <w:rsid w:val="5E3A86BC"/>
    <w:rsid w:val="5E3F3B25"/>
    <w:rsid w:val="5E45151D"/>
    <w:rsid w:val="5E493D8F"/>
    <w:rsid w:val="5E4AA4AC"/>
    <w:rsid w:val="5E560677"/>
    <w:rsid w:val="5E5A9E95"/>
    <w:rsid w:val="5E6ED037"/>
    <w:rsid w:val="5E772B47"/>
    <w:rsid w:val="5E7B6F31"/>
    <w:rsid w:val="5E838778"/>
    <w:rsid w:val="5E8CB63E"/>
    <w:rsid w:val="5EA1F1D6"/>
    <w:rsid w:val="5EA275B6"/>
    <w:rsid w:val="5EA76384"/>
    <w:rsid w:val="5EAC5C8C"/>
    <w:rsid w:val="5EB5C320"/>
    <w:rsid w:val="5EB6043B"/>
    <w:rsid w:val="5EB805B0"/>
    <w:rsid w:val="5EB8A85E"/>
    <w:rsid w:val="5EB9FA78"/>
    <w:rsid w:val="5EC536BF"/>
    <w:rsid w:val="5EE0CD0D"/>
    <w:rsid w:val="5EE12F24"/>
    <w:rsid w:val="5EE8B968"/>
    <w:rsid w:val="5EF3E07B"/>
    <w:rsid w:val="5EF49E27"/>
    <w:rsid w:val="5EF55084"/>
    <w:rsid w:val="5EF965C9"/>
    <w:rsid w:val="5F05069D"/>
    <w:rsid w:val="5F137125"/>
    <w:rsid w:val="5F181685"/>
    <w:rsid w:val="5F1C8BF9"/>
    <w:rsid w:val="5F202424"/>
    <w:rsid w:val="5F2D34FA"/>
    <w:rsid w:val="5F3292AF"/>
    <w:rsid w:val="5F37FAB2"/>
    <w:rsid w:val="5F459E35"/>
    <w:rsid w:val="5F4A7B22"/>
    <w:rsid w:val="5F4B4715"/>
    <w:rsid w:val="5F560DD3"/>
    <w:rsid w:val="5F5D745F"/>
    <w:rsid w:val="5F5DBF75"/>
    <w:rsid w:val="5F5EFAE8"/>
    <w:rsid w:val="5F6E4F24"/>
    <w:rsid w:val="5F727C8F"/>
    <w:rsid w:val="5F756DE4"/>
    <w:rsid w:val="5F8641C3"/>
    <w:rsid w:val="5F864DBF"/>
    <w:rsid w:val="5F8C1869"/>
    <w:rsid w:val="5F8D9F10"/>
    <w:rsid w:val="5F96F12A"/>
    <w:rsid w:val="5FA04BA3"/>
    <w:rsid w:val="5FAD6787"/>
    <w:rsid w:val="5FAE6C8E"/>
    <w:rsid w:val="5FBA4DD4"/>
    <w:rsid w:val="5FBDB68D"/>
    <w:rsid w:val="5FD503F9"/>
    <w:rsid w:val="5FD5562A"/>
    <w:rsid w:val="5FDB2BAD"/>
    <w:rsid w:val="5FEC13CA"/>
    <w:rsid w:val="5FFEA90C"/>
    <w:rsid w:val="600014DE"/>
    <w:rsid w:val="6008408E"/>
    <w:rsid w:val="600FBCF3"/>
    <w:rsid w:val="60158C86"/>
    <w:rsid w:val="6026730A"/>
    <w:rsid w:val="602E2DB5"/>
    <w:rsid w:val="6038BF1E"/>
    <w:rsid w:val="603F5291"/>
    <w:rsid w:val="604056B1"/>
    <w:rsid w:val="604063C0"/>
    <w:rsid w:val="604C8A11"/>
    <w:rsid w:val="6052956A"/>
    <w:rsid w:val="60573206"/>
    <w:rsid w:val="6058DF1A"/>
    <w:rsid w:val="60602266"/>
    <w:rsid w:val="6067BDBA"/>
    <w:rsid w:val="6068E90D"/>
    <w:rsid w:val="606A618F"/>
    <w:rsid w:val="606D8A70"/>
    <w:rsid w:val="60745D42"/>
    <w:rsid w:val="60748B5C"/>
    <w:rsid w:val="6074C443"/>
    <w:rsid w:val="6074FEA8"/>
    <w:rsid w:val="6076F832"/>
    <w:rsid w:val="607B3CFF"/>
    <w:rsid w:val="60809E44"/>
    <w:rsid w:val="6083DD77"/>
    <w:rsid w:val="6086D638"/>
    <w:rsid w:val="608C78D4"/>
    <w:rsid w:val="608C96EC"/>
    <w:rsid w:val="608D206F"/>
    <w:rsid w:val="60A48923"/>
    <w:rsid w:val="60A5A501"/>
    <w:rsid w:val="60AB3DB6"/>
    <w:rsid w:val="60B73824"/>
    <w:rsid w:val="60C11E91"/>
    <w:rsid w:val="60C439EC"/>
    <w:rsid w:val="60C679A6"/>
    <w:rsid w:val="60C93E71"/>
    <w:rsid w:val="60C97E11"/>
    <w:rsid w:val="60CF6F07"/>
    <w:rsid w:val="60DABFDC"/>
    <w:rsid w:val="60E08ED1"/>
    <w:rsid w:val="60E1E81B"/>
    <w:rsid w:val="60E32BA6"/>
    <w:rsid w:val="60E52BCB"/>
    <w:rsid w:val="60E84A41"/>
    <w:rsid w:val="60FCB73A"/>
    <w:rsid w:val="60FE6F6A"/>
    <w:rsid w:val="60FE9EB8"/>
    <w:rsid w:val="61013F4F"/>
    <w:rsid w:val="6104CE2A"/>
    <w:rsid w:val="610D86EA"/>
    <w:rsid w:val="61156101"/>
    <w:rsid w:val="6117BA3F"/>
    <w:rsid w:val="611D1756"/>
    <w:rsid w:val="612C6621"/>
    <w:rsid w:val="6130C748"/>
    <w:rsid w:val="613C8143"/>
    <w:rsid w:val="613D4EA9"/>
    <w:rsid w:val="613EEEEC"/>
    <w:rsid w:val="6142648F"/>
    <w:rsid w:val="61441A01"/>
    <w:rsid w:val="614B4427"/>
    <w:rsid w:val="614C1F68"/>
    <w:rsid w:val="614F3557"/>
    <w:rsid w:val="61506CBB"/>
    <w:rsid w:val="615AF8E6"/>
    <w:rsid w:val="615B9190"/>
    <w:rsid w:val="616C200B"/>
    <w:rsid w:val="616FC494"/>
    <w:rsid w:val="61764225"/>
    <w:rsid w:val="617A4C44"/>
    <w:rsid w:val="6180B705"/>
    <w:rsid w:val="61827211"/>
    <w:rsid w:val="6188C103"/>
    <w:rsid w:val="6196DE7A"/>
    <w:rsid w:val="619C9784"/>
    <w:rsid w:val="61A3B5EE"/>
    <w:rsid w:val="61A3D8B8"/>
    <w:rsid w:val="61A3DAA3"/>
    <w:rsid w:val="61A45DC6"/>
    <w:rsid w:val="61A48EFB"/>
    <w:rsid w:val="61AF5BCC"/>
    <w:rsid w:val="61B033C1"/>
    <w:rsid w:val="61B1D106"/>
    <w:rsid w:val="61BE6433"/>
    <w:rsid w:val="61C4968B"/>
    <w:rsid w:val="61C6A962"/>
    <w:rsid w:val="61CAD71E"/>
    <w:rsid w:val="61CEFE7C"/>
    <w:rsid w:val="61D0BCE4"/>
    <w:rsid w:val="61E0F97E"/>
    <w:rsid w:val="61EB642E"/>
    <w:rsid w:val="61F11A64"/>
    <w:rsid w:val="61F9056E"/>
    <w:rsid w:val="61FE7A3B"/>
    <w:rsid w:val="61FFA722"/>
    <w:rsid w:val="620E5571"/>
    <w:rsid w:val="62141FCC"/>
    <w:rsid w:val="621CC745"/>
    <w:rsid w:val="621E81FF"/>
    <w:rsid w:val="621E85E4"/>
    <w:rsid w:val="621EBB8E"/>
    <w:rsid w:val="621FF019"/>
    <w:rsid w:val="6223B45B"/>
    <w:rsid w:val="6228C058"/>
    <w:rsid w:val="622A7A41"/>
    <w:rsid w:val="622D757E"/>
    <w:rsid w:val="623217C3"/>
    <w:rsid w:val="62330BDD"/>
    <w:rsid w:val="6236D394"/>
    <w:rsid w:val="623A3554"/>
    <w:rsid w:val="623DE8F0"/>
    <w:rsid w:val="62426859"/>
    <w:rsid w:val="624CB7A3"/>
    <w:rsid w:val="62528427"/>
    <w:rsid w:val="625E54A2"/>
    <w:rsid w:val="6262CE40"/>
    <w:rsid w:val="6263BCF9"/>
    <w:rsid w:val="62678FC6"/>
    <w:rsid w:val="626ADAD5"/>
    <w:rsid w:val="626C815D"/>
    <w:rsid w:val="626F8BC6"/>
    <w:rsid w:val="6270ECC5"/>
    <w:rsid w:val="62719A90"/>
    <w:rsid w:val="62755B44"/>
    <w:rsid w:val="6276D4F9"/>
    <w:rsid w:val="6279090C"/>
    <w:rsid w:val="628D4264"/>
    <w:rsid w:val="628ED544"/>
    <w:rsid w:val="629B6484"/>
    <w:rsid w:val="62A7081C"/>
    <w:rsid w:val="62A8B962"/>
    <w:rsid w:val="62AB3009"/>
    <w:rsid w:val="62B3DC16"/>
    <w:rsid w:val="62B85480"/>
    <w:rsid w:val="62C40929"/>
    <w:rsid w:val="62CE581D"/>
    <w:rsid w:val="62D562C8"/>
    <w:rsid w:val="62E0BFFC"/>
    <w:rsid w:val="62F2C049"/>
    <w:rsid w:val="62F358FF"/>
    <w:rsid w:val="62F5A5C9"/>
    <w:rsid w:val="62FB3620"/>
    <w:rsid w:val="62FDAC59"/>
    <w:rsid w:val="63010F6E"/>
    <w:rsid w:val="630A472B"/>
    <w:rsid w:val="630D702D"/>
    <w:rsid w:val="63113467"/>
    <w:rsid w:val="631AC8AC"/>
    <w:rsid w:val="631D4091"/>
    <w:rsid w:val="631EFF5C"/>
    <w:rsid w:val="632DEB4D"/>
    <w:rsid w:val="632DEEFC"/>
    <w:rsid w:val="632DF6E4"/>
    <w:rsid w:val="63433D5F"/>
    <w:rsid w:val="63469C38"/>
    <w:rsid w:val="6347B7C6"/>
    <w:rsid w:val="63537C85"/>
    <w:rsid w:val="6355BADB"/>
    <w:rsid w:val="635D8B36"/>
    <w:rsid w:val="6361C1AE"/>
    <w:rsid w:val="6365F418"/>
    <w:rsid w:val="63698534"/>
    <w:rsid w:val="6385AACA"/>
    <w:rsid w:val="638EB314"/>
    <w:rsid w:val="638FFC3A"/>
    <w:rsid w:val="639BB861"/>
    <w:rsid w:val="639EEA6F"/>
    <w:rsid w:val="63AC0E25"/>
    <w:rsid w:val="63AD848A"/>
    <w:rsid w:val="63B1EE02"/>
    <w:rsid w:val="63BD3816"/>
    <w:rsid w:val="63C78F6F"/>
    <w:rsid w:val="63DA2722"/>
    <w:rsid w:val="63E178F6"/>
    <w:rsid w:val="63E29257"/>
    <w:rsid w:val="63F22491"/>
    <w:rsid w:val="63F76A5A"/>
    <w:rsid w:val="63F96BBE"/>
    <w:rsid w:val="640A0A3C"/>
    <w:rsid w:val="640B436F"/>
    <w:rsid w:val="64107C07"/>
    <w:rsid w:val="641796DE"/>
    <w:rsid w:val="6418EA8A"/>
    <w:rsid w:val="641B47F2"/>
    <w:rsid w:val="641CE108"/>
    <w:rsid w:val="6426A974"/>
    <w:rsid w:val="642A9247"/>
    <w:rsid w:val="64317383"/>
    <w:rsid w:val="64364373"/>
    <w:rsid w:val="643ECD6A"/>
    <w:rsid w:val="6440E62D"/>
    <w:rsid w:val="644DA75E"/>
    <w:rsid w:val="64540A05"/>
    <w:rsid w:val="645A55AA"/>
    <w:rsid w:val="645BBD9F"/>
    <w:rsid w:val="645EBC55"/>
    <w:rsid w:val="645F788C"/>
    <w:rsid w:val="64634BE0"/>
    <w:rsid w:val="6470C573"/>
    <w:rsid w:val="6475DA24"/>
    <w:rsid w:val="6490C35E"/>
    <w:rsid w:val="649117B6"/>
    <w:rsid w:val="64925978"/>
    <w:rsid w:val="6496B20A"/>
    <w:rsid w:val="6498B63A"/>
    <w:rsid w:val="649ECC46"/>
    <w:rsid w:val="649F005C"/>
    <w:rsid w:val="64A134C6"/>
    <w:rsid w:val="64ACEAB9"/>
    <w:rsid w:val="64B7BB01"/>
    <w:rsid w:val="64BC3D58"/>
    <w:rsid w:val="64BF2EEB"/>
    <w:rsid w:val="64C988DC"/>
    <w:rsid w:val="64CF5335"/>
    <w:rsid w:val="64DA2B2E"/>
    <w:rsid w:val="64DA67B5"/>
    <w:rsid w:val="64DF04BA"/>
    <w:rsid w:val="64E12EDD"/>
    <w:rsid w:val="64E1635E"/>
    <w:rsid w:val="64E64F75"/>
    <w:rsid w:val="6501D920"/>
    <w:rsid w:val="65029129"/>
    <w:rsid w:val="6521E5B1"/>
    <w:rsid w:val="652BECEC"/>
    <w:rsid w:val="65331E90"/>
    <w:rsid w:val="65388796"/>
    <w:rsid w:val="653A3D22"/>
    <w:rsid w:val="653C403A"/>
    <w:rsid w:val="653E672D"/>
    <w:rsid w:val="653E8770"/>
    <w:rsid w:val="6541595C"/>
    <w:rsid w:val="65475B51"/>
    <w:rsid w:val="65574824"/>
    <w:rsid w:val="655B116F"/>
    <w:rsid w:val="655C8AE4"/>
    <w:rsid w:val="656C2029"/>
    <w:rsid w:val="656DA823"/>
    <w:rsid w:val="656F1DFF"/>
    <w:rsid w:val="65773606"/>
    <w:rsid w:val="6578E365"/>
    <w:rsid w:val="6585D2B6"/>
    <w:rsid w:val="65865AEC"/>
    <w:rsid w:val="658DC533"/>
    <w:rsid w:val="658EEF45"/>
    <w:rsid w:val="65A15A61"/>
    <w:rsid w:val="65A3A648"/>
    <w:rsid w:val="65AB0ED3"/>
    <w:rsid w:val="65ADE048"/>
    <w:rsid w:val="65C109EE"/>
    <w:rsid w:val="65C51739"/>
    <w:rsid w:val="65C82D9E"/>
    <w:rsid w:val="65D3F0B3"/>
    <w:rsid w:val="65E536AF"/>
    <w:rsid w:val="65E5BD25"/>
    <w:rsid w:val="65F12E4A"/>
    <w:rsid w:val="660F8F2B"/>
    <w:rsid w:val="66117760"/>
    <w:rsid w:val="66125FBD"/>
    <w:rsid w:val="66143D17"/>
    <w:rsid w:val="66148402"/>
    <w:rsid w:val="6619A6BE"/>
    <w:rsid w:val="661D78D7"/>
    <w:rsid w:val="66346738"/>
    <w:rsid w:val="6636DDC3"/>
    <w:rsid w:val="663868AB"/>
    <w:rsid w:val="663AABA1"/>
    <w:rsid w:val="663C1A67"/>
    <w:rsid w:val="663FDF6E"/>
    <w:rsid w:val="66692479"/>
    <w:rsid w:val="666B1BB6"/>
    <w:rsid w:val="666B6D6F"/>
    <w:rsid w:val="6673CEF3"/>
    <w:rsid w:val="6673EE04"/>
    <w:rsid w:val="6676B005"/>
    <w:rsid w:val="667F3BB8"/>
    <w:rsid w:val="668BC1AE"/>
    <w:rsid w:val="668E7438"/>
    <w:rsid w:val="6690912D"/>
    <w:rsid w:val="6699DFE0"/>
    <w:rsid w:val="66A646FB"/>
    <w:rsid w:val="66A7DC36"/>
    <w:rsid w:val="66ADEFDB"/>
    <w:rsid w:val="66B00D86"/>
    <w:rsid w:val="66B488E1"/>
    <w:rsid w:val="66BC8BE3"/>
    <w:rsid w:val="66BFA378"/>
    <w:rsid w:val="66C847CB"/>
    <w:rsid w:val="66CA74E6"/>
    <w:rsid w:val="66D2B699"/>
    <w:rsid w:val="66D4CD5C"/>
    <w:rsid w:val="66D6DA14"/>
    <w:rsid w:val="66DB0FC9"/>
    <w:rsid w:val="66DEC39B"/>
    <w:rsid w:val="66E0A94C"/>
    <w:rsid w:val="66E847FA"/>
    <w:rsid w:val="66F3A2BE"/>
    <w:rsid w:val="66FA3EF3"/>
    <w:rsid w:val="67041F96"/>
    <w:rsid w:val="670A2B83"/>
    <w:rsid w:val="670C73D8"/>
    <w:rsid w:val="671259D2"/>
    <w:rsid w:val="67126D7C"/>
    <w:rsid w:val="671618E7"/>
    <w:rsid w:val="6718B757"/>
    <w:rsid w:val="671A01A8"/>
    <w:rsid w:val="671D47A9"/>
    <w:rsid w:val="672FB08D"/>
    <w:rsid w:val="67316C91"/>
    <w:rsid w:val="673458BD"/>
    <w:rsid w:val="673719E8"/>
    <w:rsid w:val="67371DC3"/>
    <w:rsid w:val="673AA8F0"/>
    <w:rsid w:val="673EB90D"/>
    <w:rsid w:val="673FBA95"/>
    <w:rsid w:val="674206F3"/>
    <w:rsid w:val="67428FC8"/>
    <w:rsid w:val="674A372F"/>
    <w:rsid w:val="674FA356"/>
    <w:rsid w:val="6756E87B"/>
    <w:rsid w:val="6758C996"/>
    <w:rsid w:val="6759A985"/>
    <w:rsid w:val="67649613"/>
    <w:rsid w:val="6775CE26"/>
    <w:rsid w:val="6776F1FB"/>
    <w:rsid w:val="677FBCB9"/>
    <w:rsid w:val="6783F5EB"/>
    <w:rsid w:val="678E5B85"/>
    <w:rsid w:val="6792D76E"/>
    <w:rsid w:val="67AEE99A"/>
    <w:rsid w:val="67AF9727"/>
    <w:rsid w:val="67BB1E15"/>
    <w:rsid w:val="67CE8B61"/>
    <w:rsid w:val="67E0AE28"/>
    <w:rsid w:val="67E0B151"/>
    <w:rsid w:val="67E3057F"/>
    <w:rsid w:val="67E48B59"/>
    <w:rsid w:val="67EA8034"/>
    <w:rsid w:val="67EC5F48"/>
    <w:rsid w:val="67F1E0EA"/>
    <w:rsid w:val="67F4AD9E"/>
    <w:rsid w:val="68070A34"/>
    <w:rsid w:val="6807A87E"/>
    <w:rsid w:val="681A5B15"/>
    <w:rsid w:val="682F6CC3"/>
    <w:rsid w:val="6833D978"/>
    <w:rsid w:val="68360388"/>
    <w:rsid w:val="683B1A88"/>
    <w:rsid w:val="683EE8DC"/>
    <w:rsid w:val="6841253B"/>
    <w:rsid w:val="6845196B"/>
    <w:rsid w:val="68453620"/>
    <w:rsid w:val="68459461"/>
    <w:rsid w:val="68505460"/>
    <w:rsid w:val="685116F4"/>
    <w:rsid w:val="685B96B1"/>
    <w:rsid w:val="685BDD39"/>
    <w:rsid w:val="685CA8B1"/>
    <w:rsid w:val="685D00E0"/>
    <w:rsid w:val="685EAB10"/>
    <w:rsid w:val="68611ED1"/>
    <w:rsid w:val="68652C14"/>
    <w:rsid w:val="68728C2F"/>
    <w:rsid w:val="68825C3F"/>
    <w:rsid w:val="689110DE"/>
    <w:rsid w:val="6893EA43"/>
    <w:rsid w:val="689E070B"/>
    <w:rsid w:val="68A04622"/>
    <w:rsid w:val="68A27D42"/>
    <w:rsid w:val="68AA7447"/>
    <w:rsid w:val="68B1A0BF"/>
    <w:rsid w:val="68B27A87"/>
    <w:rsid w:val="68B3F1B4"/>
    <w:rsid w:val="68BF1225"/>
    <w:rsid w:val="68C62BA6"/>
    <w:rsid w:val="68CDDFA2"/>
    <w:rsid w:val="68CF506C"/>
    <w:rsid w:val="68D0158E"/>
    <w:rsid w:val="68D0C32B"/>
    <w:rsid w:val="68D99045"/>
    <w:rsid w:val="68E6030E"/>
    <w:rsid w:val="68E6391E"/>
    <w:rsid w:val="68EE4683"/>
    <w:rsid w:val="68EF1EAB"/>
    <w:rsid w:val="68EF7622"/>
    <w:rsid w:val="68F41F49"/>
    <w:rsid w:val="68F94284"/>
    <w:rsid w:val="68FCD7D1"/>
    <w:rsid w:val="69007559"/>
    <w:rsid w:val="6900F334"/>
    <w:rsid w:val="6901600D"/>
    <w:rsid w:val="690C1E68"/>
    <w:rsid w:val="690D32A3"/>
    <w:rsid w:val="691847A0"/>
    <w:rsid w:val="69193B64"/>
    <w:rsid w:val="6920BDC5"/>
    <w:rsid w:val="6923FC2F"/>
    <w:rsid w:val="6938B053"/>
    <w:rsid w:val="693E397E"/>
    <w:rsid w:val="6941EEC5"/>
    <w:rsid w:val="694FC673"/>
    <w:rsid w:val="69675968"/>
    <w:rsid w:val="69712E48"/>
    <w:rsid w:val="6972D247"/>
    <w:rsid w:val="697AFB1E"/>
    <w:rsid w:val="698AB8F3"/>
    <w:rsid w:val="6992CE2A"/>
    <w:rsid w:val="6992E0CE"/>
    <w:rsid w:val="699A7082"/>
    <w:rsid w:val="699A7A87"/>
    <w:rsid w:val="69B173BD"/>
    <w:rsid w:val="69B300F3"/>
    <w:rsid w:val="69B43835"/>
    <w:rsid w:val="69BCC3F9"/>
    <w:rsid w:val="69BDDE62"/>
    <w:rsid w:val="69BE1318"/>
    <w:rsid w:val="69C00BE2"/>
    <w:rsid w:val="69C4090C"/>
    <w:rsid w:val="69C59C98"/>
    <w:rsid w:val="69D3772B"/>
    <w:rsid w:val="69D64048"/>
    <w:rsid w:val="69E18ADF"/>
    <w:rsid w:val="69E702C3"/>
    <w:rsid w:val="69EFED8A"/>
    <w:rsid w:val="69FB155E"/>
    <w:rsid w:val="6A0235B5"/>
    <w:rsid w:val="6A064753"/>
    <w:rsid w:val="6A0C26A5"/>
    <w:rsid w:val="6A153FF1"/>
    <w:rsid w:val="6A155240"/>
    <w:rsid w:val="6A268A92"/>
    <w:rsid w:val="6A274292"/>
    <w:rsid w:val="6A362224"/>
    <w:rsid w:val="6A38DDB0"/>
    <w:rsid w:val="6A3DD99F"/>
    <w:rsid w:val="6A3E5702"/>
    <w:rsid w:val="6A452321"/>
    <w:rsid w:val="6A477169"/>
    <w:rsid w:val="6A49F345"/>
    <w:rsid w:val="6A4DC216"/>
    <w:rsid w:val="6A4F4E7E"/>
    <w:rsid w:val="6A5A1A2F"/>
    <w:rsid w:val="6A88B7FA"/>
    <w:rsid w:val="6A970F21"/>
    <w:rsid w:val="6A98095B"/>
    <w:rsid w:val="6A98BBF8"/>
    <w:rsid w:val="6A99C279"/>
    <w:rsid w:val="6A9B1308"/>
    <w:rsid w:val="6A9FC60F"/>
    <w:rsid w:val="6AA23B5D"/>
    <w:rsid w:val="6AADDE22"/>
    <w:rsid w:val="6AB4E6F2"/>
    <w:rsid w:val="6ABD0CF7"/>
    <w:rsid w:val="6AC32CE0"/>
    <w:rsid w:val="6AD27DF1"/>
    <w:rsid w:val="6ADF8C29"/>
    <w:rsid w:val="6AE7904B"/>
    <w:rsid w:val="6AED49C9"/>
    <w:rsid w:val="6AF075A0"/>
    <w:rsid w:val="6AF0D5F0"/>
    <w:rsid w:val="6AF11644"/>
    <w:rsid w:val="6AF12267"/>
    <w:rsid w:val="6AFB55A6"/>
    <w:rsid w:val="6B061030"/>
    <w:rsid w:val="6B08692D"/>
    <w:rsid w:val="6B0D0998"/>
    <w:rsid w:val="6B0D73FC"/>
    <w:rsid w:val="6B10377D"/>
    <w:rsid w:val="6B18FA1E"/>
    <w:rsid w:val="6B29EC86"/>
    <w:rsid w:val="6B2BA504"/>
    <w:rsid w:val="6B2FD937"/>
    <w:rsid w:val="6B3242CA"/>
    <w:rsid w:val="6B394021"/>
    <w:rsid w:val="6B399C1E"/>
    <w:rsid w:val="6B505D1D"/>
    <w:rsid w:val="6B523F5D"/>
    <w:rsid w:val="6B587D88"/>
    <w:rsid w:val="6B60210E"/>
    <w:rsid w:val="6B651183"/>
    <w:rsid w:val="6B6AA529"/>
    <w:rsid w:val="6B6D3FAB"/>
    <w:rsid w:val="6B6E0D40"/>
    <w:rsid w:val="6B8D9C47"/>
    <w:rsid w:val="6B931F55"/>
    <w:rsid w:val="6BAB0C70"/>
    <w:rsid w:val="6BB3C434"/>
    <w:rsid w:val="6BB46402"/>
    <w:rsid w:val="6BC2F1CA"/>
    <w:rsid w:val="6BC36CF4"/>
    <w:rsid w:val="6BC4069A"/>
    <w:rsid w:val="6BC6A436"/>
    <w:rsid w:val="6BCB0D9F"/>
    <w:rsid w:val="6BD02688"/>
    <w:rsid w:val="6BE5128D"/>
    <w:rsid w:val="6BE58DFE"/>
    <w:rsid w:val="6BEA2395"/>
    <w:rsid w:val="6BEC5D44"/>
    <w:rsid w:val="6BEEA601"/>
    <w:rsid w:val="6BF8841B"/>
    <w:rsid w:val="6BFF221B"/>
    <w:rsid w:val="6C0514D7"/>
    <w:rsid w:val="6C0D9865"/>
    <w:rsid w:val="6C0E0C1C"/>
    <w:rsid w:val="6C0F803D"/>
    <w:rsid w:val="6C13B612"/>
    <w:rsid w:val="6C13E71B"/>
    <w:rsid w:val="6C163043"/>
    <w:rsid w:val="6C1F1AA5"/>
    <w:rsid w:val="6C245EF4"/>
    <w:rsid w:val="6C263571"/>
    <w:rsid w:val="6C2F14AF"/>
    <w:rsid w:val="6C33F7A8"/>
    <w:rsid w:val="6C35A4CC"/>
    <w:rsid w:val="6C3C8E63"/>
    <w:rsid w:val="6C45D9BF"/>
    <w:rsid w:val="6C45ECBE"/>
    <w:rsid w:val="6C46FEA9"/>
    <w:rsid w:val="6C4A24FC"/>
    <w:rsid w:val="6C4A2E25"/>
    <w:rsid w:val="6C4B7119"/>
    <w:rsid w:val="6C4FA331"/>
    <w:rsid w:val="6C4FFF82"/>
    <w:rsid w:val="6C5337CB"/>
    <w:rsid w:val="6C5B3C30"/>
    <w:rsid w:val="6C653F71"/>
    <w:rsid w:val="6C65EFF1"/>
    <w:rsid w:val="6C6614FA"/>
    <w:rsid w:val="6C6A5D6A"/>
    <w:rsid w:val="6C6C37FF"/>
    <w:rsid w:val="6C74AB55"/>
    <w:rsid w:val="6C76714B"/>
    <w:rsid w:val="6C7EACCE"/>
    <w:rsid w:val="6C943232"/>
    <w:rsid w:val="6C9CA4AA"/>
    <w:rsid w:val="6CABB4C0"/>
    <w:rsid w:val="6CAC8836"/>
    <w:rsid w:val="6CBC28D6"/>
    <w:rsid w:val="6CC4C231"/>
    <w:rsid w:val="6CCEE580"/>
    <w:rsid w:val="6CD3DC8C"/>
    <w:rsid w:val="6CD8E506"/>
    <w:rsid w:val="6CE953BD"/>
    <w:rsid w:val="6CFCC2F8"/>
    <w:rsid w:val="6D03B704"/>
    <w:rsid w:val="6D0A53B0"/>
    <w:rsid w:val="6D0BC0CB"/>
    <w:rsid w:val="6D0E0649"/>
    <w:rsid w:val="6D11CB45"/>
    <w:rsid w:val="6D120AC0"/>
    <w:rsid w:val="6D29D10D"/>
    <w:rsid w:val="6D304739"/>
    <w:rsid w:val="6D3100F5"/>
    <w:rsid w:val="6D39BBD1"/>
    <w:rsid w:val="6D3D2252"/>
    <w:rsid w:val="6D43318F"/>
    <w:rsid w:val="6D4C3A22"/>
    <w:rsid w:val="6D4D0180"/>
    <w:rsid w:val="6D58C006"/>
    <w:rsid w:val="6D5DCBB7"/>
    <w:rsid w:val="6D717252"/>
    <w:rsid w:val="6D75B368"/>
    <w:rsid w:val="6D75D7DE"/>
    <w:rsid w:val="6D7D915D"/>
    <w:rsid w:val="6D7FEFFB"/>
    <w:rsid w:val="6D8205FE"/>
    <w:rsid w:val="6D8714A0"/>
    <w:rsid w:val="6D959EFE"/>
    <w:rsid w:val="6D985135"/>
    <w:rsid w:val="6DA902A2"/>
    <w:rsid w:val="6DAA42AD"/>
    <w:rsid w:val="6DAA97AB"/>
    <w:rsid w:val="6DB1C297"/>
    <w:rsid w:val="6DB1D707"/>
    <w:rsid w:val="6DB675B0"/>
    <w:rsid w:val="6DBEAF77"/>
    <w:rsid w:val="6DD408C0"/>
    <w:rsid w:val="6DD4BF1C"/>
    <w:rsid w:val="6DD4FF52"/>
    <w:rsid w:val="6DD9233D"/>
    <w:rsid w:val="6DDB7FB8"/>
    <w:rsid w:val="6DDBDD9F"/>
    <w:rsid w:val="6DE6495E"/>
    <w:rsid w:val="6DE86A89"/>
    <w:rsid w:val="6DEA2E26"/>
    <w:rsid w:val="6DEBF05A"/>
    <w:rsid w:val="6DF896CE"/>
    <w:rsid w:val="6DFB340E"/>
    <w:rsid w:val="6E0372B0"/>
    <w:rsid w:val="6E0C0FE1"/>
    <w:rsid w:val="6E0C204B"/>
    <w:rsid w:val="6E10A5E2"/>
    <w:rsid w:val="6E13BAE2"/>
    <w:rsid w:val="6E188538"/>
    <w:rsid w:val="6E2DDBFB"/>
    <w:rsid w:val="6E3263F0"/>
    <w:rsid w:val="6E347C65"/>
    <w:rsid w:val="6E42C450"/>
    <w:rsid w:val="6E467CF7"/>
    <w:rsid w:val="6E47521B"/>
    <w:rsid w:val="6E525B5D"/>
    <w:rsid w:val="6E5270B0"/>
    <w:rsid w:val="6E5421B2"/>
    <w:rsid w:val="6E5627D6"/>
    <w:rsid w:val="6E581D9D"/>
    <w:rsid w:val="6E58E679"/>
    <w:rsid w:val="6E5A606E"/>
    <w:rsid w:val="6E5C685E"/>
    <w:rsid w:val="6E5DFF7D"/>
    <w:rsid w:val="6E6AF8E1"/>
    <w:rsid w:val="6E6FE843"/>
    <w:rsid w:val="6E70E224"/>
    <w:rsid w:val="6E73365D"/>
    <w:rsid w:val="6E749D41"/>
    <w:rsid w:val="6E776C19"/>
    <w:rsid w:val="6E7E460B"/>
    <w:rsid w:val="6E8F5A7B"/>
    <w:rsid w:val="6E8F7B36"/>
    <w:rsid w:val="6E90BC2A"/>
    <w:rsid w:val="6E999183"/>
    <w:rsid w:val="6E9DE211"/>
    <w:rsid w:val="6E9EDBF2"/>
    <w:rsid w:val="6EAAF02B"/>
    <w:rsid w:val="6EAF0076"/>
    <w:rsid w:val="6EB1EE20"/>
    <w:rsid w:val="6EBC4D00"/>
    <w:rsid w:val="6EC3D086"/>
    <w:rsid w:val="6EC57326"/>
    <w:rsid w:val="6ECA5501"/>
    <w:rsid w:val="6ECD6693"/>
    <w:rsid w:val="6EDDD6C8"/>
    <w:rsid w:val="6EDFCAE7"/>
    <w:rsid w:val="6EE28065"/>
    <w:rsid w:val="6EE89450"/>
    <w:rsid w:val="6EE8BC2E"/>
    <w:rsid w:val="6EF032AC"/>
    <w:rsid w:val="6EF0F127"/>
    <w:rsid w:val="6EF1C4F9"/>
    <w:rsid w:val="6EFB6AC3"/>
    <w:rsid w:val="6EFC639E"/>
    <w:rsid w:val="6F018180"/>
    <w:rsid w:val="6F090E5F"/>
    <w:rsid w:val="6F12415C"/>
    <w:rsid w:val="6F1A7D83"/>
    <w:rsid w:val="6F233488"/>
    <w:rsid w:val="6F2689A3"/>
    <w:rsid w:val="6F28FA0D"/>
    <w:rsid w:val="6F341CF3"/>
    <w:rsid w:val="6F34B763"/>
    <w:rsid w:val="6F35DC9D"/>
    <w:rsid w:val="6F3A6D76"/>
    <w:rsid w:val="6F3CF7DF"/>
    <w:rsid w:val="6F420921"/>
    <w:rsid w:val="6F4EE875"/>
    <w:rsid w:val="6F645C96"/>
    <w:rsid w:val="6F670A78"/>
    <w:rsid w:val="6F73EF4B"/>
    <w:rsid w:val="6F77D300"/>
    <w:rsid w:val="6F7D3255"/>
    <w:rsid w:val="6F85AED4"/>
    <w:rsid w:val="6F91004D"/>
    <w:rsid w:val="6FA9FAC3"/>
    <w:rsid w:val="6FAB2034"/>
    <w:rsid w:val="6FB24699"/>
    <w:rsid w:val="6FBA576F"/>
    <w:rsid w:val="6FC04BF9"/>
    <w:rsid w:val="6FC0EEC1"/>
    <w:rsid w:val="6FC5616D"/>
    <w:rsid w:val="6FC647E4"/>
    <w:rsid w:val="6FD05602"/>
    <w:rsid w:val="6FE6FC3F"/>
    <w:rsid w:val="6FF730AC"/>
    <w:rsid w:val="6FF82310"/>
    <w:rsid w:val="6FFBE525"/>
    <w:rsid w:val="70103EDC"/>
    <w:rsid w:val="70148A46"/>
    <w:rsid w:val="7015D4C7"/>
    <w:rsid w:val="70191128"/>
    <w:rsid w:val="7023B54D"/>
    <w:rsid w:val="70254D85"/>
    <w:rsid w:val="702A2CA0"/>
    <w:rsid w:val="702C59A3"/>
    <w:rsid w:val="7030823C"/>
    <w:rsid w:val="70391AA2"/>
    <w:rsid w:val="703BF60B"/>
    <w:rsid w:val="703FC21C"/>
    <w:rsid w:val="70497D85"/>
    <w:rsid w:val="704BA127"/>
    <w:rsid w:val="7051D82F"/>
    <w:rsid w:val="705C7362"/>
    <w:rsid w:val="7060D7AB"/>
    <w:rsid w:val="7061ADBA"/>
    <w:rsid w:val="706F7A26"/>
    <w:rsid w:val="707500B8"/>
    <w:rsid w:val="70769E34"/>
    <w:rsid w:val="70801869"/>
    <w:rsid w:val="70853984"/>
    <w:rsid w:val="7098AEF5"/>
    <w:rsid w:val="709A13AB"/>
    <w:rsid w:val="70B08908"/>
    <w:rsid w:val="70B472CB"/>
    <w:rsid w:val="70B65A8E"/>
    <w:rsid w:val="70BDAFEB"/>
    <w:rsid w:val="70C1570C"/>
    <w:rsid w:val="70CB5F75"/>
    <w:rsid w:val="70CB60E8"/>
    <w:rsid w:val="70D00C69"/>
    <w:rsid w:val="70D70899"/>
    <w:rsid w:val="70E0A985"/>
    <w:rsid w:val="70E0B162"/>
    <w:rsid w:val="70E5459A"/>
    <w:rsid w:val="70E924BF"/>
    <w:rsid w:val="70EE0C58"/>
    <w:rsid w:val="70EE6E9C"/>
    <w:rsid w:val="70F24F5F"/>
    <w:rsid w:val="710EA73D"/>
    <w:rsid w:val="711F752F"/>
    <w:rsid w:val="712364A5"/>
    <w:rsid w:val="712D420A"/>
    <w:rsid w:val="71327E01"/>
    <w:rsid w:val="7135260D"/>
    <w:rsid w:val="713760CF"/>
    <w:rsid w:val="713A7177"/>
    <w:rsid w:val="71406BE4"/>
    <w:rsid w:val="7141277C"/>
    <w:rsid w:val="7142F16C"/>
    <w:rsid w:val="7144A209"/>
    <w:rsid w:val="715980BD"/>
    <w:rsid w:val="715AE2E7"/>
    <w:rsid w:val="715C0991"/>
    <w:rsid w:val="715C98E9"/>
    <w:rsid w:val="7161A2A8"/>
    <w:rsid w:val="71648C13"/>
    <w:rsid w:val="716AAC8C"/>
    <w:rsid w:val="716FCA60"/>
    <w:rsid w:val="71701B88"/>
    <w:rsid w:val="717CCA6D"/>
    <w:rsid w:val="71836461"/>
    <w:rsid w:val="7195580B"/>
    <w:rsid w:val="719B2226"/>
    <w:rsid w:val="719EF1E9"/>
    <w:rsid w:val="719EFEA2"/>
    <w:rsid w:val="719F4635"/>
    <w:rsid w:val="71A6C389"/>
    <w:rsid w:val="71ABCEE2"/>
    <w:rsid w:val="71B006E0"/>
    <w:rsid w:val="71BED96E"/>
    <w:rsid w:val="71D308D8"/>
    <w:rsid w:val="71DBC5F6"/>
    <w:rsid w:val="71DC6907"/>
    <w:rsid w:val="71DE8D9D"/>
    <w:rsid w:val="71DF55E0"/>
    <w:rsid w:val="71E114BE"/>
    <w:rsid w:val="71EA6FA9"/>
    <w:rsid w:val="71EDFF44"/>
    <w:rsid w:val="71F581D8"/>
    <w:rsid w:val="71F9162C"/>
    <w:rsid w:val="71FC32A8"/>
    <w:rsid w:val="7208B333"/>
    <w:rsid w:val="720915F7"/>
    <w:rsid w:val="720B62B2"/>
    <w:rsid w:val="720B636C"/>
    <w:rsid w:val="720F364F"/>
    <w:rsid w:val="72107226"/>
    <w:rsid w:val="7210BF0B"/>
    <w:rsid w:val="7212CA64"/>
    <w:rsid w:val="7213BA37"/>
    <w:rsid w:val="721B395C"/>
    <w:rsid w:val="722A2009"/>
    <w:rsid w:val="722B832A"/>
    <w:rsid w:val="723090FF"/>
    <w:rsid w:val="72350091"/>
    <w:rsid w:val="7241BEA1"/>
    <w:rsid w:val="7247512E"/>
    <w:rsid w:val="7247BBBE"/>
    <w:rsid w:val="72558FB0"/>
    <w:rsid w:val="72643F4B"/>
    <w:rsid w:val="72696DFF"/>
    <w:rsid w:val="726984E6"/>
    <w:rsid w:val="726A1A8C"/>
    <w:rsid w:val="726CD54F"/>
    <w:rsid w:val="726DE762"/>
    <w:rsid w:val="727481FC"/>
    <w:rsid w:val="727DA14E"/>
    <w:rsid w:val="72822FAB"/>
    <w:rsid w:val="7284B748"/>
    <w:rsid w:val="728DE54D"/>
    <w:rsid w:val="72903685"/>
    <w:rsid w:val="729705AE"/>
    <w:rsid w:val="729C0FD3"/>
    <w:rsid w:val="729C4E7C"/>
    <w:rsid w:val="72A1DF69"/>
    <w:rsid w:val="72A520AE"/>
    <w:rsid w:val="72AF07E2"/>
    <w:rsid w:val="72B6AFD2"/>
    <w:rsid w:val="72B8B5BC"/>
    <w:rsid w:val="72C6CF2B"/>
    <w:rsid w:val="72C9616D"/>
    <w:rsid w:val="72CCC11E"/>
    <w:rsid w:val="72D08874"/>
    <w:rsid w:val="72D30A69"/>
    <w:rsid w:val="72D65DDB"/>
    <w:rsid w:val="72D84393"/>
    <w:rsid w:val="72DC4EDF"/>
    <w:rsid w:val="72E0F007"/>
    <w:rsid w:val="72E1214C"/>
    <w:rsid w:val="72E30467"/>
    <w:rsid w:val="72EFE4FB"/>
    <w:rsid w:val="72F343BE"/>
    <w:rsid w:val="72F67852"/>
    <w:rsid w:val="72FFB3D7"/>
    <w:rsid w:val="730746D2"/>
    <w:rsid w:val="730D2D2A"/>
    <w:rsid w:val="7311D9E2"/>
    <w:rsid w:val="7314C7CF"/>
    <w:rsid w:val="73170235"/>
    <w:rsid w:val="731C8E0C"/>
    <w:rsid w:val="731D7DD9"/>
    <w:rsid w:val="7330C25D"/>
    <w:rsid w:val="73381A52"/>
    <w:rsid w:val="73415C94"/>
    <w:rsid w:val="734B4A8E"/>
    <w:rsid w:val="734CD950"/>
    <w:rsid w:val="7350E24F"/>
    <w:rsid w:val="7352595A"/>
    <w:rsid w:val="735B9E97"/>
    <w:rsid w:val="735F42EF"/>
    <w:rsid w:val="7364DFAD"/>
    <w:rsid w:val="73650DE5"/>
    <w:rsid w:val="7365C0B8"/>
    <w:rsid w:val="73677614"/>
    <w:rsid w:val="736805ED"/>
    <w:rsid w:val="737E8E9D"/>
    <w:rsid w:val="7384DA64"/>
    <w:rsid w:val="73851C55"/>
    <w:rsid w:val="73924854"/>
    <w:rsid w:val="739B1D9F"/>
    <w:rsid w:val="73A1F3DF"/>
    <w:rsid w:val="73A9AC5B"/>
    <w:rsid w:val="73AAAFC2"/>
    <w:rsid w:val="73B3ED3A"/>
    <w:rsid w:val="73BF1245"/>
    <w:rsid w:val="73C3126D"/>
    <w:rsid w:val="73C3AB16"/>
    <w:rsid w:val="73C97C72"/>
    <w:rsid w:val="73CD0FC4"/>
    <w:rsid w:val="73D890B6"/>
    <w:rsid w:val="73D9B107"/>
    <w:rsid w:val="73E75510"/>
    <w:rsid w:val="74089470"/>
    <w:rsid w:val="740B22E4"/>
    <w:rsid w:val="740C704E"/>
    <w:rsid w:val="7412973E"/>
    <w:rsid w:val="7414A37F"/>
    <w:rsid w:val="7418F9A4"/>
    <w:rsid w:val="74218719"/>
    <w:rsid w:val="74221C6F"/>
    <w:rsid w:val="7426C69D"/>
    <w:rsid w:val="742E12F5"/>
    <w:rsid w:val="743132E4"/>
    <w:rsid w:val="7434176A"/>
    <w:rsid w:val="7448A41E"/>
    <w:rsid w:val="7457F078"/>
    <w:rsid w:val="745DE27D"/>
    <w:rsid w:val="74631AE7"/>
    <w:rsid w:val="7480B22E"/>
    <w:rsid w:val="749154AB"/>
    <w:rsid w:val="749580DB"/>
    <w:rsid w:val="749AF526"/>
    <w:rsid w:val="74A4DDCE"/>
    <w:rsid w:val="74A527A5"/>
    <w:rsid w:val="74B0DC5A"/>
    <w:rsid w:val="74B1C6EA"/>
    <w:rsid w:val="74C1CA3F"/>
    <w:rsid w:val="74C607F6"/>
    <w:rsid w:val="74D01D24"/>
    <w:rsid w:val="74D6F7D1"/>
    <w:rsid w:val="74D7A0B8"/>
    <w:rsid w:val="74DAA831"/>
    <w:rsid w:val="74E1A503"/>
    <w:rsid w:val="74E2E1D2"/>
    <w:rsid w:val="74E34C60"/>
    <w:rsid w:val="74E73F86"/>
    <w:rsid w:val="74E744EB"/>
    <w:rsid w:val="74EF34C3"/>
    <w:rsid w:val="74EF8A9D"/>
    <w:rsid w:val="74F70A15"/>
    <w:rsid w:val="75002688"/>
    <w:rsid w:val="750062B7"/>
    <w:rsid w:val="750327FF"/>
    <w:rsid w:val="7512E1FB"/>
    <w:rsid w:val="75140D98"/>
    <w:rsid w:val="751B25A0"/>
    <w:rsid w:val="751CEADF"/>
    <w:rsid w:val="75248A8B"/>
    <w:rsid w:val="752AEC36"/>
    <w:rsid w:val="752BC5A6"/>
    <w:rsid w:val="752E8495"/>
    <w:rsid w:val="75349E98"/>
    <w:rsid w:val="7539647C"/>
    <w:rsid w:val="753B53BA"/>
    <w:rsid w:val="753C1C80"/>
    <w:rsid w:val="7540B4EE"/>
    <w:rsid w:val="75422349"/>
    <w:rsid w:val="7546447A"/>
    <w:rsid w:val="75474D4D"/>
    <w:rsid w:val="75486DAF"/>
    <w:rsid w:val="7558B9B6"/>
    <w:rsid w:val="755DC7FF"/>
    <w:rsid w:val="7571AD03"/>
    <w:rsid w:val="75889C2D"/>
    <w:rsid w:val="758C77B7"/>
    <w:rsid w:val="758CE5E5"/>
    <w:rsid w:val="75957E9B"/>
    <w:rsid w:val="7598BEF3"/>
    <w:rsid w:val="759C4E79"/>
    <w:rsid w:val="75A1B8E8"/>
    <w:rsid w:val="75B4A396"/>
    <w:rsid w:val="75B4F5E5"/>
    <w:rsid w:val="75C86E27"/>
    <w:rsid w:val="75D917E5"/>
    <w:rsid w:val="75DF0EE4"/>
    <w:rsid w:val="75E0A0FE"/>
    <w:rsid w:val="75F62CB2"/>
    <w:rsid w:val="7603F4E9"/>
    <w:rsid w:val="761452BC"/>
    <w:rsid w:val="76168F72"/>
    <w:rsid w:val="761CB2B9"/>
    <w:rsid w:val="7623A59F"/>
    <w:rsid w:val="762C977F"/>
    <w:rsid w:val="762D1D9B"/>
    <w:rsid w:val="763155CC"/>
    <w:rsid w:val="7632A24C"/>
    <w:rsid w:val="76350AB8"/>
    <w:rsid w:val="7641F0EE"/>
    <w:rsid w:val="764835CD"/>
    <w:rsid w:val="764A39FE"/>
    <w:rsid w:val="76541249"/>
    <w:rsid w:val="7655F52C"/>
    <w:rsid w:val="76622B1E"/>
    <w:rsid w:val="766594C8"/>
    <w:rsid w:val="7668A566"/>
    <w:rsid w:val="7669C02A"/>
    <w:rsid w:val="766B6C5F"/>
    <w:rsid w:val="7670F88E"/>
    <w:rsid w:val="76734FCF"/>
    <w:rsid w:val="7675882C"/>
    <w:rsid w:val="767F7F54"/>
    <w:rsid w:val="76A02960"/>
    <w:rsid w:val="76A16ED8"/>
    <w:rsid w:val="76A46A13"/>
    <w:rsid w:val="76A5963F"/>
    <w:rsid w:val="76ADE07F"/>
    <w:rsid w:val="76AECB4F"/>
    <w:rsid w:val="76BCA789"/>
    <w:rsid w:val="76C3B0D7"/>
    <w:rsid w:val="76C82C1F"/>
    <w:rsid w:val="76D23A60"/>
    <w:rsid w:val="76D62A13"/>
    <w:rsid w:val="76D6A4EE"/>
    <w:rsid w:val="76DED220"/>
    <w:rsid w:val="76E9F115"/>
    <w:rsid w:val="76F1B8EA"/>
    <w:rsid w:val="76F3855B"/>
    <w:rsid w:val="770643D4"/>
    <w:rsid w:val="771347E3"/>
    <w:rsid w:val="771650BC"/>
    <w:rsid w:val="77190D97"/>
    <w:rsid w:val="77215918"/>
    <w:rsid w:val="772A38E6"/>
    <w:rsid w:val="7730093B"/>
    <w:rsid w:val="77333DD9"/>
    <w:rsid w:val="77373BB3"/>
    <w:rsid w:val="7739C79E"/>
    <w:rsid w:val="77506AEE"/>
    <w:rsid w:val="775714BD"/>
    <w:rsid w:val="7763E7C4"/>
    <w:rsid w:val="77656CF4"/>
    <w:rsid w:val="7766EAD1"/>
    <w:rsid w:val="776A0307"/>
    <w:rsid w:val="776B5605"/>
    <w:rsid w:val="776CAF40"/>
    <w:rsid w:val="77702503"/>
    <w:rsid w:val="777990B6"/>
    <w:rsid w:val="777C9517"/>
    <w:rsid w:val="777CA73D"/>
    <w:rsid w:val="778C6B0D"/>
    <w:rsid w:val="77930E42"/>
    <w:rsid w:val="7794CB25"/>
    <w:rsid w:val="779D872B"/>
    <w:rsid w:val="779E3C6A"/>
    <w:rsid w:val="779ECD9B"/>
    <w:rsid w:val="779FAABC"/>
    <w:rsid w:val="77B50606"/>
    <w:rsid w:val="77B6CA98"/>
    <w:rsid w:val="77C09ECA"/>
    <w:rsid w:val="77C38F19"/>
    <w:rsid w:val="77C8F7B4"/>
    <w:rsid w:val="77D72DD6"/>
    <w:rsid w:val="77D9ADF4"/>
    <w:rsid w:val="77DCC270"/>
    <w:rsid w:val="77E576A5"/>
    <w:rsid w:val="77F8F041"/>
    <w:rsid w:val="78016DC8"/>
    <w:rsid w:val="7803021B"/>
    <w:rsid w:val="7808A425"/>
    <w:rsid w:val="781B17D1"/>
    <w:rsid w:val="781E1EAD"/>
    <w:rsid w:val="78202129"/>
    <w:rsid w:val="782BB7F2"/>
    <w:rsid w:val="7831192B"/>
    <w:rsid w:val="7831CB58"/>
    <w:rsid w:val="783212B2"/>
    <w:rsid w:val="78347CD8"/>
    <w:rsid w:val="783CA22B"/>
    <w:rsid w:val="7856036B"/>
    <w:rsid w:val="785D84B9"/>
    <w:rsid w:val="7863D3C6"/>
    <w:rsid w:val="7869B2E2"/>
    <w:rsid w:val="786C55D0"/>
    <w:rsid w:val="786D2288"/>
    <w:rsid w:val="786D7861"/>
    <w:rsid w:val="786E82D9"/>
    <w:rsid w:val="78703C32"/>
    <w:rsid w:val="7874DE06"/>
    <w:rsid w:val="787F53EC"/>
    <w:rsid w:val="78832AF0"/>
    <w:rsid w:val="788FDAB8"/>
    <w:rsid w:val="788FDCED"/>
    <w:rsid w:val="78903A9F"/>
    <w:rsid w:val="78A626BB"/>
    <w:rsid w:val="78B48E18"/>
    <w:rsid w:val="78B50BD6"/>
    <w:rsid w:val="78B79FB3"/>
    <w:rsid w:val="78C30A94"/>
    <w:rsid w:val="78CF4B63"/>
    <w:rsid w:val="78D43F40"/>
    <w:rsid w:val="78D7E1A7"/>
    <w:rsid w:val="78D8AAF5"/>
    <w:rsid w:val="78E05299"/>
    <w:rsid w:val="78E249F7"/>
    <w:rsid w:val="78E55822"/>
    <w:rsid w:val="78F1BD6C"/>
    <w:rsid w:val="78F74D13"/>
    <w:rsid w:val="79049D03"/>
    <w:rsid w:val="790DEB65"/>
    <w:rsid w:val="790F6A57"/>
    <w:rsid w:val="7921A7E2"/>
    <w:rsid w:val="79239780"/>
    <w:rsid w:val="7927440B"/>
    <w:rsid w:val="7928C653"/>
    <w:rsid w:val="792BD916"/>
    <w:rsid w:val="792ED64F"/>
    <w:rsid w:val="792F84CA"/>
    <w:rsid w:val="79338663"/>
    <w:rsid w:val="7938C8A7"/>
    <w:rsid w:val="794C22C5"/>
    <w:rsid w:val="794F4040"/>
    <w:rsid w:val="7950755D"/>
    <w:rsid w:val="795796DB"/>
    <w:rsid w:val="795B3433"/>
    <w:rsid w:val="795C4C70"/>
    <w:rsid w:val="795F9093"/>
    <w:rsid w:val="79626DF2"/>
    <w:rsid w:val="79730E9C"/>
    <w:rsid w:val="798113E3"/>
    <w:rsid w:val="7988A849"/>
    <w:rsid w:val="798BE064"/>
    <w:rsid w:val="798D9A15"/>
    <w:rsid w:val="798DC8D2"/>
    <w:rsid w:val="798F8F19"/>
    <w:rsid w:val="79938F0C"/>
    <w:rsid w:val="7993B91D"/>
    <w:rsid w:val="799D3DF1"/>
    <w:rsid w:val="79A1F2C6"/>
    <w:rsid w:val="79A574E0"/>
    <w:rsid w:val="79A58FEC"/>
    <w:rsid w:val="79AD4867"/>
    <w:rsid w:val="79B7F9AF"/>
    <w:rsid w:val="79BAFABE"/>
    <w:rsid w:val="79CD7C30"/>
    <w:rsid w:val="79D3389A"/>
    <w:rsid w:val="79D9F0FC"/>
    <w:rsid w:val="79DA2A0B"/>
    <w:rsid w:val="79DE9609"/>
    <w:rsid w:val="79E32B9D"/>
    <w:rsid w:val="79E37135"/>
    <w:rsid w:val="79E6146A"/>
    <w:rsid w:val="79F2CF67"/>
    <w:rsid w:val="79F7E46E"/>
    <w:rsid w:val="79FBB2CA"/>
    <w:rsid w:val="7A008373"/>
    <w:rsid w:val="7A0497AE"/>
    <w:rsid w:val="7A0AD077"/>
    <w:rsid w:val="7A10CFC6"/>
    <w:rsid w:val="7A11A416"/>
    <w:rsid w:val="7A132130"/>
    <w:rsid w:val="7A23C15B"/>
    <w:rsid w:val="7A2C709A"/>
    <w:rsid w:val="7A35D195"/>
    <w:rsid w:val="7A364718"/>
    <w:rsid w:val="7A372885"/>
    <w:rsid w:val="7A444242"/>
    <w:rsid w:val="7A4F2C80"/>
    <w:rsid w:val="7A51946F"/>
    <w:rsid w:val="7A52C4D0"/>
    <w:rsid w:val="7A567B51"/>
    <w:rsid w:val="7A5CD371"/>
    <w:rsid w:val="7A61B275"/>
    <w:rsid w:val="7A624E84"/>
    <w:rsid w:val="7A634AB3"/>
    <w:rsid w:val="7A65149F"/>
    <w:rsid w:val="7A6A0E85"/>
    <w:rsid w:val="7A6B25D2"/>
    <w:rsid w:val="7A6D7A4E"/>
    <w:rsid w:val="7A700B5C"/>
    <w:rsid w:val="7A76413D"/>
    <w:rsid w:val="7A83DD8D"/>
    <w:rsid w:val="7A841BE5"/>
    <w:rsid w:val="7A88B892"/>
    <w:rsid w:val="7A910573"/>
    <w:rsid w:val="7A9ACEA4"/>
    <w:rsid w:val="7AA265D4"/>
    <w:rsid w:val="7AA54A22"/>
    <w:rsid w:val="7AAE4A8B"/>
    <w:rsid w:val="7AB4383C"/>
    <w:rsid w:val="7AB49B12"/>
    <w:rsid w:val="7AB535F2"/>
    <w:rsid w:val="7ABF5966"/>
    <w:rsid w:val="7AC03100"/>
    <w:rsid w:val="7ACCF530"/>
    <w:rsid w:val="7ACF9DB8"/>
    <w:rsid w:val="7AD9BA00"/>
    <w:rsid w:val="7AE0E4C8"/>
    <w:rsid w:val="7AE66B1D"/>
    <w:rsid w:val="7AEB2A6D"/>
    <w:rsid w:val="7B024DE2"/>
    <w:rsid w:val="7B051555"/>
    <w:rsid w:val="7B090F7C"/>
    <w:rsid w:val="7B25C5D8"/>
    <w:rsid w:val="7B2B0257"/>
    <w:rsid w:val="7B2B20DD"/>
    <w:rsid w:val="7B4B451D"/>
    <w:rsid w:val="7B502E33"/>
    <w:rsid w:val="7B522B22"/>
    <w:rsid w:val="7B574A9C"/>
    <w:rsid w:val="7B58F2AB"/>
    <w:rsid w:val="7B59588C"/>
    <w:rsid w:val="7B618A3C"/>
    <w:rsid w:val="7B638A60"/>
    <w:rsid w:val="7B641F42"/>
    <w:rsid w:val="7B6A745A"/>
    <w:rsid w:val="7B713D06"/>
    <w:rsid w:val="7B72BF32"/>
    <w:rsid w:val="7B7BE50E"/>
    <w:rsid w:val="7B812234"/>
    <w:rsid w:val="7B81B0EC"/>
    <w:rsid w:val="7B968C85"/>
    <w:rsid w:val="7B98B1D4"/>
    <w:rsid w:val="7B9B20F9"/>
    <w:rsid w:val="7BA3C5AF"/>
    <w:rsid w:val="7BA58695"/>
    <w:rsid w:val="7BB13A48"/>
    <w:rsid w:val="7BB26C71"/>
    <w:rsid w:val="7BBD7694"/>
    <w:rsid w:val="7BC46640"/>
    <w:rsid w:val="7BCD0364"/>
    <w:rsid w:val="7BCE442E"/>
    <w:rsid w:val="7BD4983D"/>
    <w:rsid w:val="7BD4BAF4"/>
    <w:rsid w:val="7BD62F09"/>
    <w:rsid w:val="7BD701D3"/>
    <w:rsid w:val="7BE0A7B4"/>
    <w:rsid w:val="7BE61AAC"/>
    <w:rsid w:val="7BE6CAEA"/>
    <w:rsid w:val="7BE98441"/>
    <w:rsid w:val="7BF02850"/>
    <w:rsid w:val="7BF7B45D"/>
    <w:rsid w:val="7BF84542"/>
    <w:rsid w:val="7BFA2F49"/>
    <w:rsid w:val="7C06E185"/>
    <w:rsid w:val="7C0A3162"/>
    <w:rsid w:val="7C1B3E6E"/>
    <w:rsid w:val="7C1C3694"/>
    <w:rsid w:val="7C203850"/>
    <w:rsid w:val="7C216702"/>
    <w:rsid w:val="7C2E09D0"/>
    <w:rsid w:val="7C32FDB8"/>
    <w:rsid w:val="7C37FE83"/>
    <w:rsid w:val="7C4186E0"/>
    <w:rsid w:val="7C4B973C"/>
    <w:rsid w:val="7C4CA4FF"/>
    <w:rsid w:val="7C51B869"/>
    <w:rsid w:val="7C58C1BD"/>
    <w:rsid w:val="7C5B9761"/>
    <w:rsid w:val="7C6AF2FE"/>
    <w:rsid w:val="7C6EF804"/>
    <w:rsid w:val="7C72D8E9"/>
    <w:rsid w:val="7C72E5EC"/>
    <w:rsid w:val="7C7CEA75"/>
    <w:rsid w:val="7C7ECB30"/>
    <w:rsid w:val="7C833A6C"/>
    <w:rsid w:val="7C8C3F51"/>
    <w:rsid w:val="7CAC1A28"/>
    <w:rsid w:val="7CC759E6"/>
    <w:rsid w:val="7CC8CFC5"/>
    <w:rsid w:val="7CC99BBF"/>
    <w:rsid w:val="7CCC6497"/>
    <w:rsid w:val="7CCD1922"/>
    <w:rsid w:val="7CCFAD9F"/>
    <w:rsid w:val="7CD14FF1"/>
    <w:rsid w:val="7CDBC834"/>
    <w:rsid w:val="7CE19111"/>
    <w:rsid w:val="7CE194E8"/>
    <w:rsid w:val="7CE29B9C"/>
    <w:rsid w:val="7CE5CCCA"/>
    <w:rsid w:val="7CECEBFC"/>
    <w:rsid w:val="7CEE4FE8"/>
    <w:rsid w:val="7CF17BC3"/>
    <w:rsid w:val="7CF723C3"/>
    <w:rsid w:val="7CFDB6B3"/>
    <w:rsid w:val="7D02558F"/>
    <w:rsid w:val="7D04A9AB"/>
    <w:rsid w:val="7D091400"/>
    <w:rsid w:val="7D0D1996"/>
    <w:rsid w:val="7D15D54F"/>
    <w:rsid w:val="7D1A8DA3"/>
    <w:rsid w:val="7D21C944"/>
    <w:rsid w:val="7D21FCA1"/>
    <w:rsid w:val="7D22CD56"/>
    <w:rsid w:val="7D28A80A"/>
    <w:rsid w:val="7D2C1310"/>
    <w:rsid w:val="7D36EF4D"/>
    <w:rsid w:val="7D3C1F0C"/>
    <w:rsid w:val="7D3C36EE"/>
    <w:rsid w:val="7D3D90B8"/>
    <w:rsid w:val="7D3E6B02"/>
    <w:rsid w:val="7D43B491"/>
    <w:rsid w:val="7D472AB6"/>
    <w:rsid w:val="7D47CD40"/>
    <w:rsid w:val="7D4C2696"/>
    <w:rsid w:val="7D4D9E68"/>
    <w:rsid w:val="7D4E23F6"/>
    <w:rsid w:val="7D50BF61"/>
    <w:rsid w:val="7D55C797"/>
    <w:rsid w:val="7D592CFC"/>
    <w:rsid w:val="7D61D596"/>
    <w:rsid w:val="7D6ECC38"/>
    <w:rsid w:val="7D710C9C"/>
    <w:rsid w:val="7D73AA69"/>
    <w:rsid w:val="7D755B16"/>
    <w:rsid w:val="7D7874EF"/>
    <w:rsid w:val="7D78D991"/>
    <w:rsid w:val="7D7C84E3"/>
    <w:rsid w:val="7D7EB61B"/>
    <w:rsid w:val="7D83C37A"/>
    <w:rsid w:val="7D8509BC"/>
    <w:rsid w:val="7D94B99A"/>
    <w:rsid w:val="7D960AC9"/>
    <w:rsid w:val="7D9799E2"/>
    <w:rsid w:val="7D9900FD"/>
    <w:rsid w:val="7D999DF3"/>
    <w:rsid w:val="7D9BB785"/>
    <w:rsid w:val="7DA39507"/>
    <w:rsid w:val="7DA752AC"/>
    <w:rsid w:val="7DAC842D"/>
    <w:rsid w:val="7DB01A7F"/>
    <w:rsid w:val="7DBC4A60"/>
    <w:rsid w:val="7DBC56F6"/>
    <w:rsid w:val="7DC21AA2"/>
    <w:rsid w:val="7DC49007"/>
    <w:rsid w:val="7DC8CABE"/>
    <w:rsid w:val="7DD22BD6"/>
    <w:rsid w:val="7DD69788"/>
    <w:rsid w:val="7DD79E7E"/>
    <w:rsid w:val="7DE01015"/>
    <w:rsid w:val="7DE07F10"/>
    <w:rsid w:val="7DE4FAB6"/>
    <w:rsid w:val="7DEA864B"/>
    <w:rsid w:val="7DEB34CB"/>
    <w:rsid w:val="7DEB5F48"/>
    <w:rsid w:val="7DEFBD9B"/>
    <w:rsid w:val="7DEFCCAE"/>
    <w:rsid w:val="7DF19331"/>
    <w:rsid w:val="7DF6C7B1"/>
    <w:rsid w:val="7DFDB1C2"/>
    <w:rsid w:val="7DFE683F"/>
    <w:rsid w:val="7E02569A"/>
    <w:rsid w:val="7E0A801A"/>
    <w:rsid w:val="7E0A9EDB"/>
    <w:rsid w:val="7E0C0765"/>
    <w:rsid w:val="7E12244B"/>
    <w:rsid w:val="7E13C1F9"/>
    <w:rsid w:val="7E1AEF51"/>
    <w:rsid w:val="7E22A880"/>
    <w:rsid w:val="7E230683"/>
    <w:rsid w:val="7E274F1C"/>
    <w:rsid w:val="7E396633"/>
    <w:rsid w:val="7E4A2E9E"/>
    <w:rsid w:val="7E4AA1DA"/>
    <w:rsid w:val="7E4BCF55"/>
    <w:rsid w:val="7E505321"/>
    <w:rsid w:val="7E63F892"/>
    <w:rsid w:val="7E66260F"/>
    <w:rsid w:val="7E67460C"/>
    <w:rsid w:val="7E67E6ED"/>
    <w:rsid w:val="7E67EBB5"/>
    <w:rsid w:val="7E681071"/>
    <w:rsid w:val="7E693936"/>
    <w:rsid w:val="7E6EA21A"/>
    <w:rsid w:val="7E6F3470"/>
    <w:rsid w:val="7E73F4AB"/>
    <w:rsid w:val="7E7B91A2"/>
    <w:rsid w:val="7E8211EE"/>
    <w:rsid w:val="7E83B3F8"/>
    <w:rsid w:val="7E8AE094"/>
    <w:rsid w:val="7E92B492"/>
    <w:rsid w:val="7E9DDC2B"/>
    <w:rsid w:val="7EA13E88"/>
    <w:rsid w:val="7EA369EE"/>
    <w:rsid w:val="7EAE2241"/>
    <w:rsid w:val="7EAEF2DB"/>
    <w:rsid w:val="7EBA7A79"/>
    <w:rsid w:val="7EBE3AD4"/>
    <w:rsid w:val="7EC582AE"/>
    <w:rsid w:val="7EC892A8"/>
    <w:rsid w:val="7EC8C14C"/>
    <w:rsid w:val="7ECA45DB"/>
    <w:rsid w:val="7ED198D2"/>
    <w:rsid w:val="7ED47457"/>
    <w:rsid w:val="7EE4802C"/>
    <w:rsid w:val="7EE5ED8B"/>
    <w:rsid w:val="7EE6848D"/>
    <w:rsid w:val="7EE80FB5"/>
    <w:rsid w:val="7EEBEA4F"/>
    <w:rsid w:val="7EF2EEAE"/>
    <w:rsid w:val="7EFC1E7B"/>
    <w:rsid w:val="7EFD8FA6"/>
    <w:rsid w:val="7F020B50"/>
    <w:rsid w:val="7F02983C"/>
    <w:rsid w:val="7F10544C"/>
    <w:rsid w:val="7F13984C"/>
    <w:rsid w:val="7F175897"/>
    <w:rsid w:val="7F2BA104"/>
    <w:rsid w:val="7F2EBCE5"/>
    <w:rsid w:val="7F2F10A4"/>
    <w:rsid w:val="7F34794B"/>
    <w:rsid w:val="7F355011"/>
    <w:rsid w:val="7F385131"/>
    <w:rsid w:val="7F3BC9DC"/>
    <w:rsid w:val="7F41DB6C"/>
    <w:rsid w:val="7F422575"/>
    <w:rsid w:val="7F48C05F"/>
    <w:rsid w:val="7F49A7F0"/>
    <w:rsid w:val="7F5E76E4"/>
    <w:rsid w:val="7F63EDCC"/>
    <w:rsid w:val="7F6CE5B1"/>
    <w:rsid w:val="7F6ED3CC"/>
    <w:rsid w:val="7F7B4A13"/>
    <w:rsid w:val="7F804224"/>
    <w:rsid w:val="7F8587F8"/>
    <w:rsid w:val="7F89CAF9"/>
    <w:rsid w:val="7F8F818D"/>
    <w:rsid w:val="7FBB16C5"/>
    <w:rsid w:val="7FBF76E6"/>
    <w:rsid w:val="7FC89226"/>
    <w:rsid w:val="7FE47E1A"/>
    <w:rsid w:val="7FE7F631"/>
    <w:rsid w:val="7FF4C13C"/>
    <w:rsid w:val="7FF6CAE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01E45"/>
  <w15:docId w15:val="{F8FDDB09-F238-43B3-B900-C18FC46B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60" w:after="160" w:line="280" w:lineRule="atLeast"/>
      </w:pPr>
    </w:pPrDefault>
  </w:docDefaults>
  <w:latentStyles w:defLockedState="0" w:defUIPriority="1"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uiPriority="99" w:unhideWhenUsed="1"/>
    <w:lsdException w:name="index 2"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lsdException w:name="toc 5" w:semiHidden="1"/>
    <w:lsdException w:name="toc 6" w:semiHidden="1"/>
    <w:lsdException w:name="toc 7" w:semiHidden="1" w:unhideWhenUsed="1"/>
    <w:lsdException w:name="toc 8" w:semiHidden="1" w:unhideWhenUsed="1"/>
    <w:lsdException w:name="toc 9" w:semiHidden="1" w:unhideWhenUsed="1"/>
    <w:lsdException w:name="Normal Indent" w:semiHidden="1" w:uiPriority="0" w:qFormat="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uiPriority="99" w:unhideWhenUsed="1"/>
    <w:lsdException w:name="caption" w:uiPriority="35" w:unhideWhenUsed="1"/>
    <w:lsdException w:name="table of figures" w:semiHidden="1" w:uiPriority="2"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49" w:unhideWhenUsed="1"/>
    <w:lsdException w:name="endnote reference" w:semiHidden="1" w:unhideWhenUsed="1"/>
    <w:lsdException w:name="endnote text" w:semiHidden="1" w:unhideWhenUsed="1"/>
    <w:lsdException w:name="table of authorities" w:semiHidden="1" w:uiPriority="2"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qFormat="1"/>
    <w:lsdException w:name="Intense Reference" w:semiHidden="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rsid w:val="0059267A"/>
  </w:style>
  <w:style w:type="paragraph" w:styleId="Heading1">
    <w:name w:val="heading 1"/>
    <w:basedOn w:val="Normal"/>
    <w:next w:val="SCVbody"/>
    <w:link w:val="Heading1Char"/>
    <w:qFormat/>
    <w:rsid w:val="00B9059E"/>
    <w:pPr>
      <w:keepNext/>
      <w:keepLines/>
      <w:pageBreakBefore/>
      <w:suppressAutoHyphens/>
      <w:spacing w:before="0" w:after="320" w:line="240" w:lineRule="auto"/>
      <w:outlineLvl w:val="0"/>
    </w:pPr>
    <w:rPr>
      <w:rFonts w:asciiTheme="majorHAnsi" w:eastAsiaTheme="majorEastAsia" w:hAnsiTheme="majorHAnsi" w:cstheme="majorBidi"/>
      <w:b/>
      <w:bCs/>
      <w:color w:val="007586" w:themeColor="text2"/>
      <w:sz w:val="48"/>
      <w:szCs w:val="32"/>
    </w:rPr>
  </w:style>
  <w:style w:type="paragraph" w:styleId="Heading2">
    <w:name w:val="heading 2"/>
    <w:basedOn w:val="Normal"/>
    <w:next w:val="SCVbody"/>
    <w:link w:val="Heading2Char"/>
    <w:qFormat/>
    <w:rsid w:val="007249BD"/>
    <w:pPr>
      <w:keepNext/>
      <w:keepLines/>
      <w:spacing w:before="280" w:after="8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SCVbody"/>
    <w:link w:val="Heading3Char"/>
    <w:qFormat/>
    <w:rsid w:val="00E45C9C"/>
    <w:pPr>
      <w:keepNext/>
      <w:keepLines/>
      <w:spacing w:before="240" w:after="80" w:line="240" w:lineRule="auto"/>
      <w:outlineLvl w:val="2"/>
    </w:pPr>
    <w:rPr>
      <w:rFonts w:asciiTheme="majorHAnsi" w:eastAsiaTheme="majorEastAsia" w:hAnsiTheme="majorHAnsi" w:cstheme="majorBidi"/>
      <w:b/>
      <w:bCs/>
      <w:color w:val="007586" w:themeColor="text2"/>
      <w:sz w:val="24"/>
      <w:szCs w:val="22"/>
    </w:rPr>
  </w:style>
  <w:style w:type="paragraph" w:styleId="Heading4">
    <w:name w:val="heading 4"/>
    <w:basedOn w:val="Normal"/>
    <w:next w:val="SCVbody"/>
    <w:link w:val="Heading4Char"/>
    <w:qFormat/>
    <w:rsid w:val="00BD6B09"/>
    <w:pPr>
      <w:keepNext/>
      <w:keepLines/>
      <w:spacing w:before="320" w:after="70" w:line="240" w:lineRule="auto"/>
      <w:outlineLvl w:val="3"/>
    </w:pPr>
    <w:rPr>
      <w:rFonts w:asciiTheme="majorHAnsi" w:eastAsiaTheme="majorEastAsia" w:hAnsiTheme="majorHAnsi" w:cstheme="majorBidi"/>
      <w:b/>
      <w:bCs/>
      <w:iCs/>
      <w:color w:val="000000" w:themeColor="text1"/>
      <w:sz w:val="24"/>
    </w:rPr>
  </w:style>
  <w:style w:type="paragraph" w:styleId="Heading5">
    <w:name w:val="heading 5"/>
    <w:basedOn w:val="Normal"/>
    <w:next w:val="SCVbody"/>
    <w:link w:val="Heading5Char"/>
    <w:uiPriority w:val="1"/>
    <w:semiHidden/>
    <w:qFormat/>
    <w:rsid w:val="00E45C9C"/>
    <w:pPr>
      <w:keepNext/>
      <w:keepLines/>
      <w:spacing w:before="280" w:after="80" w:line="264" w:lineRule="auto"/>
      <w:outlineLvl w:val="4"/>
    </w:pPr>
    <w:rPr>
      <w:rFonts w:asciiTheme="majorHAnsi" w:eastAsiaTheme="majorEastAsia" w:hAnsiTheme="majorHAnsi" w:cstheme="majorBidi"/>
      <w:color w:val="141A1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rsid w:val="00E45C9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E45C9C"/>
    <w:pPr>
      <w:spacing w:before="0" w:after="0" w:line="240" w:lineRule="auto"/>
    </w:pPr>
    <w:rPr>
      <w:rFonts w:eastAsiaTheme="minorHAnsi"/>
      <w:sz w:val="22"/>
      <w:szCs w:val="22"/>
      <w:lang w:eastAsia="en-US"/>
    </w:rPr>
    <w:tblPr>
      <w:tblBorders>
        <w:top w:val="single" w:sz="2" w:space="0" w:color="80808B"/>
        <w:bottom w:val="single" w:sz="2" w:space="0" w:color="80808B"/>
        <w:insideH w:val="single" w:sz="2" w:space="0" w:color="80808B"/>
      </w:tblBorders>
    </w:tblPr>
    <w:tblStylePr w:type="firstRow">
      <w:tblPr/>
      <w:tcPr>
        <w:tcBorders>
          <w:top w:val="nil"/>
          <w:left w:val="nil"/>
          <w:bottom w:val="single" w:sz="24" w:space="0" w:color="CCCCD0"/>
          <w:right w:val="nil"/>
          <w:insideH w:val="nil"/>
          <w:insideV w:val="nil"/>
          <w:tl2br w:val="nil"/>
          <w:tr2bl w:val="nil"/>
        </w:tcBorders>
        <w:shd w:val="clear" w:color="auto" w:fill="EDF5F7" w:themeFill="background2"/>
      </w:tcPr>
    </w:tblStylePr>
  </w:style>
  <w:style w:type="table" w:styleId="LightList-Accent4">
    <w:name w:val="Light List Accent 4"/>
    <w:basedOn w:val="TableNormal"/>
    <w:uiPriority w:val="61"/>
    <w:semiHidden/>
    <w:rsid w:val="00E45C9C"/>
    <w:pPr>
      <w:spacing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pPr>
        <w:spacing w:before="0" w:after="0" w:line="240" w:lineRule="auto"/>
      </w:pPr>
      <w:rPr>
        <w:b/>
        <w:bCs/>
        <w:color w:val="FFFFFF" w:themeColor="background1"/>
      </w:rPr>
      <w:tblPr/>
      <w:tcPr>
        <w:shd w:val="clear" w:color="auto" w:fill="004C97" w:themeFill="accent4"/>
      </w:tcPr>
    </w:tblStylePr>
    <w:tblStylePr w:type="lastRow">
      <w:pPr>
        <w:spacing w:before="0" w:after="0" w:line="240" w:lineRule="auto"/>
      </w:pPr>
      <w:rPr>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tcBorders>
      </w:tcPr>
    </w:tblStylePr>
    <w:tblStylePr w:type="firstCol">
      <w:rPr>
        <w:b/>
        <w:bCs/>
      </w:rPr>
    </w:tblStylePr>
    <w:tblStylePr w:type="lastCol">
      <w:rPr>
        <w:b/>
        <w:bCs/>
      </w:r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style>
  <w:style w:type="table" w:styleId="LightList-Accent1">
    <w:name w:val="Light List Accent 1"/>
    <w:basedOn w:val="TableNormal"/>
    <w:uiPriority w:val="61"/>
    <w:semiHidden/>
    <w:rsid w:val="00E45C9C"/>
    <w:pPr>
      <w:spacing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pPr>
        <w:spacing w:before="0" w:after="0" w:line="240" w:lineRule="auto"/>
      </w:pPr>
      <w:rPr>
        <w:b/>
        <w:bCs/>
        <w:color w:val="FFFFFF" w:themeColor="background1"/>
      </w:rPr>
      <w:tblPr/>
      <w:tcPr>
        <w:shd w:val="clear" w:color="auto" w:fill="1B242A" w:themeFill="accent1"/>
      </w:tcPr>
    </w:tblStylePr>
    <w:tblStylePr w:type="lastRow">
      <w:pPr>
        <w:spacing w:before="0" w:after="0" w:line="240" w:lineRule="auto"/>
      </w:pPr>
      <w:rPr>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tcBorders>
      </w:tcPr>
    </w:tblStylePr>
    <w:tblStylePr w:type="firstCol">
      <w:rPr>
        <w:b/>
        <w:bCs/>
      </w:rPr>
    </w:tblStylePr>
    <w:tblStylePr w:type="lastCol">
      <w:rPr>
        <w:b/>
        <w:bCs/>
      </w:r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style>
  <w:style w:type="paragraph" w:styleId="TOC1">
    <w:name w:val="toc 1"/>
    <w:basedOn w:val="Normal"/>
    <w:next w:val="Normal"/>
    <w:uiPriority w:val="39"/>
    <w:rsid w:val="00636EDC"/>
    <w:pPr>
      <w:keepNext/>
      <w:keepLines/>
      <w:pBdr>
        <w:bottom w:val="single" w:sz="2" w:space="1" w:color="000016"/>
        <w:between w:val="single" w:sz="2" w:space="1" w:color="000000" w:themeColor="text1"/>
      </w:pBdr>
      <w:tabs>
        <w:tab w:val="right" w:pos="10206"/>
      </w:tabs>
      <w:spacing w:before="120" w:after="0"/>
      <w:ind w:right="57"/>
    </w:pPr>
    <w:rPr>
      <w:noProof/>
      <w:sz w:val="24"/>
      <w:lang w:eastAsia="en-US"/>
    </w:rPr>
  </w:style>
  <w:style w:type="paragraph" w:styleId="TOC2">
    <w:name w:val="toc 2"/>
    <w:basedOn w:val="Normal"/>
    <w:next w:val="Normal"/>
    <w:uiPriority w:val="39"/>
    <w:rsid w:val="00636EDC"/>
    <w:pPr>
      <w:keepLines/>
      <w:pBdr>
        <w:bottom w:val="single" w:sz="2" w:space="1" w:color="000000" w:themeColor="text1"/>
        <w:between w:val="single" w:sz="2" w:space="1" w:color="000000" w:themeColor="text1"/>
      </w:pBdr>
      <w:tabs>
        <w:tab w:val="left" w:pos="340"/>
        <w:tab w:val="right" w:pos="10206"/>
      </w:tabs>
      <w:spacing w:before="40" w:after="0" w:line="240" w:lineRule="auto"/>
      <w:ind w:right="57"/>
    </w:pPr>
    <w:rPr>
      <w:noProof/>
      <w:color w:val="007586" w:themeColor="text2"/>
      <w:sz w:val="24"/>
    </w:rPr>
  </w:style>
  <w:style w:type="paragraph" w:styleId="TOC3">
    <w:name w:val="toc 3"/>
    <w:basedOn w:val="TOC2"/>
    <w:next w:val="Normal"/>
    <w:uiPriority w:val="39"/>
    <w:rsid w:val="00636EDC"/>
    <w:pPr>
      <w:spacing w:before="0" w:line="280" w:lineRule="atLeast"/>
    </w:pPr>
    <w:rPr>
      <w:bCs/>
      <w:color w:val="000000" w:themeColor="text1"/>
    </w:rPr>
  </w:style>
  <w:style w:type="paragraph" w:styleId="Index1">
    <w:name w:val="index 1"/>
    <w:basedOn w:val="Normal"/>
    <w:next w:val="Normal"/>
    <w:uiPriority w:val="1"/>
    <w:semiHidden/>
    <w:rsid w:val="00E45C9C"/>
    <w:pPr>
      <w:spacing w:after="60" w:line="240" w:lineRule="auto"/>
    </w:pPr>
    <w:rPr>
      <w:sz w:val="16"/>
    </w:rPr>
  </w:style>
  <w:style w:type="paragraph" w:styleId="Index2">
    <w:name w:val="index 2"/>
    <w:basedOn w:val="Normal"/>
    <w:next w:val="Normal"/>
    <w:uiPriority w:val="1"/>
    <w:semiHidden/>
    <w:rsid w:val="00E45C9C"/>
    <w:pPr>
      <w:spacing w:after="0" w:line="240" w:lineRule="auto"/>
      <w:ind w:left="216"/>
    </w:pPr>
    <w:rPr>
      <w:sz w:val="16"/>
      <w:szCs w:val="16"/>
    </w:rPr>
  </w:style>
  <w:style w:type="character" w:styleId="Hyperlink">
    <w:name w:val="Hyperlink"/>
    <w:basedOn w:val="DefaultParagraphFont"/>
    <w:uiPriority w:val="99"/>
    <w:rsid w:val="00E45C9C"/>
    <w:rPr>
      <w:color w:val="004C97"/>
      <w:u w:val="single"/>
    </w:rPr>
  </w:style>
  <w:style w:type="character" w:customStyle="1" w:styleId="Heading1Char">
    <w:name w:val="Heading 1 Char"/>
    <w:basedOn w:val="DefaultParagraphFont"/>
    <w:link w:val="Heading1"/>
    <w:rsid w:val="00B9059E"/>
    <w:rPr>
      <w:rFonts w:asciiTheme="majorHAnsi" w:eastAsiaTheme="majorEastAsia" w:hAnsiTheme="majorHAnsi" w:cstheme="majorBidi"/>
      <w:b/>
      <w:bCs/>
      <w:color w:val="007586" w:themeColor="text2"/>
      <w:sz w:val="48"/>
      <w:szCs w:val="32"/>
    </w:rPr>
  </w:style>
  <w:style w:type="character" w:customStyle="1" w:styleId="Heading2Char">
    <w:name w:val="Heading 2 Char"/>
    <w:basedOn w:val="DefaultParagraphFont"/>
    <w:link w:val="Heading2"/>
    <w:rsid w:val="007249BD"/>
    <w:rPr>
      <w:rFonts w:asciiTheme="majorHAnsi" w:eastAsiaTheme="majorEastAsia" w:hAnsiTheme="majorHAnsi" w:cstheme="majorBidi"/>
      <w:b/>
      <w:bCs/>
      <w:sz w:val="28"/>
      <w:szCs w:val="26"/>
    </w:rPr>
  </w:style>
  <w:style w:type="paragraph" w:customStyle="1" w:styleId="SCVbullet1">
    <w:name w:val="SCV bullet 1"/>
    <w:basedOn w:val="SCVbody"/>
    <w:uiPriority w:val="9"/>
    <w:qFormat/>
    <w:rsid w:val="00942906"/>
    <w:pPr>
      <w:numPr>
        <w:numId w:val="12"/>
      </w:numPr>
      <w:spacing w:before="60" w:after="60"/>
    </w:pPr>
  </w:style>
  <w:style w:type="paragraph" w:customStyle="1" w:styleId="SCVbullet2">
    <w:name w:val="SCV bullet 2"/>
    <w:basedOn w:val="SCVbullet1"/>
    <w:uiPriority w:val="9"/>
    <w:qFormat/>
    <w:rsid w:val="0057489B"/>
    <w:pPr>
      <w:numPr>
        <w:ilvl w:val="1"/>
        <w:numId w:val="18"/>
      </w:numPr>
      <w:ind w:left="720"/>
    </w:pPr>
  </w:style>
  <w:style w:type="paragraph" w:styleId="Quote">
    <w:name w:val="Quote"/>
    <w:basedOn w:val="Normal"/>
    <w:next w:val="Normal"/>
    <w:link w:val="QuoteChar"/>
    <w:uiPriority w:val="1"/>
    <w:semiHidden/>
    <w:qFormat/>
    <w:rsid w:val="00E45C9C"/>
    <w:pPr>
      <w:ind w:left="567" w:right="567"/>
      <w:jc w:val="center"/>
    </w:pPr>
    <w:rPr>
      <w:i/>
      <w:iCs/>
      <w:color w:val="000000" w:themeColor="text1"/>
    </w:rPr>
  </w:style>
  <w:style w:type="paragraph" w:customStyle="1" w:styleId="SCVbody">
    <w:name w:val="SCV body"/>
    <w:basedOn w:val="Normal"/>
    <w:link w:val="SCVbodyChar"/>
    <w:qFormat/>
    <w:rsid w:val="0057201C"/>
    <w:pPr>
      <w:spacing w:before="0" w:line="320" w:lineRule="atLeast"/>
    </w:pPr>
    <w:rPr>
      <w:rFonts w:eastAsiaTheme="minorHAnsi"/>
      <w:sz w:val="24"/>
      <w:szCs w:val="22"/>
      <w:lang w:eastAsia="en-US"/>
    </w:rPr>
  </w:style>
  <w:style w:type="paragraph" w:customStyle="1" w:styleId="SCVfigurecaption">
    <w:name w:val="SCV figure caption"/>
    <w:basedOn w:val="SCVtablecaption"/>
    <w:uiPriority w:val="14"/>
    <w:qFormat/>
    <w:rsid w:val="00845E81"/>
    <w:pPr>
      <w:keepLines/>
      <w:widowControl w:val="0"/>
      <w:spacing w:before="300"/>
    </w:pPr>
  </w:style>
  <w:style w:type="paragraph" w:customStyle="1" w:styleId="SCVbodyafterheading">
    <w:name w:val="SCV body after heading"/>
    <w:basedOn w:val="SCVbody"/>
    <w:qFormat/>
    <w:rsid w:val="005F2EBC"/>
    <w:pPr>
      <w:spacing w:before="120"/>
    </w:pPr>
  </w:style>
  <w:style w:type="character" w:customStyle="1" w:styleId="Heading3Char">
    <w:name w:val="Heading 3 Char"/>
    <w:basedOn w:val="DefaultParagraphFont"/>
    <w:link w:val="Heading3"/>
    <w:uiPriority w:val="9"/>
    <w:rsid w:val="00E45C9C"/>
    <w:rPr>
      <w:rFonts w:asciiTheme="majorHAnsi" w:eastAsiaTheme="majorEastAsia" w:hAnsiTheme="majorHAnsi" w:cstheme="majorBidi"/>
      <w:b/>
      <w:bCs/>
      <w:color w:val="007586" w:themeColor="text2"/>
      <w:sz w:val="24"/>
      <w:szCs w:val="22"/>
    </w:rPr>
  </w:style>
  <w:style w:type="numbering" w:customStyle="1" w:styleId="ZZBullets">
    <w:name w:val="ZZ Bullets"/>
    <w:basedOn w:val="NoList"/>
    <w:uiPriority w:val="99"/>
    <w:rsid w:val="00E45C9C"/>
    <w:pPr>
      <w:numPr>
        <w:numId w:val="6"/>
      </w:numPr>
    </w:pPr>
  </w:style>
  <w:style w:type="character" w:customStyle="1" w:styleId="Heading4Char">
    <w:name w:val="Heading 4 Char"/>
    <w:basedOn w:val="DefaultParagraphFont"/>
    <w:link w:val="Heading4"/>
    <w:rsid w:val="00BD6B09"/>
    <w:rPr>
      <w:rFonts w:asciiTheme="majorHAnsi" w:eastAsiaTheme="majorEastAsia" w:hAnsiTheme="majorHAnsi" w:cstheme="majorBidi"/>
      <w:b/>
      <w:bCs/>
      <w:iCs/>
      <w:color w:val="000000" w:themeColor="text1"/>
      <w:sz w:val="24"/>
    </w:rPr>
  </w:style>
  <w:style w:type="paragraph" w:customStyle="1" w:styleId="SCVreporttitle">
    <w:name w:val="SCV report title"/>
    <w:uiPriority w:val="29"/>
    <w:rsid w:val="009905FA"/>
    <w:pPr>
      <w:keepLines/>
      <w:pBdr>
        <w:top w:val="single" w:sz="24" w:space="24" w:color="CCCCD0"/>
      </w:pBdr>
      <w:suppressAutoHyphens/>
      <w:spacing w:before="480" w:line="216" w:lineRule="auto"/>
    </w:pPr>
    <w:rPr>
      <w:rFonts w:asciiTheme="majorHAnsi" w:eastAsia="Times New Roman" w:hAnsiTheme="majorHAnsi" w:cstheme="majorHAnsi"/>
      <w:b/>
      <w:color w:val="007586" w:themeColor="text2"/>
      <w:spacing w:val="-2"/>
      <w:sz w:val="76"/>
      <w:szCs w:val="22"/>
    </w:rPr>
  </w:style>
  <w:style w:type="paragraph" w:customStyle="1" w:styleId="SCVtablefigurenote">
    <w:name w:val="SCV table/figure note"/>
    <w:basedOn w:val="Normal"/>
    <w:uiPriority w:val="29"/>
    <w:rsid w:val="001C6019"/>
    <w:pPr>
      <w:spacing w:before="80" w:after="80" w:line="264" w:lineRule="auto"/>
    </w:pPr>
    <w:rPr>
      <w:sz w:val="18"/>
      <w:szCs w:val="17"/>
    </w:rPr>
  </w:style>
  <w:style w:type="paragraph" w:customStyle="1" w:styleId="Spacer">
    <w:name w:val="Spacer"/>
    <w:basedOn w:val="Normal"/>
    <w:uiPriority w:val="1"/>
    <w:semiHidden/>
    <w:qFormat/>
    <w:rsid w:val="00E45C9C"/>
    <w:pPr>
      <w:spacing w:before="0" w:after="0" w:line="120" w:lineRule="atLeast"/>
    </w:pPr>
    <w:rPr>
      <w:rFonts w:eastAsia="Times New Roman" w:cs="Calibri"/>
      <w:sz w:val="10"/>
      <w:szCs w:val="22"/>
    </w:rPr>
  </w:style>
  <w:style w:type="paragraph" w:styleId="Subtitle">
    <w:name w:val="Subtitle"/>
    <w:next w:val="Normal"/>
    <w:link w:val="SubtitleChar"/>
    <w:uiPriority w:val="99"/>
    <w:semiHidden/>
    <w:rsid w:val="00E45C9C"/>
    <w:pPr>
      <w:framePr w:hSpace="181" w:wrap="around" w:vAnchor="page" w:hAnchor="margin" w:y="11965"/>
      <w:spacing w:before="0" w:after="0" w:line="240" w:lineRule="auto"/>
      <w:suppressOverlap/>
    </w:pPr>
    <w:rPr>
      <w:rFonts w:asciiTheme="majorHAnsi" w:eastAsia="Times New Roman" w:hAnsiTheme="majorHAnsi" w:cstheme="majorHAnsi"/>
      <w:color w:val="000000" w:themeColor="text1"/>
      <w:spacing w:val="-2"/>
      <w:sz w:val="50"/>
      <w:szCs w:val="24"/>
    </w:rPr>
  </w:style>
  <w:style w:type="character" w:customStyle="1" w:styleId="SubtitleChar">
    <w:name w:val="Subtitle Char"/>
    <w:basedOn w:val="DefaultParagraphFont"/>
    <w:link w:val="Subtitle"/>
    <w:uiPriority w:val="99"/>
    <w:semiHidden/>
    <w:rsid w:val="00E45C9C"/>
    <w:rPr>
      <w:rFonts w:asciiTheme="majorHAnsi" w:eastAsia="Times New Roman" w:hAnsiTheme="majorHAnsi" w:cstheme="majorHAnsi"/>
      <w:color w:val="000000" w:themeColor="text1"/>
      <w:spacing w:val="-2"/>
      <w:sz w:val="50"/>
      <w:szCs w:val="24"/>
    </w:rPr>
  </w:style>
  <w:style w:type="paragraph" w:styleId="TOC4">
    <w:name w:val="toc 4"/>
    <w:basedOn w:val="Normal"/>
    <w:next w:val="Normal"/>
    <w:autoRedefine/>
    <w:uiPriority w:val="99"/>
    <w:rsid w:val="00E45C9C"/>
    <w:pPr>
      <w:spacing w:after="100"/>
      <w:ind w:left="600"/>
    </w:pPr>
  </w:style>
  <w:style w:type="paragraph" w:styleId="Title">
    <w:name w:val="Title"/>
    <w:next w:val="Subtitle"/>
    <w:link w:val="TitleChar"/>
    <w:uiPriority w:val="99"/>
    <w:semiHidden/>
    <w:rsid w:val="00E45C9C"/>
    <w:pPr>
      <w:framePr w:hSpace="181" w:wrap="around" w:vAnchor="page" w:hAnchor="page" w:x="455" w:y="12021"/>
      <w:spacing w:before="0" w:after="40" w:line="240" w:lineRule="auto"/>
      <w:ind w:right="284"/>
      <w:contextualSpacing/>
      <w:suppressOverlap/>
    </w:pPr>
    <w:rPr>
      <w:rFonts w:asciiTheme="majorHAnsi" w:eastAsia="Times New Roman" w:hAnsiTheme="majorHAnsi" w:cstheme="majorHAnsi"/>
      <w:b/>
      <w:color w:val="007586" w:themeColor="text2"/>
      <w:spacing w:val="-2"/>
      <w:sz w:val="76"/>
      <w:szCs w:val="22"/>
    </w:rPr>
  </w:style>
  <w:style w:type="character" w:customStyle="1" w:styleId="TitleChar">
    <w:name w:val="Title Char"/>
    <w:basedOn w:val="DefaultParagraphFont"/>
    <w:link w:val="Title"/>
    <w:uiPriority w:val="99"/>
    <w:semiHidden/>
    <w:rsid w:val="00E45C9C"/>
    <w:rPr>
      <w:rFonts w:asciiTheme="majorHAnsi" w:eastAsia="Times New Roman" w:hAnsiTheme="majorHAnsi" w:cstheme="majorHAnsi"/>
      <w:b/>
      <w:color w:val="007586" w:themeColor="text2"/>
      <w:spacing w:val="-2"/>
      <w:sz w:val="76"/>
      <w:szCs w:val="22"/>
    </w:rPr>
  </w:style>
  <w:style w:type="paragraph" w:styleId="BalloonText">
    <w:name w:val="Balloon Text"/>
    <w:basedOn w:val="Normal"/>
    <w:link w:val="BalloonTextChar"/>
    <w:uiPriority w:val="1"/>
    <w:semiHidden/>
    <w:rsid w:val="00E45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1"/>
    <w:semiHidden/>
    <w:rsid w:val="00E45C9C"/>
    <w:rPr>
      <w:rFonts w:ascii="Tahoma" w:hAnsi="Tahoma" w:cs="Tahoma"/>
      <w:sz w:val="16"/>
      <w:szCs w:val="16"/>
    </w:rPr>
  </w:style>
  <w:style w:type="character" w:customStyle="1" w:styleId="QuoteChar">
    <w:name w:val="Quote Char"/>
    <w:basedOn w:val="DefaultParagraphFont"/>
    <w:link w:val="Quote"/>
    <w:uiPriority w:val="1"/>
    <w:semiHidden/>
    <w:rsid w:val="00E45C9C"/>
    <w:rPr>
      <w:i/>
      <w:iCs/>
      <w:color w:val="000000" w:themeColor="text1"/>
    </w:rPr>
  </w:style>
  <w:style w:type="paragraph" w:styleId="IndexHeading">
    <w:name w:val="index heading"/>
    <w:basedOn w:val="Normal"/>
    <w:next w:val="Index1"/>
    <w:uiPriority w:val="1"/>
    <w:semiHidden/>
    <w:rsid w:val="00E45C9C"/>
    <w:rPr>
      <w:rFonts w:asciiTheme="majorHAnsi" w:eastAsiaTheme="majorEastAsia" w:hAnsiTheme="majorHAnsi" w:cstheme="majorBidi"/>
      <w:b/>
      <w:bCs/>
    </w:rPr>
  </w:style>
  <w:style w:type="paragraph" w:styleId="Header">
    <w:name w:val="header"/>
    <w:basedOn w:val="Normal"/>
    <w:link w:val="HeaderChar"/>
    <w:uiPriority w:val="99"/>
    <w:rsid w:val="00E45C9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45C9C"/>
  </w:style>
  <w:style w:type="paragraph" w:styleId="Footer">
    <w:name w:val="footer"/>
    <w:basedOn w:val="Normal"/>
    <w:link w:val="FooterChar"/>
    <w:uiPriority w:val="99"/>
    <w:rsid w:val="00E45C9C"/>
    <w:pPr>
      <w:tabs>
        <w:tab w:val="left" w:pos="1304"/>
      </w:tabs>
      <w:spacing w:before="0" w:after="0" w:line="156" w:lineRule="exact"/>
    </w:pPr>
    <w:rPr>
      <w:noProof/>
      <w:sz w:val="13"/>
      <w:szCs w:val="18"/>
    </w:rPr>
  </w:style>
  <w:style w:type="character" w:customStyle="1" w:styleId="FooterChar">
    <w:name w:val="Footer Char"/>
    <w:basedOn w:val="DefaultParagraphFont"/>
    <w:link w:val="Footer"/>
    <w:uiPriority w:val="99"/>
    <w:rsid w:val="00E45C9C"/>
    <w:rPr>
      <w:noProof/>
      <w:sz w:val="13"/>
      <w:szCs w:val="18"/>
    </w:rPr>
  </w:style>
  <w:style w:type="character" w:styleId="PageNumber">
    <w:name w:val="page number"/>
    <w:uiPriority w:val="1"/>
    <w:semiHidden/>
    <w:rsid w:val="00E45C9C"/>
    <w:rPr>
      <w:rFonts w:asciiTheme="minorHAnsi" w:hAnsiTheme="minorHAnsi"/>
      <w:b w:val="0"/>
      <w:color w:val="000000" w:themeColor="text1"/>
    </w:rPr>
  </w:style>
  <w:style w:type="paragraph" w:styleId="TOCHeading">
    <w:name w:val="TOC Heading"/>
    <w:basedOn w:val="Heading1"/>
    <w:next w:val="Normal"/>
    <w:uiPriority w:val="39"/>
    <w:qFormat/>
    <w:rsid w:val="00E45C9C"/>
    <w:pPr>
      <w:outlineLvl w:val="9"/>
    </w:pPr>
    <w:rPr>
      <w:spacing w:val="2"/>
    </w:rPr>
  </w:style>
  <w:style w:type="paragraph" w:customStyle="1" w:styleId="NormalTight">
    <w:name w:val="Normal Tight"/>
    <w:uiPriority w:val="1"/>
    <w:semiHidden/>
    <w:rsid w:val="00E45C9C"/>
    <w:pPr>
      <w:spacing w:after="0" w:line="240" w:lineRule="auto"/>
      <w:ind w:right="2366"/>
    </w:pPr>
    <w:rPr>
      <w:rFonts w:eastAsia="Times New Roman" w:cs="Calibri"/>
      <w:sz w:val="18"/>
      <w:szCs w:val="19"/>
      <w:lang w:eastAsia="en-US"/>
    </w:rPr>
  </w:style>
  <w:style w:type="paragraph" w:styleId="BodyText">
    <w:name w:val="Body Text"/>
    <w:basedOn w:val="Normal"/>
    <w:link w:val="BodyTextChar"/>
    <w:uiPriority w:val="1"/>
    <w:semiHidden/>
    <w:rsid w:val="00E45C9C"/>
    <w:pPr>
      <w:spacing w:before="100" w:line="240" w:lineRule="auto"/>
      <w:ind w:left="794"/>
    </w:pPr>
    <w:rPr>
      <w:rFonts w:ascii="Calibri" w:eastAsia="Times New Roman" w:hAnsi="Calibri" w:cs="Calibri"/>
      <w:sz w:val="22"/>
      <w:szCs w:val="22"/>
    </w:rPr>
  </w:style>
  <w:style w:type="character" w:customStyle="1" w:styleId="BodyTextChar">
    <w:name w:val="Body Text Char"/>
    <w:basedOn w:val="DefaultParagraphFont"/>
    <w:link w:val="BodyText"/>
    <w:uiPriority w:val="1"/>
    <w:semiHidden/>
    <w:rsid w:val="00E45C9C"/>
    <w:rPr>
      <w:rFonts w:ascii="Calibri" w:eastAsia="Times New Roman" w:hAnsi="Calibri" w:cs="Calibri"/>
      <w:sz w:val="22"/>
      <w:szCs w:val="22"/>
    </w:rPr>
  </w:style>
  <w:style w:type="paragraph" w:customStyle="1" w:styleId="Insidecoverspacer">
    <w:name w:val="Inside cover spacer"/>
    <w:basedOn w:val="NormalTight"/>
    <w:uiPriority w:val="1"/>
    <w:semiHidden/>
    <w:qFormat/>
    <w:rsid w:val="00E45C9C"/>
    <w:pPr>
      <w:spacing w:before="5800"/>
      <w:ind w:right="1382"/>
    </w:pPr>
  </w:style>
  <w:style w:type="table" w:styleId="ColourfulGrid">
    <w:name w:val="Colorful Grid"/>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D4DC" w:themeFill="accent1" w:themeFillTint="33"/>
    </w:tcPr>
    <w:tblStylePr w:type="firstRow">
      <w:rPr>
        <w:b/>
        <w:bCs/>
      </w:rPr>
      <w:tblPr/>
      <w:tcPr>
        <w:shd w:val="clear" w:color="auto" w:fill="93AABA" w:themeFill="accent1" w:themeFillTint="66"/>
      </w:tcPr>
    </w:tblStylePr>
    <w:tblStylePr w:type="lastRow">
      <w:rPr>
        <w:b/>
        <w:bCs/>
        <w:color w:val="000000" w:themeColor="text1"/>
      </w:rPr>
      <w:tblPr/>
      <w:tcPr>
        <w:shd w:val="clear" w:color="auto" w:fill="93AABA" w:themeFill="accent1" w:themeFillTint="66"/>
      </w:tcPr>
    </w:tblStylePr>
    <w:tblStylePr w:type="firstCol">
      <w:rPr>
        <w:color w:val="FFFFFF" w:themeColor="background1"/>
      </w:rPr>
      <w:tblPr/>
      <w:tcPr>
        <w:shd w:val="clear" w:color="auto" w:fill="141A1F" w:themeFill="accent1" w:themeFillShade="BF"/>
      </w:tcPr>
    </w:tblStylePr>
    <w:tblStylePr w:type="lastCol">
      <w:rPr>
        <w:color w:val="FFFFFF" w:themeColor="background1"/>
      </w:rPr>
      <w:tblPr/>
      <w:tcPr>
        <w:shd w:val="clear" w:color="auto" w:fill="141A1F" w:themeFill="accent1" w:themeFillShade="BF"/>
      </w:tc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paragraph" w:customStyle="1" w:styleId="SCVreportsubtitle">
    <w:name w:val="SCV report subtitle"/>
    <w:uiPriority w:val="29"/>
    <w:rsid w:val="00350441"/>
    <w:pPr>
      <w:keepLines/>
      <w:spacing w:before="0" w:line="240" w:lineRule="auto"/>
    </w:pPr>
    <w:rPr>
      <w:rFonts w:asciiTheme="majorHAnsi" w:eastAsia="Times New Roman" w:hAnsiTheme="majorHAnsi" w:cstheme="majorHAnsi"/>
      <w:color w:val="000000" w:themeColor="text1"/>
      <w:sz w:val="50"/>
      <w:szCs w:val="24"/>
    </w:rPr>
  </w:style>
  <w:style w:type="paragraph" w:customStyle="1" w:styleId="SCVfooterempty">
    <w:name w:val="SCV footer empty"/>
    <w:basedOn w:val="SCVfooter"/>
    <w:uiPriority w:val="98"/>
    <w:rsid w:val="00E45C9C"/>
    <w:pPr>
      <w:pBdr>
        <w:top w:val="none" w:sz="0" w:space="0" w:color="auto"/>
      </w:pBdr>
    </w:pPr>
    <w:rPr>
      <w:noProof w:val="0"/>
    </w:rPr>
  </w:style>
  <w:style w:type="paragraph" w:customStyle="1" w:styleId="SCVheaderempty">
    <w:name w:val="SCV header empty"/>
    <w:basedOn w:val="SCVfooterempty"/>
    <w:uiPriority w:val="1"/>
    <w:rsid w:val="006B337A"/>
  </w:style>
  <w:style w:type="paragraph" w:styleId="ListParagraph">
    <w:name w:val="List Paragraph"/>
    <w:basedOn w:val="Normal"/>
    <w:uiPriority w:val="34"/>
    <w:qFormat/>
    <w:rsid w:val="00E45C9C"/>
    <w:pPr>
      <w:ind w:left="720"/>
      <w:contextualSpacing/>
    </w:pPr>
  </w:style>
  <w:style w:type="paragraph" w:styleId="FootnoteText">
    <w:name w:val="footnote text"/>
    <w:basedOn w:val="Normal"/>
    <w:link w:val="FootnoteTextChar"/>
    <w:uiPriority w:val="99"/>
    <w:rsid w:val="00035088"/>
    <w:pPr>
      <w:spacing w:before="0" w:after="60" w:line="288" w:lineRule="auto"/>
    </w:pPr>
    <w:rPr>
      <w:szCs w:val="17"/>
    </w:rPr>
  </w:style>
  <w:style w:type="character" w:customStyle="1" w:styleId="FootnoteTextChar">
    <w:name w:val="Footnote Text Char"/>
    <w:basedOn w:val="DefaultParagraphFont"/>
    <w:link w:val="FootnoteText"/>
    <w:uiPriority w:val="8"/>
    <w:rsid w:val="00035088"/>
    <w:rPr>
      <w:szCs w:val="17"/>
    </w:rPr>
  </w:style>
  <w:style w:type="character" w:styleId="FootnoteReference">
    <w:name w:val="footnote reference"/>
    <w:basedOn w:val="DefaultParagraphFont"/>
    <w:uiPriority w:val="99"/>
    <w:rsid w:val="00E45C9C"/>
    <w:rPr>
      <w:vertAlign w:val="superscript"/>
    </w:rPr>
  </w:style>
  <w:style w:type="table" w:styleId="ColourfulGridAccent2">
    <w:name w:val="Colorful Grid Accent 2"/>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F5FF" w:themeFill="accent2" w:themeFillTint="33"/>
    </w:tcPr>
    <w:tblStylePr w:type="firstRow">
      <w:rPr>
        <w:b/>
        <w:bCs/>
      </w:rPr>
      <w:tblPr/>
      <w:tcPr>
        <w:shd w:val="clear" w:color="auto" w:fill="68EBFF" w:themeFill="accent2" w:themeFillTint="66"/>
      </w:tcPr>
    </w:tblStylePr>
    <w:tblStylePr w:type="lastRow">
      <w:rPr>
        <w:b/>
        <w:bCs/>
        <w:color w:val="000000" w:themeColor="text1"/>
      </w:rPr>
      <w:tblPr/>
      <w:tcPr>
        <w:shd w:val="clear" w:color="auto" w:fill="68EBFF" w:themeFill="accent2" w:themeFillTint="66"/>
      </w:tcPr>
    </w:tblStylePr>
    <w:tblStylePr w:type="firstCol">
      <w:rPr>
        <w:color w:val="FFFFFF" w:themeColor="background1"/>
      </w:rPr>
      <w:tblPr/>
      <w:tcPr>
        <w:shd w:val="clear" w:color="auto" w:fill="005764" w:themeFill="accent2" w:themeFillShade="BF"/>
      </w:tcPr>
    </w:tblStylePr>
    <w:tblStylePr w:type="lastCol">
      <w:rPr>
        <w:color w:val="FFFFFF" w:themeColor="background1"/>
      </w:rPr>
      <w:tblPr/>
      <w:tcPr>
        <w:shd w:val="clear" w:color="auto" w:fill="005764" w:themeFill="accent2" w:themeFillShade="BF"/>
      </w:tc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ColourfulGridAccent3">
    <w:name w:val="Colorful Grid Accent 3"/>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0FB" w:themeFill="accent3" w:themeFillTint="33"/>
    </w:tcPr>
    <w:tblStylePr w:type="firstRow">
      <w:rPr>
        <w:b/>
        <w:bCs/>
      </w:rPr>
      <w:tblPr/>
      <w:tcPr>
        <w:shd w:val="clear" w:color="auto" w:fill="BDE2F7" w:themeFill="accent3" w:themeFillTint="66"/>
      </w:tcPr>
    </w:tblStylePr>
    <w:tblStylePr w:type="lastRow">
      <w:rPr>
        <w:b/>
        <w:bCs/>
        <w:color w:val="000000" w:themeColor="text1"/>
      </w:rPr>
      <w:tblPr/>
      <w:tcPr>
        <w:shd w:val="clear" w:color="auto" w:fill="BDE2F7" w:themeFill="accent3" w:themeFillTint="66"/>
      </w:tcPr>
    </w:tblStylePr>
    <w:tblStylePr w:type="firstCol">
      <w:rPr>
        <w:color w:val="FFFFFF" w:themeColor="background1"/>
      </w:rPr>
      <w:tblPr/>
      <w:tcPr>
        <w:shd w:val="clear" w:color="auto" w:fill="1A97D9" w:themeFill="accent3" w:themeFillShade="BF"/>
      </w:tcPr>
    </w:tblStylePr>
    <w:tblStylePr w:type="lastCol">
      <w:rPr>
        <w:color w:val="FFFFFF" w:themeColor="background1"/>
      </w:rPr>
      <w:tblPr/>
      <w:tcPr>
        <w:shd w:val="clear" w:color="auto" w:fill="1A97D9" w:themeFill="accent3" w:themeFillShade="BF"/>
      </w:tc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paragraph" w:styleId="Caption">
    <w:name w:val="caption"/>
    <w:basedOn w:val="Normal"/>
    <w:next w:val="Normal"/>
    <w:uiPriority w:val="1"/>
    <w:semiHidden/>
    <w:rsid w:val="00E45C9C"/>
    <w:pPr>
      <w:spacing w:before="280" w:after="210" w:line="260" w:lineRule="atLeast"/>
    </w:pPr>
    <w:rPr>
      <w:b/>
      <w:bCs/>
      <w:color w:val="007586" w:themeColor="text2"/>
      <w:szCs w:val="18"/>
    </w:rPr>
  </w:style>
  <w:style w:type="paragraph" w:customStyle="1" w:styleId="SCVtablecaption">
    <w:name w:val="SCV table caption"/>
    <w:next w:val="SCVbody"/>
    <w:uiPriority w:val="20"/>
    <w:qFormat/>
    <w:rsid w:val="007249BD"/>
    <w:pPr>
      <w:keepNext/>
      <w:tabs>
        <w:tab w:val="left" w:pos="1080"/>
      </w:tabs>
      <w:spacing w:before="280" w:after="120" w:line="264" w:lineRule="auto"/>
    </w:pPr>
    <w:rPr>
      <w:b/>
      <w:bCs/>
      <w:color w:val="007586" w:themeColor="text2"/>
      <w:spacing w:val="2"/>
      <w:sz w:val="24"/>
      <w:szCs w:val="18"/>
    </w:rPr>
  </w:style>
  <w:style w:type="character" w:styleId="PlaceholderText">
    <w:name w:val="Placeholder Text"/>
    <w:basedOn w:val="DefaultParagraphFont"/>
    <w:uiPriority w:val="1"/>
    <w:semiHidden/>
    <w:rsid w:val="00E45C9C"/>
    <w:rPr>
      <w:color w:val="808080"/>
    </w:rPr>
  </w:style>
  <w:style w:type="paragraph" w:customStyle="1" w:styleId="SCVfooterodd">
    <w:name w:val="SCV footer odd"/>
    <w:basedOn w:val="SCVfootereven"/>
    <w:uiPriority w:val="99"/>
    <w:rsid w:val="00972812"/>
    <w:pPr>
      <w:jc w:val="right"/>
    </w:pPr>
  </w:style>
  <w:style w:type="paragraph" w:customStyle="1" w:styleId="SCVfootereven">
    <w:name w:val="SCV footer even"/>
    <w:basedOn w:val="Footer"/>
    <w:uiPriority w:val="99"/>
    <w:rsid w:val="009905FA"/>
    <w:pPr>
      <w:pBdr>
        <w:top w:val="single" w:sz="8" w:space="6" w:color="CCCCD0"/>
      </w:pBdr>
      <w:spacing w:line="240" w:lineRule="auto"/>
    </w:pPr>
    <w:rPr>
      <w:sz w:val="18"/>
    </w:rPr>
  </w:style>
  <w:style w:type="paragraph" w:customStyle="1" w:styleId="SCVintroductorytext">
    <w:name w:val="SCV introductory text"/>
    <w:basedOn w:val="Normal"/>
    <w:uiPriority w:val="1"/>
    <w:qFormat/>
    <w:rsid w:val="0059267A"/>
    <w:pPr>
      <w:spacing w:before="400" w:after="240"/>
    </w:pPr>
    <w:rPr>
      <w:b/>
      <w:color w:val="007586" w:themeColor="text2"/>
    </w:rPr>
  </w:style>
  <w:style w:type="paragraph" w:styleId="NoSpacing">
    <w:name w:val="No Spacing"/>
    <w:uiPriority w:val="1"/>
    <w:semiHidden/>
    <w:qFormat/>
    <w:rsid w:val="00E45C9C"/>
    <w:pPr>
      <w:spacing w:before="0" w:after="0" w:line="240" w:lineRule="auto"/>
    </w:pPr>
  </w:style>
  <w:style w:type="table" w:styleId="ColourfulGridAccent4">
    <w:name w:val="Colorful Grid Accent 4"/>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BFF" w:themeFill="accent4" w:themeFillTint="33"/>
    </w:tcPr>
    <w:tblStylePr w:type="firstRow">
      <w:rPr>
        <w:b/>
        <w:bCs/>
      </w:rPr>
      <w:tblPr/>
      <w:tcPr>
        <w:shd w:val="clear" w:color="auto" w:fill="6FB7FF" w:themeFill="accent4" w:themeFillTint="66"/>
      </w:tcPr>
    </w:tblStylePr>
    <w:tblStylePr w:type="lastRow">
      <w:rPr>
        <w:b/>
        <w:bCs/>
        <w:color w:val="000000" w:themeColor="text1"/>
      </w:rPr>
      <w:tblPr/>
      <w:tcPr>
        <w:shd w:val="clear" w:color="auto" w:fill="6FB7FF" w:themeFill="accent4" w:themeFillTint="66"/>
      </w:tcPr>
    </w:tblStylePr>
    <w:tblStylePr w:type="firstCol">
      <w:rPr>
        <w:color w:val="FFFFFF" w:themeColor="background1"/>
      </w:rPr>
      <w:tblPr/>
      <w:tcPr>
        <w:shd w:val="clear" w:color="auto" w:fill="003871" w:themeFill="accent4" w:themeFillShade="BF"/>
      </w:tcPr>
    </w:tblStylePr>
    <w:tblStylePr w:type="lastCol">
      <w:rPr>
        <w:color w:val="FFFFFF" w:themeColor="background1"/>
      </w:rPr>
      <w:tblPr/>
      <w:tcPr>
        <w:shd w:val="clear" w:color="auto" w:fill="003871" w:themeFill="accent4" w:themeFillShade="BF"/>
      </w:tc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ColourfulGridAccent5">
    <w:name w:val="Colorful Grid Accent 5"/>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EDF" w:themeFill="accent5" w:themeFillTint="33"/>
    </w:tcPr>
    <w:tblStylePr w:type="firstRow">
      <w:rPr>
        <w:b/>
        <w:bCs/>
      </w:rPr>
      <w:tblPr/>
      <w:tcPr>
        <w:shd w:val="clear" w:color="auto" w:fill="BDDDC0" w:themeFill="accent5" w:themeFillTint="66"/>
      </w:tcPr>
    </w:tblStylePr>
    <w:tblStylePr w:type="lastRow">
      <w:rPr>
        <w:b/>
        <w:bCs/>
        <w:color w:val="000000" w:themeColor="text1"/>
      </w:rPr>
      <w:tblPr/>
      <w:tcPr>
        <w:shd w:val="clear" w:color="auto" w:fill="BDDDC0" w:themeFill="accent5" w:themeFillTint="66"/>
      </w:tcPr>
    </w:tblStylePr>
    <w:tblStylePr w:type="firstCol">
      <w:rPr>
        <w:color w:val="FFFFFF" w:themeColor="background1"/>
      </w:rPr>
      <w:tblPr/>
      <w:tcPr>
        <w:shd w:val="clear" w:color="auto" w:fill="428049" w:themeFill="accent5" w:themeFillShade="BF"/>
      </w:tcPr>
    </w:tblStylePr>
    <w:tblStylePr w:type="lastCol">
      <w:rPr>
        <w:color w:val="FFFFFF" w:themeColor="background1"/>
      </w:rPr>
      <w:tblPr/>
      <w:tcPr>
        <w:shd w:val="clear" w:color="auto" w:fill="428049" w:themeFill="accent5" w:themeFillShade="BF"/>
      </w:tc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ColourfulGridAccent6">
    <w:name w:val="Colorful Grid Accent 6"/>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0D8" w:themeFill="accent6" w:themeFillTint="33"/>
    </w:tcPr>
    <w:tblStylePr w:type="firstRow">
      <w:rPr>
        <w:b/>
        <w:bCs/>
      </w:rPr>
      <w:tblPr/>
      <w:tcPr>
        <w:shd w:val="clear" w:color="auto" w:fill="F5C1B1" w:themeFill="accent6" w:themeFillTint="66"/>
      </w:tcPr>
    </w:tblStylePr>
    <w:tblStylePr w:type="lastRow">
      <w:rPr>
        <w:b/>
        <w:bCs/>
        <w:color w:val="000000" w:themeColor="text1"/>
      </w:rPr>
      <w:tblPr/>
      <w:tcPr>
        <w:shd w:val="clear" w:color="auto" w:fill="F5C1B1" w:themeFill="accent6" w:themeFillTint="66"/>
      </w:tcPr>
    </w:tblStylePr>
    <w:tblStylePr w:type="firstCol">
      <w:rPr>
        <w:color w:val="FFFFFF" w:themeColor="background1"/>
      </w:rPr>
      <w:tblPr/>
      <w:tcPr>
        <w:shd w:val="clear" w:color="auto" w:fill="C04018" w:themeFill="accent6" w:themeFillShade="BF"/>
      </w:tcPr>
    </w:tblStylePr>
    <w:tblStylePr w:type="lastCol">
      <w:rPr>
        <w:color w:val="FFFFFF" w:themeColor="background1"/>
      </w:rPr>
      <w:tblPr/>
      <w:tcPr>
        <w:shd w:val="clear" w:color="auto" w:fill="C04018" w:themeFill="accent6" w:themeFillShade="BF"/>
      </w:tc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ColourfulList">
    <w:name w:val="Colorful List"/>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4EAEE" w:themeFill="accen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AD4" w:themeFill="accent1" w:themeFillTint="3F"/>
      </w:tcPr>
    </w:tblStylePr>
    <w:tblStylePr w:type="band1Horz">
      <w:tblPr/>
      <w:tcPr>
        <w:shd w:val="clear" w:color="auto" w:fill="C9D4DC" w:themeFill="accent1" w:themeFillTint="33"/>
      </w:tcPr>
    </w:tblStylePr>
  </w:style>
  <w:style w:type="table" w:styleId="ColourfulListAccent2">
    <w:name w:val="Colorful List Accent 2"/>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DAFAFF" w:themeFill="accent2"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2FF" w:themeFill="accent2" w:themeFillTint="3F"/>
      </w:tcPr>
    </w:tblStylePr>
    <w:tblStylePr w:type="band1Horz">
      <w:tblPr/>
      <w:tcPr>
        <w:shd w:val="clear" w:color="auto" w:fill="B3F5FF" w:themeFill="accent2" w:themeFillTint="33"/>
      </w:tcPr>
    </w:tblStylePr>
  </w:style>
  <w:style w:type="table" w:styleId="ColourfulListAccent3">
    <w:name w:val="Colorful List Accent 3"/>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EF8FD" w:themeFill="accent3" w:themeFillTint="19"/>
    </w:tcPr>
    <w:tblStylePr w:type="firstRow">
      <w:rPr>
        <w:b/>
        <w:bCs/>
        <w:color w:val="FFFFFF" w:themeColor="background1"/>
      </w:rPr>
      <w:tblPr/>
      <w:tcPr>
        <w:tcBorders>
          <w:bottom w:val="single" w:sz="12" w:space="0" w:color="FFFFFF" w:themeColor="background1"/>
        </w:tcBorders>
        <w:shd w:val="clear" w:color="auto" w:fill="003C78" w:themeFill="accent4" w:themeFillShade="CC"/>
      </w:tcPr>
    </w:tblStylePr>
    <w:tblStylePr w:type="lastRow">
      <w:rPr>
        <w:b/>
        <w:bCs/>
        <w:color w:val="003C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FA" w:themeFill="accent3" w:themeFillTint="3F"/>
      </w:tcPr>
    </w:tblStylePr>
    <w:tblStylePr w:type="band1Horz">
      <w:tblPr/>
      <w:tcPr>
        <w:shd w:val="clear" w:color="auto" w:fill="DEF0FB" w:themeFill="accent3" w:themeFillTint="33"/>
      </w:tcPr>
    </w:tblStylePr>
  </w:style>
  <w:style w:type="table" w:styleId="ColourfulListAccent4">
    <w:name w:val="Colorful List Accent 4"/>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DBEDFF" w:themeFill="accent4" w:themeFillTint="19"/>
    </w:tcPr>
    <w:tblStylePr w:type="firstRow">
      <w:rPr>
        <w:b/>
        <w:bCs/>
        <w:color w:val="FFFFFF" w:themeColor="background1"/>
      </w:rPr>
      <w:tblPr/>
      <w:tcPr>
        <w:tcBorders>
          <w:bottom w:val="single" w:sz="12" w:space="0" w:color="FFFFFF" w:themeColor="background1"/>
        </w:tcBorders>
        <w:shd w:val="clear" w:color="auto" w:fill="20A0E4" w:themeFill="accent3" w:themeFillShade="CC"/>
      </w:tcPr>
    </w:tblStylePr>
    <w:tblStylePr w:type="lastRow">
      <w:rPr>
        <w:b/>
        <w:bCs/>
        <w:color w:val="20A0E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4" w:themeFillTint="3F"/>
      </w:tcPr>
    </w:tblStylePr>
    <w:tblStylePr w:type="band1Horz">
      <w:tblPr/>
      <w:tcPr>
        <w:shd w:val="clear" w:color="auto" w:fill="B7DBFF" w:themeFill="accent4" w:themeFillTint="33"/>
      </w:tcPr>
    </w:tblStylePr>
  </w:style>
  <w:style w:type="table" w:styleId="ColourfulListAccent5">
    <w:name w:val="Colorful List Accent 5"/>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EF6EF" w:themeFill="accent5" w:themeFillTint="19"/>
    </w:tcPr>
    <w:tblStylePr w:type="firstRow">
      <w:rPr>
        <w:b/>
        <w:bCs/>
        <w:color w:val="FFFFFF" w:themeColor="background1"/>
      </w:rPr>
      <w:tblPr/>
      <w:tcPr>
        <w:tcBorders>
          <w:bottom w:val="single" w:sz="12" w:space="0" w:color="FFFFFF" w:themeColor="background1"/>
        </w:tcBorders>
        <w:shd w:val="clear" w:color="auto" w:fill="CD441A" w:themeFill="accent6" w:themeFillShade="CC"/>
      </w:tcPr>
    </w:tblStylePr>
    <w:tblStylePr w:type="lastRow">
      <w:rPr>
        <w:b/>
        <w:bCs/>
        <w:color w:val="CD441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D8" w:themeFill="accent5" w:themeFillTint="3F"/>
      </w:tcPr>
    </w:tblStylePr>
    <w:tblStylePr w:type="band1Horz">
      <w:tblPr/>
      <w:tcPr>
        <w:shd w:val="clear" w:color="auto" w:fill="DEEEDF" w:themeFill="accent5" w:themeFillTint="33"/>
      </w:tcPr>
    </w:tblStylePr>
  </w:style>
  <w:style w:type="table" w:styleId="ColourfulListAccent6">
    <w:name w:val="Colorful List Accent 6"/>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FCEFEB" w:themeFill="accent6" w:themeFillTint="19"/>
    </w:tcPr>
    <w:tblStylePr w:type="firstRow">
      <w:rPr>
        <w:b/>
        <w:bCs/>
        <w:color w:val="FFFFFF" w:themeColor="background1"/>
      </w:rPr>
      <w:tblPr/>
      <w:tcPr>
        <w:tcBorders>
          <w:bottom w:val="single" w:sz="12" w:space="0" w:color="FFFFFF" w:themeColor="background1"/>
        </w:tcBorders>
        <w:shd w:val="clear" w:color="auto" w:fill="46894E" w:themeFill="accent5" w:themeFillShade="CC"/>
      </w:tcPr>
    </w:tblStylePr>
    <w:tblStylePr w:type="lastRow">
      <w:rPr>
        <w:b/>
        <w:bCs/>
        <w:color w:val="4689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E" w:themeFill="accent6" w:themeFillTint="3F"/>
      </w:tcPr>
    </w:tblStylePr>
    <w:tblStylePr w:type="band1Horz">
      <w:tblPr/>
      <w:tcPr>
        <w:shd w:val="clear" w:color="auto" w:fill="FAE0D8" w:themeFill="accent6" w:themeFillTint="33"/>
      </w:tcPr>
    </w:tblStylePr>
  </w:style>
  <w:style w:type="table" w:styleId="ColourfulShading">
    <w:name w:val="Colorful Shading"/>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1B242A" w:themeColor="accent1"/>
        <w:bottom w:val="single" w:sz="4" w:space="0" w:color="1B242A" w:themeColor="accent1"/>
        <w:right w:val="single" w:sz="4" w:space="0" w:color="1B242A" w:themeColor="accent1"/>
        <w:insideH w:val="single" w:sz="4" w:space="0" w:color="FFFFFF" w:themeColor="background1"/>
        <w:insideV w:val="single" w:sz="4" w:space="0" w:color="FFFFFF" w:themeColor="background1"/>
      </w:tblBorders>
    </w:tblPr>
    <w:tcPr>
      <w:shd w:val="clear" w:color="auto" w:fill="E4EAEE" w:themeFill="accen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1519" w:themeFill="accent1" w:themeFillShade="99"/>
      </w:tcPr>
    </w:tblStylePr>
    <w:tblStylePr w:type="firstCol">
      <w:rPr>
        <w:color w:val="FFFFFF" w:themeColor="background1"/>
      </w:rPr>
      <w:tblPr/>
      <w:tcPr>
        <w:tcBorders>
          <w:top w:val="nil"/>
          <w:left w:val="nil"/>
          <w:bottom w:val="nil"/>
          <w:right w:val="nil"/>
          <w:insideH w:val="single" w:sz="4" w:space="0" w:color="101519" w:themeColor="accent1" w:themeShade="99"/>
          <w:insideV w:val="nil"/>
        </w:tcBorders>
        <w:shd w:val="clear" w:color="auto" w:fill="10151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01519" w:themeFill="accent1" w:themeFillShade="99"/>
      </w:tcPr>
    </w:tblStylePr>
    <w:tblStylePr w:type="band1Vert">
      <w:tblPr/>
      <w:tcPr>
        <w:shd w:val="clear" w:color="auto" w:fill="93AABA" w:themeFill="accent1" w:themeFillTint="66"/>
      </w:tcPr>
    </w:tblStylePr>
    <w:tblStylePr w:type="band1Horz">
      <w:tblPr/>
      <w:tcPr>
        <w:shd w:val="clear" w:color="auto" w:fill="7995A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007586" w:themeColor="accent2"/>
        <w:bottom w:val="single" w:sz="4" w:space="0" w:color="007586" w:themeColor="accent2"/>
        <w:right w:val="single" w:sz="4" w:space="0" w:color="007586" w:themeColor="accent2"/>
        <w:insideH w:val="single" w:sz="4" w:space="0" w:color="FFFFFF" w:themeColor="background1"/>
        <w:insideV w:val="single" w:sz="4" w:space="0" w:color="FFFFFF" w:themeColor="background1"/>
      </w:tblBorders>
    </w:tblPr>
    <w:tcPr>
      <w:shd w:val="clear" w:color="auto" w:fill="DAFAFF" w:themeFill="accent2"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50" w:themeFill="accent2" w:themeFillShade="99"/>
      </w:tcPr>
    </w:tblStylePr>
    <w:tblStylePr w:type="firstCol">
      <w:rPr>
        <w:color w:val="FFFFFF" w:themeColor="background1"/>
      </w:rPr>
      <w:tblPr/>
      <w:tcPr>
        <w:tcBorders>
          <w:top w:val="nil"/>
          <w:left w:val="nil"/>
          <w:bottom w:val="nil"/>
          <w:right w:val="nil"/>
          <w:insideH w:val="single" w:sz="4" w:space="0" w:color="004550" w:themeColor="accent2" w:themeShade="99"/>
          <w:insideV w:val="nil"/>
        </w:tcBorders>
        <w:shd w:val="clear" w:color="auto" w:fill="0045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550" w:themeFill="accent2" w:themeFillShade="99"/>
      </w:tcPr>
    </w:tblStylePr>
    <w:tblStylePr w:type="band1Vert">
      <w:tblPr/>
      <w:tcPr>
        <w:shd w:val="clear" w:color="auto" w:fill="68EBFF" w:themeFill="accent2" w:themeFillTint="66"/>
      </w:tcPr>
    </w:tblStylePr>
    <w:tblStylePr w:type="band1Horz">
      <w:tblPr/>
      <w:tcPr>
        <w:shd w:val="clear" w:color="auto" w:fill="43E6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4C97" w:themeColor="accent4"/>
        <w:left w:val="single" w:sz="4" w:space="0" w:color="5AB9EB" w:themeColor="accent3"/>
        <w:bottom w:val="single" w:sz="4" w:space="0" w:color="5AB9EB" w:themeColor="accent3"/>
        <w:right w:val="single" w:sz="4" w:space="0" w:color="5AB9EB" w:themeColor="accent3"/>
        <w:insideH w:val="single" w:sz="4" w:space="0" w:color="FFFFFF" w:themeColor="background1"/>
        <w:insideV w:val="single" w:sz="4" w:space="0" w:color="FFFFFF" w:themeColor="background1"/>
      </w:tblBorders>
    </w:tblPr>
    <w:tcPr>
      <w:shd w:val="clear" w:color="auto" w:fill="EEF8FD" w:themeFill="accent3" w:themeFillTint="19"/>
    </w:tcPr>
    <w:tblStylePr w:type="firstRow">
      <w:rPr>
        <w:b/>
        <w:bCs/>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79AD" w:themeFill="accent3" w:themeFillShade="99"/>
      </w:tcPr>
    </w:tblStylePr>
    <w:tblStylePr w:type="firstCol">
      <w:rPr>
        <w:color w:val="FFFFFF" w:themeColor="background1"/>
      </w:rPr>
      <w:tblPr/>
      <w:tcPr>
        <w:tcBorders>
          <w:top w:val="nil"/>
          <w:left w:val="nil"/>
          <w:bottom w:val="nil"/>
          <w:right w:val="nil"/>
          <w:insideH w:val="single" w:sz="4" w:space="0" w:color="1579AD" w:themeColor="accent3" w:themeShade="99"/>
          <w:insideV w:val="nil"/>
        </w:tcBorders>
        <w:shd w:val="clear" w:color="auto" w:fill="15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579AD" w:themeFill="accent3" w:themeFillShade="99"/>
      </w:tcPr>
    </w:tblStylePr>
    <w:tblStylePr w:type="band1Vert">
      <w:tblPr/>
      <w:tcPr>
        <w:shd w:val="clear" w:color="auto" w:fill="BDE2F7" w:themeFill="accent3" w:themeFillTint="66"/>
      </w:tcPr>
    </w:tblStylePr>
    <w:tblStylePr w:type="band1Horz">
      <w:tblPr/>
      <w:tcPr>
        <w:shd w:val="clear" w:color="auto" w:fill="ACDCF5" w:themeFill="accent3" w:themeFillTint="7F"/>
      </w:tcPr>
    </w:tblStylePr>
  </w:style>
  <w:style w:type="table" w:styleId="ColourfulShadingAccent4">
    <w:name w:val="Colorful Shading Accent 4"/>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5AB9EB" w:themeColor="accent3"/>
        <w:left w:val="single" w:sz="4" w:space="0" w:color="004C97" w:themeColor="accent4"/>
        <w:bottom w:val="single" w:sz="4" w:space="0" w:color="004C97" w:themeColor="accent4"/>
        <w:right w:val="single" w:sz="4" w:space="0" w:color="004C97" w:themeColor="accent4"/>
        <w:insideH w:val="single" w:sz="4" w:space="0" w:color="FFFFFF" w:themeColor="background1"/>
        <w:insideV w:val="single" w:sz="4" w:space="0" w:color="FFFFFF" w:themeColor="background1"/>
      </w:tblBorders>
    </w:tblPr>
    <w:tcPr>
      <w:shd w:val="clear" w:color="auto" w:fill="DBEDFF" w:themeFill="accent4" w:themeFillTint="19"/>
    </w:tcPr>
    <w:tblStylePr w:type="firstRow">
      <w:rPr>
        <w:b/>
        <w:bCs/>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4" w:themeFillShade="99"/>
      </w:tcPr>
    </w:tblStylePr>
    <w:tblStylePr w:type="firstCol">
      <w:rPr>
        <w:color w:val="FFFFFF" w:themeColor="background1"/>
      </w:rPr>
      <w:tblPr/>
      <w:tcPr>
        <w:tcBorders>
          <w:top w:val="nil"/>
          <w:left w:val="nil"/>
          <w:bottom w:val="nil"/>
          <w:right w:val="nil"/>
          <w:insideH w:val="single" w:sz="4" w:space="0" w:color="002D5A" w:themeColor="accent4" w:themeShade="99"/>
          <w:insideV w:val="nil"/>
        </w:tcBorders>
        <w:shd w:val="clear" w:color="auto" w:fill="002D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4" w:themeFillShade="99"/>
      </w:tcPr>
    </w:tblStylePr>
    <w:tblStylePr w:type="band1Vert">
      <w:tblPr/>
      <w:tcPr>
        <w:shd w:val="clear" w:color="auto" w:fill="6FB7FF" w:themeFill="accent4" w:themeFillTint="66"/>
      </w:tcPr>
    </w:tblStylePr>
    <w:tblStylePr w:type="band1Horz">
      <w:tblPr/>
      <w:tcPr>
        <w:shd w:val="clear" w:color="auto" w:fill="4CA5F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E6643C" w:themeColor="accent6"/>
        <w:left w:val="single" w:sz="4" w:space="0" w:color="5AAA64" w:themeColor="accent5"/>
        <w:bottom w:val="single" w:sz="4" w:space="0" w:color="5AAA64" w:themeColor="accent5"/>
        <w:right w:val="single" w:sz="4" w:space="0" w:color="5AAA64" w:themeColor="accent5"/>
        <w:insideH w:val="single" w:sz="4" w:space="0" w:color="FFFFFF" w:themeColor="background1"/>
        <w:insideV w:val="single" w:sz="4" w:space="0" w:color="FFFFFF" w:themeColor="background1"/>
      </w:tblBorders>
    </w:tblPr>
    <w:tcPr>
      <w:shd w:val="clear" w:color="auto" w:fill="EEF6EF" w:themeFill="accent5" w:themeFillTint="19"/>
    </w:tcPr>
    <w:tblStylePr w:type="firstRow">
      <w:rPr>
        <w:b/>
        <w:bCs/>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63B" w:themeFill="accent5" w:themeFillShade="99"/>
      </w:tcPr>
    </w:tblStylePr>
    <w:tblStylePr w:type="firstCol">
      <w:rPr>
        <w:color w:val="FFFFFF" w:themeColor="background1"/>
      </w:rPr>
      <w:tblPr/>
      <w:tcPr>
        <w:tcBorders>
          <w:top w:val="nil"/>
          <w:left w:val="nil"/>
          <w:bottom w:val="nil"/>
          <w:right w:val="nil"/>
          <w:insideH w:val="single" w:sz="4" w:space="0" w:color="35663B" w:themeColor="accent5" w:themeShade="99"/>
          <w:insideV w:val="nil"/>
        </w:tcBorders>
        <w:shd w:val="clear" w:color="auto" w:fill="3566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663B" w:themeFill="accent5" w:themeFillShade="99"/>
      </w:tcPr>
    </w:tblStylePr>
    <w:tblStylePr w:type="band1Vert">
      <w:tblPr/>
      <w:tcPr>
        <w:shd w:val="clear" w:color="auto" w:fill="BDDDC0" w:themeFill="accent5" w:themeFillTint="66"/>
      </w:tcPr>
    </w:tblStylePr>
    <w:tblStylePr w:type="band1Horz">
      <w:tblPr/>
      <w:tcPr>
        <w:shd w:val="clear" w:color="auto" w:fill="ACD4B1"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5AAA64" w:themeColor="accent5"/>
        <w:left w:val="single" w:sz="4" w:space="0" w:color="E6643C" w:themeColor="accent6"/>
        <w:bottom w:val="single" w:sz="4" w:space="0" w:color="E6643C" w:themeColor="accent6"/>
        <w:right w:val="single" w:sz="4" w:space="0" w:color="E6643C" w:themeColor="accent6"/>
        <w:insideH w:val="single" w:sz="4" w:space="0" w:color="FFFFFF" w:themeColor="background1"/>
        <w:insideV w:val="single" w:sz="4" w:space="0" w:color="FFFFFF" w:themeColor="background1"/>
      </w:tblBorders>
    </w:tblPr>
    <w:tcPr>
      <w:shd w:val="clear" w:color="auto" w:fill="FCEFEB" w:themeFill="accent6" w:themeFillTint="19"/>
    </w:tcPr>
    <w:tblStylePr w:type="firstRow">
      <w:rPr>
        <w:b/>
        <w:bCs/>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3313" w:themeFill="accent6" w:themeFillShade="99"/>
      </w:tcPr>
    </w:tblStylePr>
    <w:tblStylePr w:type="firstCol">
      <w:rPr>
        <w:color w:val="FFFFFF" w:themeColor="background1"/>
      </w:rPr>
      <w:tblPr/>
      <w:tcPr>
        <w:tcBorders>
          <w:top w:val="nil"/>
          <w:left w:val="nil"/>
          <w:bottom w:val="nil"/>
          <w:right w:val="nil"/>
          <w:insideH w:val="single" w:sz="4" w:space="0" w:color="9A3313" w:themeColor="accent6" w:themeShade="99"/>
          <w:insideV w:val="nil"/>
        </w:tcBorders>
        <w:shd w:val="clear" w:color="auto" w:fill="9A33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A3313" w:themeFill="accent6" w:themeFillShade="99"/>
      </w:tcPr>
    </w:tblStylePr>
    <w:tblStylePr w:type="band1Vert">
      <w:tblPr/>
      <w:tcPr>
        <w:shd w:val="clear" w:color="auto" w:fill="F5C1B1" w:themeFill="accent6" w:themeFillTint="66"/>
      </w:tcPr>
    </w:tblStylePr>
    <w:tblStylePr w:type="band1Horz">
      <w:tblPr/>
      <w:tcPr>
        <w:shd w:val="clear" w:color="auto" w:fill="F2B19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1B242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11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41A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41A1F" w:themeFill="accent1" w:themeFillShade="BF"/>
      </w:tcPr>
    </w:tblStylePr>
    <w:tblStylePr w:type="band1Vert">
      <w:tblPr/>
      <w:tcPr>
        <w:tcBorders>
          <w:top w:val="nil"/>
          <w:left w:val="nil"/>
          <w:bottom w:val="nil"/>
          <w:right w:val="nil"/>
          <w:insideH w:val="nil"/>
          <w:insideV w:val="nil"/>
        </w:tcBorders>
        <w:shd w:val="clear" w:color="auto" w:fill="141A1F" w:themeFill="accent1" w:themeFillShade="BF"/>
      </w:tcPr>
    </w:tblStylePr>
    <w:tblStylePr w:type="band1Horz">
      <w:tblPr/>
      <w:tcPr>
        <w:tcBorders>
          <w:top w:val="nil"/>
          <w:left w:val="nil"/>
          <w:bottom w:val="nil"/>
          <w:right w:val="nil"/>
          <w:insideH w:val="nil"/>
          <w:insideV w:val="nil"/>
        </w:tcBorders>
        <w:shd w:val="clear" w:color="auto" w:fill="141A1F" w:themeFill="accent1" w:themeFillShade="BF"/>
      </w:tcPr>
    </w:tblStylePr>
  </w:style>
  <w:style w:type="table" w:styleId="DarkList-Accent2">
    <w:name w:val="Dark List Accent 2"/>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758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7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764" w:themeFill="accent2" w:themeFillShade="BF"/>
      </w:tcPr>
    </w:tblStylePr>
    <w:tblStylePr w:type="band1Vert">
      <w:tblPr/>
      <w:tcPr>
        <w:tcBorders>
          <w:top w:val="nil"/>
          <w:left w:val="nil"/>
          <w:bottom w:val="nil"/>
          <w:right w:val="nil"/>
          <w:insideH w:val="nil"/>
          <w:insideV w:val="nil"/>
        </w:tcBorders>
        <w:shd w:val="clear" w:color="auto" w:fill="005764" w:themeFill="accent2" w:themeFillShade="BF"/>
      </w:tcPr>
    </w:tblStylePr>
    <w:tblStylePr w:type="band1Horz">
      <w:tblPr/>
      <w:tcPr>
        <w:tcBorders>
          <w:top w:val="nil"/>
          <w:left w:val="nil"/>
          <w:bottom w:val="nil"/>
          <w:right w:val="nil"/>
          <w:insideH w:val="nil"/>
          <w:insideV w:val="nil"/>
        </w:tcBorders>
        <w:shd w:val="clear" w:color="auto" w:fill="005764" w:themeFill="accent2" w:themeFillShade="BF"/>
      </w:tcPr>
    </w:tblStylePr>
  </w:style>
  <w:style w:type="table" w:styleId="DarkList-Accent3">
    <w:name w:val="Dark List Accent 3"/>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5AB9E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A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A97D9" w:themeFill="accent3" w:themeFillShade="BF"/>
      </w:tcPr>
    </w:tblStylePr>
    <w:tblStylePr w:type="band1Vert">
      <w:tblPr/>
      <w:tcPr>
        <w:tcBorders>
          <w:top w:val="nil"/>
          <w:left w:val="nil"/>
          <w:bottom w:val="nil"/>
          <w:right w:val="nil"/>
          <w:insideH w:val="nil"/>
          <w:insideV w:val="nil"/>
        </w:tcBorders>
        <w:shd w:val="clear" w:color="auto" w:fill="1A97D9" w:themeFill="accent3" w:themeFillShade="BF"/>
      </w:tcPr>
    </w:tblStylePr>
    <w:tblStylePr w:type="band1Horz">
      <w:tblPr/>
      <w:tcPr>
        <w:tcBorders>
          <w:top w:val="nil"/>
          <w:left w:val="nil"/>
          <w:bottom w:val="nil"/>
          <w:right w:val="nil"/>
          <w:insideH w:val="nil"/>
          <w:insideV w:val="nil"/>
        </w:tcBorders>
        <w:shd w:val="clear" w:color="auto" w:fill="1A97D9" w:themeFill="accent3" w:themeFillShade="BF"/>
      </w:tcPr>
    </w:tblStylePr>
  </w:style>
  <w:style w:type="table" w:styleId="DarkList-Accent4">
    <w:name w:val="Dark List Accent 4"/>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4C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4" w:themeFillShade="BF"/>
      </w:tcPr>
    </w:tblStylePr>
    <w:tblStylePr w:type="band1Vert">
      <w:tblPr/>
      <w:tcPr>
        <w:tcBorders>
          <w:top w:val="nil"/>
          <w:left w:val="nil"/>
          <w:bottom w:val="nil"/>
          <w:right w:val="nil"/>
          <w:insideH w:val="nil"/>
          <w:insideV w:val="nil"/>
        </w:tcBorders>
        <w:shd w:val="clear" w:color="auto" w:fill="003871" w:themeFill="accent4" w:themeFillShade="BF"/>
      </w:tcPr>
    </w:tblStylePr>
    <w:tblStylePr w:type="band1Horz">
      <w:tblPr/>
      <w:tcPr>
        <w:tcBorders>
          <w:top w:val="nil"/>
          <w:left w:val="nil"/>
          <w:bottom w:val="nil"/>
          <w:right w:val="nil"/>
          <w:insideH w:val="nil"/>
          <w:insideV w:val="nil"/>
        </w:tcBorders>
        <w:shd w:val="clear" w:color="auto" w:fill="003871" w:themeFill="accent4" w:themeFillShade="BF"/>
      </w:tcPr>
    </w:tblStylePr>
  </w:style>
  <w:style w:type="table" w:styleId="DarkList-Accent5">
    <w:name w:val="Dark List Accent 5"/>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5AAA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5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80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8049" w:themeFill="accent5" w:themeFillShade="BF"/>
      </w:tcPr>
    </w:tblStylePr>
    <w:tblStylePr w:type="band1Vert">
      <w:tblPr/>
      <w:tcPr>
        <w:tcBorders>
          <w:top w:val="nil"/>
          <w:left w:val="nil"/>
          <w:bottom w:val="nil"/>
          <w:right w:val="nil"/>
          <w:insideH w:val="nil"/>
          <w:insideV w:val="nil"/>
        </w:tcBorders>
        <w:shd w:val="clear" w:color="auto" w:fill="428049" w:themeFill="accent5" w:themeFillShade="BF"/>
      </w:tcPr>
    </w:tblStylePr>
    <w:tblStylePr w:type="band1Horz">
      <w:tblPr/>
      <w:tcPr>
        <w:tcBorders>
          <w:top w:val="nil"/>
          <w:left w:val="nil"/>
          <w:bottom w:val="nil"/>
          <w:right w:val="nil"/>
          <w:insideH w:val="nil"/>
          <w:insideV w:val="nil"/>
        </w:tcBorders>
        <w:shd w:val="clear" w:color="auto" w:fill="428049" w:themeFill="accent5" w:themeFillShade="BF"/>
      </w:tcPr>
    </w:tblStylePr>
  </w:style>
  <w:style w:type="table" w:styleId="DarkList-Accent6">
    <w:name w:val="Dark List Accent 6"/>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E664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40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4018" w:themeFill="accent6" w:themeFillShade="BF"/>
      </w:tcPr>
    </w:tblStylePr>
    <w:tblStylePr w:type="band1Vert">
      <w:tblPr/>
      <w:tcPr>
        <w:tcBorders>
          <w:top w:val="nil"/>
          <w:left w:val="nil"/>
          <w:bottom w:val="nil"/>
          <w:right w:val="nil"/>
          <w:insideH w:val="nil"/>
          <w:insideV w:val="nil"/>
        </w:tcBorders>
        <w:shd w:val="clear" w:color="auto" w:fill="C04018" w:themeFill="accent6" w:themeFillShade="BF"/>
      </w:tcPr>
    </w:tblStylePr>
    <w:tblStylePr w:type="band1Horz">
      <w:tblPr/>
      <w:tcPr>
        <w:tcBorders>
          <w:top w:val="nil"/>
          <w:left w:val="nil"/>
          <w:bottom w:val="nil"/>
          <w:right w:val="nil"/>
          <w:insideH w:val="nil"/>
          <w:insideV w:val="nil"/>
        </w:tcBorders>
        <w:shd w:val="clear" w:color="auto" w:fill="C04018" w:themeFill="accent6" w:themeFillShade="BF"/>
      </w:tcPr>
    </w:tblStylePr>
  </w:style>
  <w:style w:type="table" w:styleId="GridTable1Light">
    <w:name w:val="Grid Table 1 Light"/>
    <w:basedOn w:val="TableNormal"/>
    <w:uiPriority w:val="46"/>
    <w:semiHidden/>
    <w:rsid w:val="00E45C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45C9C"/>
    <w:pPr>
      <w:spacing w:after="0" w:line="240" w:lineRule="auto"/>
    </w:pPr>
    <w:tblPr>
      <w:tblStyleRowBandSize w:val="1"/>
      <w:tblStyleColBandSize w:val="1"/>
      <w:tblBorders>
        <w:top w:val="single" w:sz="4" w:space="0" w:color="93AABA" w:themeColor="accent1" w:themeTint="66"/>
        <w:left w:val="single" w:sz="4" w:space="0" w:color="93AABA" w:themeColor="accent1" w:themeTint="66"/>
        <w:bottom w:val="single" w:sz="4" w:space="0" w:color="93AABA" w:themeColor="accent1" w:themeTint="66"/>
        <w:right w:val="single" w:sz="4" w:space="0" w:color="93AABA" w:themeColor="accent1" w:themeTint="66"/>
        <w:insideH w:val="single" w:sz="4" w:space="0" w:color="93AABA" w:themeColor="accent1" w:themeTint="66"/>
        <w:insideV w:val="single" w:sz="4" w:space="0" w:color="93AABA" w:themeColor="accent1" w:themeTint="66"/>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2" w:space="0" w:color="607F9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45C9C"/>
    <w:pPr>
      <w:spacing w:after="0" w:line="240" w:lineRule="auto"/>
    </w:pPr>
    <w:tblPr>
      <w:tblStyleRowBandSize w:val="1"/>
      <w:tblStyleColBandSize w:val="1"/>
      <w:tblBorders>
        <w:top w:val="single" w:sz="4" w:space="0" w:color="68EBFF" w:themeColor="accent2" w:themeTint="66"/>
        <w:left w:val="single" w:sz="4" w:space="0" w:color="68EBFF" w:themeColor="accent2" w:themeTint="66"/>
        <w:bottom w:val="single" w:sz="4" w:space="0" w:color="68EBFF" w:themeColor="accent2" w:themeTint="66"/>
        <w:right w:val="single" w:sz="4" w:space="0" w:color="68EBFF" w:themeColor="accent2" w:themeTint="66"/>
        <w:insideH w:val="single" w:sz="4" w:space="0" w:color="68EBFF" w:themeColor="accent2" w:themeTint="66"/>
        <w:insideV w:val="single" w:sz="4" w:space="0" w:color="68EBFF" w:themeColor="accent2" w:themeTint="66"/>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2" w:space="0" w:color="1DE1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45C9C"/>
    <w:pPr>
      <w:spacing w:after="0" w:line="240" w:lineRule="auto"/>
    </w:pPr>
    <w:tblPr>
      <w:tblStyleRowBandSize w:val="1"/>
      <w:tblStyleColBandSize w:val="1"/>
      <w:tblBorders>
        <w:top w:val="single" w:sz="4" w:space="0" w:color="BDE2F7" w:themeColor="accent3" w:themeTint="66"/>
        <w:left w:val="single" w:sz="4" w:space="0" w:color="BDE2F7" w:themeColor="accent3" w:themeTint="66"/>
        <w:bottom w:val="single" w:sz="4" w:space="0" w:color="BDE2F7" w:themeColor="accent3" w:themeTint="66"/>
        <w:right w:val="single" w:sz="4" w:space="0" w:color="BDE2F7" w:themeColor="accent3" w:themeTint="66"/>
        <w:insideH w:val="single" w:sz="4" w:space="0" w:color="BDE2F7" w:themeColor="accent3" w:themeTint="66"/>
        <w:insideV w:val="single" w:sz="4" w:space="0" w:color="BDE2F7" w:themeColor="accent3" w:themeTint="66"/>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2" w:space="0" w:color="9CD4F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45C9C"/>
    <w:pPr>
      <w:spacing w:after="0" w:line="240" w:lineRule="auto"/>
    </w:pPr>
    <w:tblPr>
      <w:tblStyleRowBandSize w:val="1"/>
      <w:tblStyleColBandSize w:val="1"/>
      <w:tblBorders>
        <w:top w:val="single" w:sz="4" w:space="0" w:color="6FB7FF" w:themeColor="accent4" w:themeTint="66"/>
        <w:left w:val="single" w:sz="4" w:space="0" w:color="6FB7FF" w:themeColor="accent4" w:themeTint="66"/>
        <w:bottom w:val="single" w:sz="4" w:space="0" w:color="6FB7FF" w:themeColor="accent4" w:themeTint="66"/>
        <w:right w:val="single" w:sz="4" w:space="0" w:color="6FB7FF" w:themeColor="accent4" w:themeTint="66"/>
        <w:insideH w:val="single" w:sz="4" w:space="0" w:color="6FB7FF" w:themeColor="accent4" w:themeTint="66"/>
        <w:insideV w:val="single" w:sz="4" w:space="0" w:color="6FB7FF" w:themeColor="accent4" w:themeTint="66"/>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2" w:space="0" w:color="2793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45C9C"/>
    <w:pPr>
      <w:spacing w:after="0" w:line="240" w:lineRule="auto"/>
    </w:pPr>
    <w:tblPr>
      <w:tblStyleRowBandSize w:val="1"/>
      <w:tblStyleColBandSize w:val="1"/>
      <w:tblBorders>
        <w:top w:val="single" w:sz="4" w:space="0" w:color="BDDDC0" w:themeColor="accent5" w:themeTint="66"/>
        <w:left w:val="single" w:sz="4" w:space="0" w:color="BDDDC0" w:themeColor="accent5" w:themeTint="66"/>
        <w:bottom w:val="single" w:sz="4" w:space="0" w:color="BDDDC0" w:themeColor="accent5" w:themeTint="66"/>
        <w:right w:val="single" w:sz="4" w:space="0" w:color="BDDDC0" w:themeColor="accent5" w:themeTint="66"/>
        <w:insideH w:val="single" w:sz="4" w:space="0" w:color="BDDDC0" w:themeColor="accent5" w:themeTint="66"/>
        <w:insideV w:val="single" w:sz="4" w:space="0" w:color="BDDDC0" w:themeColor="accent5" w:themeTint="66"/>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2" w:space="0" w:color="9CCCA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45C9C"/>
    <w:pPr>
      <w:spacing w:after="0" w:line="240" w:lineRule="auto"/>
    </w:pPr>
    <w:tblPr>
      <w:tblStyleRowBandSize w:val="1"/>
      <w:tblStyleColBandSize w:val="1"/>
      <w:tblBorders>
        <w:top w:val="single" w:sz="4" w:space="0" w:color="F5C1B1" w:themeColor="accent6" w:themeTint="66"/>
        <w:left w:val="single" w:sz="4" w:space="0" w:color="F5C1B1" w:themeColor="accent6" w:themeTint="66"/>
        <w:bottom w:val="single" w:sz="4" w:space="0" w:color="F5C1B1" w:themeColor="accent6" w:themeTint="66"/>
        <w:right w:val="single" w:sz="4" w:space="0" w:color="F5C1B1" w:themeColor="accent6" w:themeTint="66"/>
        <w:insideH w:val="single" w:sz="4" w:space="0" w:color="F5C1B1" w:themeColor="accent6" w:themeTint="66"/>
        <w:insideV w:val="single" w:sz="4" w:space="0" w:color="F5C1B1" w:themeColor="accent6" w:themeTint="66"/>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2" w:space="0" w:color="F0A28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45C9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45C9C"/>
    <w:pPr>
      <w:spacing w:after="0" w:line="240" w:lineRule="auto"/>
    </w:pPr>
    <w:tblPr>
      <w:tblStyleRowBandSize w:val="1"/>
      <w:tblStyleColBandSize w:val="1"/>
      <w:tblBorders>
        <w:top w:val="single" w:sz="2" w:space="0" w:color="607F95" w:themeColor="accent1" w:themeTint="99"/>
        <w:bottom w:val="single" w:sz="2" w:space="0" w:color="607F95" w:themeColor="accent1" w:themeTint="99"/>
        <w:insideH w:val="single" w:sz="2" w:space="0" w:color="607F95" w:themeColor="accent1" w:themeTint="99"/>
        <w:insideV w:val="single" w:sz="2" w:space="0" w:color="607F95" w:themeColor="accent1" w:themeTint="99"/>
      </w:tblBorders>
    </w:tblPr>
    <w:tblStylePr w:type="firstRow">
      <w:rPr>
        <w:b/>
        <w:bCs/>
      </w:rPr>
      <w:tblPr/>
      <w:tcPr>
        <w:tcBorders>
          <w:top w:val="nil"/>
          <w:bottom w:val="single" w:sz="12" w:space="0" w:color="607F95" w:themeColor="accent1" w:themeTint="99"/>
          <w:insideH w:val="nil"/>
          <w:insideV w:val="nil"/>
        </w:tcBorders>
        <w:shd w:val="clear" w:color="auto" w:fill="FFFFFF" w:themeFill="background1"/>
      </w:tcPr>
    </w:tblStylePr>
    <w:tblStylePr w:type="lastRow">
      <w:rPr>
        <w:b/>
        <w:bCs/>
      </w:rPr>
      <w:tblPr/>
      <w:tcPr>
        <w:tcBorders>
          <w:top w:val="double" w:sz="2" w:space="0" w:color="607F9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2-Accent2">
    <w:name w:val="Grid Table 2 Accent 2"/>
    <w:basedOn w:val="TableNormal"/>
    <w:uiPriority w:val="47"/>
    <w:semiHidden/>
    <w:rsid w:val="00E45C9C"/>
    <w:pPr>
      <w:spacing w:after="0" w:line="240" w:lineRule="auto"/>
    </w:pPr>
    <w:tblPr>
      <w:tblStyleRowBandSize w:val="1"/>
      <w:tblStyleColBandSize w:val="1"/>
      <w:tblBorders>
        <w:top w:val="single" w:sz="2" w:space="0" w:color="1DE1FF" w:themeColor="accent2" w:themeTint="99"/>
        <w:bottom w:val="single" w:sz="2" w:space="0" w:color="1DE1FF" w:themeColor="accent2" w:themeTint="99"/>
        <w:insideH w:val="single" w:sz="2" w:space="0" w:color="1DE1FF" w:themeColor="accent2" w:themeTint="99"/>
        <w:insideV w:val="single" w:sz="2" w:space="0" w:color="1DE1FF" w:themeColor="accent2" w:themeTint="99"/>
      </w:tblBorders>
    </w:tblPr>
    <w:tblStylePr w:type="firstRow">
      <w:rPr>
        <w:b/>
        <w:bCs/>
      </w:rPr>
      <w:tblPr/>
      <w:tcPr>
        <w:tcBorders>
          <w:top w:val="nil"/>
          <w:bottom w:val="single" w:sz="12" w:space="0" w:color="1DE1FF" w:themeColor="accent2" w:themeTint="99"/>
          <w:insideH w:val="nil"/>
          <w:insideV w:val="nil"/>
        </w:tcBorders>
        <w:shd w:val="clear" w:color="auto" w:fill="FFFFFF" w:themeFill="background1"/>
      </w:tcPr>
    </w:tblStylePr>
    <w:tblStylePr w:type="lastRow">
      <w:rPr>
        <w:b/>
        <w:bCs/>
      </w:rPr>
      <w:tblPr/>
      <w:tcPr>
        <w:tcBorders>
          <w:top w:val="double" w:sz="2" w:space="0" w:color="1DE1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2-Accent3">
    <w:name w:val="Grid Table 2 Accent 3"/>
    <w:basedOn w:val="TableNormal"/>
    <w:uiPriority w:val="47"/>
    <w:semiHidden/>
    <w:rsid w:val="00E45C9C"/>
    <w:pPr>
      <w:spacing w:after="0" w:line="240" w:lineRule="auto"/>
    </w:pPr>
    <w:tblPr>
      <w:tblStyleRowBandSize w:val="1"/>
      <w:tblStyleColBandSize w:val="1"/>
      <w:tblBorders>
        <w:top w:val="single" w:sz="2" w:space="0" w:color="9CD4F3" w:themeColor="accent3" w:themeTint="99"/>
        <w:bottom w:val="single" w:sz="2" w:space="0" w:color="9CD4F3" w:themeColor="accent3" w:themeTint="99"/>
        <w:insideH w:val="single" w:sz="2" w:space="0" w:color="9CD4F3" w:themeColor="accent3" w:themeTint="99"/>
        <w:insideV w:val="single" w:sz="2" w:space="0" w:color="9CD4F3" w:themeColor="accent3" w:themeTint="99"/>
      </w:tblBorders>
    </w:tblPr>
    <w:tblStylePr w:type="firstRow">
      <w:rPr>
        <w:b/>
        <w:bCs/>
      </w:rPr>
      <w:tblPr/>
      <w:tcPr>
        <w:tcBorders>
          <w:top w:val="nil"/>
          <w:bottom w:val="single" w:sz="12" w:space="0" w:color="9CD4F3" w:themeColor="accent3" w:themeTint="99"/>
          <w:insideH w:val="nil"/>
          <w:insideV w:val="nil"/>
        </w:tcBorders>
        <w:shd w:val="clear" w:color="auto" w:fill="FFFFFF" w:themeFill="background1"/>
      </w:tcPr>
    </w:tblStylePr>
    <w:tblStylePr w:type="lastRow">
      <w:rPr>
        <w:b/>
        <w:bCs/>
      </w:rPr>
      <w:tblPr/>
      <w:tcPr>
        <w:tcBorders>
          <w:top w:val="double" w:sz="2" w:space="0" w:color="9CD4F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2-Accent4">
    <w:name w:val="Grid Table 2 Accent 4"/>
    <w:basedOn w:val="TableNormal"/>
    <w:uiPriority w:val="47"/>
    <w:semiHidden/>
    <w:rsid w:val="00E45C9C"/>
    <w:pPr>
      <w:spacing w:after="0" w:line="240" w:lineRule="auto"/>
    </w:pPr>
    <w:tblPr>
      <w:tblStyleRowBandSize w:val="1"/>
      <w:tblStyleColBandSize w:val="1"/>
      <w:tblBorders>
        <w:top w:val="single" w:sz="2" w:space="0" w:color="2793FF" w:themeColor="accent4" w:themeTint="99"/>
        <w:bottom w:val="single" w:sz="2" w:space="0" w:color="2793FF" w:themeColor="accent4" w:themeTint="99"/>
        <w:insideH w:val="single" w:sz="2" w:space="0" w:color="2793FF" w:themeColor="accent4" w:themeTint="99"/>
        <w:insideV w:val="single" w:sz="2" w:space="0" w:color="2793FF" w:themeColor="accent4" w:themeTint="99"/>
      </w:tblBorders>
    </w:tblPr>
    <w:tblStylePr w:type="firstRow">
      <w:rPr>
        <w:b/>
        <w:bCs/>
      </w:rPr>
      <w:tblPr/>
      <w:tcPr>
        <w:tcBorders>
          <w:top w:val="nil"/>
          <w:bottom w:val="single" w:sz="12" w:space="0" w:color="2793FF" w:themeColor="accent4" w:themeTint="99"/>
          <w:insideH w:val="nil"/>
          <w:insideV w:val="nil"/>
        </w:tcBorders>
        <w:shd w:val="clear" w:color="auto" w:fill="FFFFFF" w:themeFill="background1"/>
      </w:tcPr>
    </w:tblStylePr>
    <w:tblStylePr w:type="lastRow">
      <w:rPr>
        <w:b/>
        <w:bCs/>
      </w:rPr>
      <w:tblPr/>
      <w:tcPr>
        <w:tcBorders>
          <w:top w:val="double" w:sz="2" w:space="0" w:color="2793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2-Accent5">
    <w:name w:val="Grid Table 2 Accent 5"/>
    <w:basedOn w:val="TableNormal"/>
    <w:uiPriority w:val="47"/>
    <w:semiHidden/>
    <w:rsid w:val="00E45C9C"/>
    <w:pPr>
      <w:spacing w:after="0" w:line="240" w:lineRule="auto"/>
    </w:pPr>
    <w:tblPr>
      <w:tblStyleRowBandSize w:val="1"/>
      <w:tblStyleColBandSize w:val="1"/>
      <w:tblBorders>
        <w:top w:val="single" w:sz="2" w:space="0" w:color="9CCCA1" w:themeColor="accent5" w:themeTint="99"/>
        <w:bottom w:val="single" w:sz="2" w:space="0" w:color="9CCCA1" w:themeColor="accent5" w:themeTint="99"/>
        <w:insideH w:val="single" w:sz="2" w:space="0" w:color="9CCCA1" w:themeColor="accent5" w:themeTint="99"/>
        <w:insideV w:val="single" w:sz="2" w:space="0" w:color="9CCCA1" w:themeColor="accent5" w:themeTint="99"/>
      </w:tblBorders>
    </w:tblPr>
    <w:tblStylePr w:type="firstRow">
      <w:rPr>
        <w:b/>
        <w:bCs/>
      </w:rPr>
      <w:tblPr/>
      <w:tcPr>
        <w:tcBorders>
          <w:top w:val="nil"/>
          <w:bottom w:val="single" w:sz="12" w:space="0" w:color="9CCCA1" w:themeColor="accent5" w:themeTint="99"/>
          <w:insideH w:val="nil"/>
          <w:insideV w:val="nil"/>
        </w:tcBorders>
        <w:shd w:val="clear" w:color="auto" w:fill="FFFFFF" w:themeFill="background1"/>
      </w:tcPr>
    </w:tblStylePr>
    <w:tblStylePr w:type="lastRow">
      <w:rPr>
        <w:b/>
        <w:bCs/>
      </w:rPr>
      <w:tblPr/>
      <w:tcPr>
        <w:tcBorders>
          <w:top w:val="double" w:sz="2" w:space="0" w:color="9CCCA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2-Accent6">
    <w:name w:val="Grid Table 2 Accent 6"/>
    <w:basedOn w:val="TableNormal"/>
    <w:uiPriority w:val="47"/>
    <w:semiHidden/>
    <w:rsid w:val="00E45C9C"/>
    <w:pPr>
      <w:spacing w:after="0" w:line="240" w:lineRule="auto"/>
    </w:pPr>
    <w:tblPr>
      <w:tblStyleRowBandSize w:val="1"/>
      <w:tblStyleColBandSize w:val="1"/>
      <w:tblBorders>
        <w:top w:val="single" w:sz="2" w:space="0" w:color="F0A28A" w:themeColor="accent6" w:themeTint="99"/>
        <w:bottom w:val="single" w:sz="2" w:space="0" w:color="F0A28A" w:themeColor="accent6" w:themeTint="99"/>
        <w:insideH w:val="single" w:sz="2" w:space="0" w:color="F0A28A" w:themeColor="accent6" w:themeTint="99"/>
        <w:insideV w:val="single" w:sz="2" w:space="0" w:color="F0A28A" w:themeColor="accent6" w:themeTint="99"/>
      </w:tblBorders>
    </w:tblPr>
    <w:tblStylePr w:type="firstRow">
      <w:rPr>
        <w:b/>
        <w:bCs/>
      </w:rPr>
      <w:tblPr/>
      <w:tcPr>
        <w:tcBorders>
          <w:top w:val="nil"/>
          <w:bottom w:val="single" w:sz="12" w:space="0" w:color="F0A28A" w:themeColor="accent6" w:themeTint="99"/>
          <w:insideH w:val="nil"/>
          <w:insideV w:val="nil"/>
        </w:tcBorders>
        <w:shd w:val="clear" w:color="auto" w:fill="FFFFFF" w:themeFill="background1"/>
      </w:tcPr>
    </w:tblStylePr>
    <w:tblStylePr w:type="lastRow">
      <w:rPr>
        <w:b/>
        <w:bCs/>
      </w:rPr>
      <w:tblPr/>
      <w:tcPr>
        <w:tcBorders>
          <w:top w:val="double" w:sz="2" w:space="0" w:color="F0A2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3">
    <w:name w:val="Grid Table 3"/>
    <w:basedOn w:val="TableNormal"/>
    <w:uiPriority w:val="48"/>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3-Accent2">
    <w:name w:val="Grid Table 3 Accent 2"/>
    <w:basedOn w:val="TableNormal"/>
    <w:uiPriority w:val="48"/>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3-Accent3">
    <w:name w:val="Grid Table 3 Accent 3"/>
    <w:basedOn w:val="TableNormal"/>
    <w:uiPriority w:val="48"/>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3-Accent4">
    <w:name w:val="Grid Table 3 Accent 4"/>
    <w:basedOn w:val="TableNormal"/>
    <w:uiPriority w:val="48"/>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3-Accent5">
    <w:name w:val="Grid Table 3 Accent 5"/>
    <w:basedOn w:val="TableNormal"/>
    <w:uiPriority w:val="48"/>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3-Accent6">
    <w:name w:val="Grid Table 3 Accent 6"/>
    <w:basedOn w:val="TableNormal"/>
    <w:uiPriority w:val="48"/>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GridTable4">
    <w:name w:val="Grid Table 4"/>
    <w:basedOn w:val="TableNormal"/>
    <w:uiPriority w:val="49"/>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insideV w:val="nil"/>
        </w:tcBorders>
        <w:shd w:val="clear" w:color="auto" w:fill="1B242A" w:themeFill="accent1"/>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4-Accent2">
    <w:name w:val="Grid Table 4 Accent 2"/>
    <w:basedOn w:val="TableNormal"/>
    <w:uiPriority w:val="49"/>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insideV w:val="nil"/>
        </w:tcBorders>
        <w:shd w:val="clear" w:color="auto" w:fill="007586" w:themeFill="accent2"/>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4-Accent3">
    <w:name w:val="Grid Table 4 Accent 3"/>
    <w:basedOn w:val="TableNormal"/>
    <w:uiPriority w:val="49"/>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insideV w:val="nil"/>
        </w:tcBorders>
        <w:shd w:val="clear" w:color="auto" w:fill="5AB9EB" w:themeFill="accent3"/>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4-Accent4">
    <w:name w:val="Grid Table 4 Accent 4"/>
    <w:basedOn w:val="TableNormal"/>
    <w:uiPriority w:val="49"/>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insideV w:val="nil"/>
        </w:tcBorders>
        <w:shd w:val="clear" w:color="auto" w:fill="004C97" w:themeFill="accent4"/>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4-Accent5">
    <w:name w:val="Grid Table 4 Accent 5"/>
    <w:basedOn w:val="TableNormal"/>
    <w:uiPriority w:val="49"/>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insideV w:val="nil"/>
        </w:tcBorders>
        <w:shd w:val="clear" w:color="auto" w:fill="5AAA64" w:themeFill="accent5"/>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4-Accent6">
    <w:name w:val="Grid Table 4 Accent 6"/>
    <w:basedOn w:val="TableNormal"/>
    <w:uiPriority w:val="49"/>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insideV w:val="nil"/>
        </w:tcBorders>
        <w:shd w:val="clear" w:color="auto" w:fill="E6643C" w:themeFill="accent6"/>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5Dark">
    <w:name w:val="Grid Table 5 Dark"/>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242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242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242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242A" w:themeFill="accent1"/>
      </w:tcPr>
    </w:tblStylePr>
    <w:tblStylePr w:type="band1Vert">
      <w:tblPr/>
      <w:tcPr>
        <w:shd w:val="clear" w:color="auto" w:fill="93AABA" w:themeFill="accent1" w:themeFillTint="66"/>
      </w:tcPr>
    </w:tblStylePr>
    <w:tblStylePr w:type="band1Horz">
      <w:tblPr/>
      <w:tcPr>
        <w:shd w:val="clear" w:color="auto" w:fill="93AABA" w:themeFill="accent1" w:themeFillTint="66"/>
      </w:tcPr>
    </w:tblStylePr>
  </w:style>
  <w:style w:type="table" w:styleId="GridTable5Dark-Accent2">
    <w:name w:val="Grid Table 5 Dark Accent 2"/>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58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58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58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586" w:themeFill="accent2"/>
      </w:tcPr>
    </w:tblStylePr>
    <w:tblStylePr w:type="band1Vert">
      <w:tblPr/>
      <w:tcPr>
        <w:shd w:val="clear" w:color="auto" w:fill="68EBFF" w:themeFill="accent2" w:themeFillTint="66"/>
      </w:tcPr>
    </w:tblStylePr>
    <w:tblStylePr w:type="band1Horz">
      <w:tblPr/>
      <w:tcPr>
        <w:shd w:val="clear" w:color="auto" w:fill="68EBFF" w:themeFill="accent2" w:themeFillTint="66"/>
      </w:tcPr>
    </w:tblStylePr>
  </w:style>
  <w:style w:type="table" w:styleId="GridTable5Dark-Accent3">
    <w:name w:val="Grid Table 5 Dark Accent 3"/>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B9E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B9E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B9E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B9EB" w:themeFill="accent3"/>
      </w:tcPr>
    </w:tblStylePr>
    <w:tblStylePr w:type="band1Vert">
      <w:tblPr/>
      <w:tcPr>
        <w:shd w:val="clear" w:color="auto" w:fill="BDE2F7" w:themeFill="accent3" w:themeFillTint="66"/>
      </w:tcPr>
    </w:tblStylePr>
    <w:tblStylePr w:type="band1Horz">
      <w:tblPr/>
      <w:tcPr>
        <w:shd w:val="clear" w:color="auto" w:fill="BDE2F7" w:themeFill="accent3" w:themeFillTint="66"/>
      </w:tcPr>
    </w:tblStylePr>
  </w:style>
  <w:style w:type="table" w:styleId="GridTable5Dark-Accent4">
    <w:name w:val="Grid Table 5 Dark Accent 4"/>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4"/>
      </w:tcPr>
    </w:tblStylePr>
    <w:tblStylePr w:type="band1Vert">
      <w:tblPr/>
      <w:tcPr>
        <w:shd w:val="clear" w:color="auto" w:fill="6FB7FF" w:themeFill="accent4" w:themeFillTint="66"/>
      </w:tcPr>
    </w:tblStylePr>
    <w:tblStylePr w:type="band1Horz">
      <w:tblPr/>
      <w:tcPr>
        <w:shd w:val="clear" w:color="auto" w:fill="6FB7FF" w:themeFill="accent4" w:themeFillTint="66"/>
      </w:tcPr>
    </w:tblStylePr>
  </w:style>
  <w:style w:type="table" w:styleId="GridTable5Dark-Accent5">
    <w:name w:val="Grid Table 5 Dark Accent 5"/>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E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A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A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A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A64" w:themeFill="accent5"/>
      </w:tcPr>
    </w:tblStylePr>
    <w:tblStylePr w:type="band1Vert">
      <w:tblPr/>
      <w:tcPr>
        <w:shd w:val="clear" w:color="auto" w:fill="BDDDC0" w:themeFill="accent5" w:themeFillTint="66"/>
      </w:tcPr>
    </w:tblStylePr>
    <w:tblStylePr w:type="band1Horz">
      <w:tblPr/>
      <w:tcPr>
        <w:shd w:val="clear" w:color="auto" w:fill="BDDDC0" w:themeFill="accent5" w:themeFillTint="66"/>
      </w:tcPr>
    </w:tblStylePr>
  </w:style>
  <w:style w:type="table" w:styleId="GridTable5Dark-Accent6">
    <w:name w:val="Grid Table 5 Dark Accent 6"/>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43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43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43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43C" w:themeFill="accent6"/>
      </w:tcPr>
    </w:tblStylePr>
    <w:tblStylePr w:type="band1Vert">
      <w:tblPr/>
      <w:tcPr>
        <w:shd w:val="clear" w:color="auto" w:fill="F5C1B1" w:themeFill="accent6" w:themeFillTint="66"/>
      </w:tcPr>
    </w:tblStylePr>
    <w:tblStylePr w:type="band1Horz">
      <w:tblPr/>
      <w:tcPr>
        <w:shd w:val="clear" w:color="auto" w:fill="F5C1B1" w:themeFill="accent6" w:themeFillTint="66"/>
      </w:tcPr>
    </w:tblStylePr>
  </w:style>
  <w:style w:type="table" w:styleId="GridTable6Colourful">
    <w:name w:val="Grid Table 6 Colorful"/>
    <w:basedOn w:val="TableNormal"/>
    <w:uiPriority w:val="51"/>
    <w:semiHidden/>
    <w:rsid w:val="00E45C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E45C9C"/>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6ColourfulAccent2">
    <w:name w:val="Grid Table 6 Colorful Accent 2"/>
    <w:basedOn w:val="TableNormal"/>
    <w:uiPriority w:val="51"/>
    <w:semiHidden/>
    <w:rsid w:val="00E45C9C"/>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6ColourfulAccent3">
    <w:name w:val="Grid Table 6 Colorful Accent 3"/>
    <w:basedOn w:val="TableNormal"/>
    <w:uiPriority w:val="51"/>
    <w:semiHidden/>
    <w:rsid w:val="00E45C9C"/>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6ColourfulAccent4">
    <w:name w:val="Grid Table 6 Colorful Accent 4"/>
    <w:basedOn w:val="TableNormal"/>
    <w:uiPriority w:val="51"/>
    <w:semiHidden/>
    <w:rsid w:val="00E45C9C"/>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6ColourfulAccent5">
    <w:name w:val="Grid Table 6 Colorful Accent 5"/>
    <w:basedOn w:val="TableNormal"/>
    <w:uiPriority w:val="51"/>
    <w:semiHidden/>
    <w:rsid w:val="00E45C9C"/>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6ColourfulAccent6">
    <w:name w:val="Grid Table 6 Colorful Accent 6"/>
    <w:basedOn w:val="TableNormal"/>
    <w:uiPriority w:val="51"/>
    <w:semiHidden/>
    <w:rsid w:val="00E45C9C"/>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7Colourful">
    <w:name w:val="Grid Table 7 Colorful"/>
    <w:basedOn w:val="TableNormal"/>
    <w:uiPriority w:val="52"/>
    <w:semiHidden/>
    <w:rsid w:val="00E45C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E45C9C"/>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7ColourfulAccent2">
    <w:name w:val="Grid Table 7 Colorful Accent 2"/>
    <w:basedOn w:val="TableNormal"/>
    <w:uiPriority w:val="52"/>
    <w:semiHidden/>
    <w:rsid w:val="00E45C9C"/>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7ColourfulAccent3">
    <w:name w:val="Grid Table 7 Colorful Accent 3"/>
    <w:basedOn w:val="TableNormal"/>
    <w:uiPriority w:val="52"/>
    <w:semiHidden/>
    <w:rsid w:val="00E45C9C"/>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7ColourfulAccent4">
    <w:name w:val="Grid Table 7 Colorful Accent 4"/>
    <w:basedOn w:val="TableNormal"/>
    <w:uiPriority w:val="52"/>
    <w:semiHidden/>
    <w:rsid w:val="00E45C9C"/>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7ColourfulAccent5">
    <w:name w:val="Grid Table 7 Colorful Accent 5"/>
    <w:basedOn w:val="TableNormal"/>
    <w:uiPriority w:val="52"/>
    <w:semiHidden/>
    <w:rsid w:val="00E45C9C"/>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7ColourfulAccent6">
    <w:name w:val="Grid Table 7 Colorful Accent 6"/>
    <w:basedOn w:val="TableNormal"/>
    <w:uiPriority w:val="52"/>
    <w:semiHidden/>
    <w:rsid w:val="00E45C9C"/>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LightGrid">
    <w:name w:val="Light Grid"/>
    <w:basedOn w:val="TableNormal"/>
    <w:uiPriority w:val="62"/>
    <w:semiHidden/>
    <w:rsid w:val="00E45C9C"/>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45C9C"/>
    <w:pPr>
      <w:spacing w:before="0"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18" w:space="0" w:color="1B242A" w:themeColor="accent1"/>
          <w:right w:val="single" w:sz="8" w:space="0" w:color="1B242A" w:themeColor="accent1"/>
          <w:insideH w:val="nil"/>
          <w:insideV w:val="single" w:sz="8" w:space="0" w:color="1B242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insideH w:val="nil"/>
          <w:insideV w:val="single" w:sz="8" w:space="0" w:color="1B242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shd w:val="clear" w:color="auto" w:fill="BCCAD4" w:themeFill="accent1" w:themeFillTint="3F"/>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shd w:val="clear" w:color="auto" w:fill="BCCAD4" w:themeFill="accent1" w:themeFillTint="3F"/>
      </w:tcPr>
    </w:tblStylePr>
    <w:tblStylePr w:type="band2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tcPr>
    </w:tblStylePr>
  </w:style>
  <w:style w:type="table" w:styleId="LightGrid-Accent2">
    <w:name w:val="Light Grid Accent 2"/>
    <w:basedOn w:val="TableNormal"/>
    <w:uiPriority w:val="62"/>
    <w:semiHidden/>
    <w:rsid w:val="00E45C9C"/>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18" w:space="0" w:color="007586" w:themeColor="accent2"/>
          <w:right w:val="single" w:sz="8" w:space="0" w:color="007586" w:themeColor="accent2"/>
          <w:insideH w:val="nil"/>
          <w:insideV w:val="single" w:sz="8" w:space="0" w:color="00758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insideH w:val="nil"/>
          <w:insideV w:val="single" w:sz="8" w:space="0" w:color="00758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shd w:val="clear" w:color="auto" w:fill="A2F2FF" w:themeFill="accent2" w:themeFillTint="3F"/>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shd w:val="clear" w:color="auto" w:fill="A2F2FF" w:themeFill="accent2" w:themeFillTint="3F"/>
      </w:tcPr>
    </w:tblStylePr>
    <w:tblStylePr w:type="band2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tcPr>
    </w:tblStylePr>
  </w:style>
  <w:style w:type="table" w:styleId="LightGrid-Accent3">
    <w:name w:val="Light Grid Accent 3"/>
    <w:basedOn w:val="TableNormal"/>
    <w:uiPriority w:val="62"/>
    <w:semiHidden/>
    <w:rsid w:val="00E45C9C"/>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18" w:space="0" w:color="5AB9EB" w:themeColor="accent3"/>
          <w:right w:val="single" w:sz="8" w:space="0" w:color="5AB9EB" w:themeColor="accent3"/>
          <w:insideH w:val="nil"/>
          <w:insideV w:val="single" w:sz="8" w:space="0" w:color="5AB9E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insideH w:val="nil"/>
          <w:insideV w:val="single" w:sz="8" w:space="0" w:color="5AB9E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shd w:val="clear" w:color="auto" w:fill="D5EDFA" w:themeFill="accent3" w:themeFillTint="3F"/>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shd w:val="clear" w:color="auto" w:fill="D5EDFA" w:themeFill="accent3" w:themeFillTint="3F"/>
      </w:tcPr>
    </w:tblStylePr>
    <w:tblStylePr w:type="band2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tcPr>
    </w:tblStylePr>
  </w:style>
  <w:style w:type="table" w:styleId="LightGrid-Accent4">
    <w:name w:val="Light Grid Accent 4"/>
    <w:basedOn w:val="TableNormal"/>
    <w:uiPriority w:val="62"/>
    <w:semiHidden/>
    <w:rsid w:val="00E45C9C"/>
    <w:pPr>
      <w:spacing w:before="0"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18" w:space="0" w:color="004C97" w:themeColor="accent4"/>
          <w:right w:val="single" w:sz="8" w:space="0" w:color="004C97" w:themeColor="accent4"/>
          <w:insideH w:val="nil"/>
          <w:insideV w:val="single" w:sz="8" w:space="0" w:color="004C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insideH w:val="nil"/>
          <w:insideV w:val="single" w:sz="8" w:space="0" w:color="004C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shd w:val="clear" w:color="auto" w:fill="A6D2FF" w:themeFill="accent4" w:themeFillTint="3F"/>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shd w:val="clear" w:color="auto" w:fill="A6D2FF" w:themeFill="accent4" w:themeFillTint="3F"/>
      </w:tcPr>
    </w:tblStylePr>
    <w:tblStylePr w:type="band2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tcPr>
    </w:tblStylePr>
  </w:style>
  <w:style w:type="table" w:styleId="LightGrid-Accent5">
    <w:name w:val="Light Grid Accent 5"/>
    <w:basedOn w:val="TableNormal"/>
    <w:uiPriority w:val="62"/>
    <w:semiHidden/>
    <w:rsid w:val="00E45C9C"/>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18" w:space="0" w:color="5AAA64" w:themeColor="accent5"/>
          <w:right w:val="single" w:sz="8" w:space="0" w:color="5AAA64" w:themeColor="accent5"/>
          <w:insideH w:val="nil"/>
          <w:insideV w:val="single" w:sz="8" w:space="0" w:color="5AAA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insideH w:val="nil"/>
          <w:insideV w:val="single" w:sz="8" w:space="0" w:color="5AAA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shd w:val="clear" w:color="auto" w:fill="D6EAD8" w:themeFill="accent5" w:themeFillTint="3F"/>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shd w:val="clear" w:color="auto" w:fill="D6EAD8" w:themeFill="accent5" w:themeFillTint="3F"/>
      </w:tcPr>
    </w:tblStylePr>
    <w:tblStylePr w:type="band2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tcPr>
    </w:tblStylePr>
  </w:style>
  <w:style w:type="table" w:styleId="LightGrid-Accent6">
    <w:name w:val="Light Grid Accent 6"/>
    <w:basedOn w:val="TableNormal"/>
    <w:uiPriority w:val="62"/>
    <w:semiHidden/>
    <w:rsid w:val="00E45C9C"/>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18" w:space="0" w:color="E6643C" w:themeColor="accent6"/>
          <w:right w:val="single" w:sz="8" w:space="0" w:color="E6643C" w:themeColor="accent6"/>
          <w:insideH w:val="nil"/>
          <w:insideV w:val="single" w:sz="8" w:space="0" w:color="E664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insideH w:val="nil"/>
          <w:insideV w:val="single" w:sz="8" w:space="0" w:color="E664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shd w:val="clear" w:color="auto" w:fill="F8D8CE" w:themeFill="accent6" w:themeFillTint="3F"/>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shd w:val="clear" w:color="auto" w:fill="F8D8CE" w:themeFill="accent6" w:themeFillTint="3F"/>
      </w:tcPr>
    </w:tblStylePr>
    <w:tblStylePr w:type="band2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tcPr>
    </w:tblStylePr>
  </w:style>
  <w:style w:type="table" w:styleId="LightList">
    <w:name w:val="Light List"/>
    <w:basedOn w:val="TableNormal"/>
    <w:uiPriority w:val="61"/>
    <w:semiHidden/>
    <w:rsid w:val="00E45C9C"/>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semiHidden/>
    <w:rsid w:val="00E45C9C"/>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pPr>
        <w:spacing w:before="0" w:after="0" w:line="240" w:lineRule="auto"/>
      </w:pPr>
      <w:rPr>
        <w:b/>
        <w:bCs/>
        <w:color w:val="FFFFFF" w:themeColor="background1"/>
      </w:rPr>
      <w:tblPr/>
      <w:tcPr>
        <w:shd w:val="clear" w:color="auto" w:fill="007586" w:themeFill="accent2"/>
      </w:tcPr>
    </w:tblStylePr>
    <w:tblStylePr w:type="lastRow">
      <w:pPr>
        <w:spacing w:before="0" w:after="0" w:line="240" w:lineRule="auto"/>
      </w:pPr>
      <w:rPr>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tcBorders>
      </w:tcPr>
    </w:tblStylePr>
    <w:tblStylePr w:type="firstCol">
      <w:rPr>
        <w:b/>
        <w:bCs/>
      </w:rPr>
    </w:tblStylePr>
    <w:tblStylePr w:type="lastCol">
      <w:rPr>
        <w:b/>
        <w:bCs/>
      </w:r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style>
  <w:style w:type="table" w:styleId="LightList-Accent3">
    <w:name w:val="Light List Accent 3"/>
    <w:basedOn w:val="TableNormal"/>
    <w:uiPriority w:val="61"/>
    <w:semiHidden/>
    <w:rsid w:val="00E45C9C"/>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pPr>
        <w:spacing w:before="0" w:after="0" w:line="240" w:lineRule="auto"/>
      </w:pPr>
      <w:rPr>
        <w:b/>
        <w:bCs/>
        <w:color w:val="FFFFFF" w:themeColor="background1"/>
      </w:rPr>
      <w:tblPr/>
      <w:tcPr>
        <w:shd w:val="clear" w:color="auto" w:fill="5AB9EB" w:themeFill="accent3"/>
      </w:tcPr>
    </w:tblStylePr>
    <w:tblStylePr w:type="lastRow">
      <w:pPr>
        <w:spacing w:before="0" w:after="0" w:line="240" w:lineRule="auto"/>
      </w:pPr>
      <w:rPr>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tcBorders>
      </w:tcPr>
    </w:tblStylePr>
    <w:tblStylePr w:type="firstCol">
      <w:rPr>
        <w:b/>
        <w:bCs/>
      </w:rPr>
    </w:tblStylePr>
    <w:tblStylePr w:type="lastCol">
      <w:rPr>
        <w:b/>
        <w:bCs/>
      </w:r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style>
  <w:style w:type="table" w:styleId="LightList-Accent5">
    <w:name w:val="Light List Accent 5"/>
    <w:basedOn w:val="TableNormal"/>
    <w:uiPriority w:val="61"/>
    <w:semiHidden/>
    <w:rsid w:val="00E45C9C"/>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pPr>
        <w:spacing w:before="0" w:after="0" w:line="240" w:lineRule="auto"/>
      </w:pPr>
      <w:rPr>
        <w:b/>
        <w:bCs/>
        <w:color w:val="FFFFFF" w:themeColor="background1"/>
      </w:rPr>
      <w:tblPr/>
      <w:tcPr>
        <w:shd w:val="clear" w:color="auto" w:fill="5AAA64" w:themeFill="accent5"/>
      </w:tcPr>
    </w:tblStylePr>
    <w:tblStylePr w:type="lastRow">
      <w:pPr>
        <w:spacing w:before="0" w:after="0" w:line="240" w:lineRule="auto"/>
      </w:pPr>
      <w:rPr>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tcBorders>
      </w:tcPr>
    </w:tblStylePr>
    <w:tblStylePr w:type="firstCol">
      <w:rPr>
        <w:b/>
        <w:bCs/>
      </w:rPr>
    </w:tblStylePr>
    <w:tblStylePr w:type="lastCol">
      <w:rPr>
        <w:b/>
        <w:bCs/>
      </w:r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style>
  <w:style w:type="table" w:styleId="LightList-Accent6">
    <w:name w:val="Light List Accent 6"/>
    <w:basedOn w:val="TableNormal"/>
    <w:uiPriority w:val="61"/>
    <w:semiHidden/>
    <w:rsid w:val="00E45C9C"/>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pPr>
        <w:spacing w:before="0" w:after="0" w:line="240" w:lineRule="auto"/>
      </w:pPr>
      <w:rPr>
        <w:b/>
        <w:bCs/>
        <w:color w:val="FFFFFF" w:themeColor="background1"/>
      </w:rPr>
      <w:tblPr/>
      <w:tcPr>
        <w:shd w:val="clear" w:color="auto" w:fill="E6643C" w:themeFill="accent6"/>
      </w:tcPr>
    </w:tblStylePr>
    <w:tblStylePr w:type="lastRow">
      <w:pPr>
        <w:spacing w:before="0" w:after="0" w:line="240" w:lineRule="auto"/>
      </w:pPr>
      <w:rPr>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tcBorders>
      </w:tcPr>
    </w:tblStylePr>
    <w:tblStylePr w:type="firstCol">
      <w:rPr>
        <w:b/>
        <w:bCs/>
      </w:rPr>
    </w:tblStylePr>
    <w:tblStylePr w:type="lastCol">
      <w:rPr>
        <w:b/>
        <w:bCs/>
      </w:r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style>
  <w:style w:type="table" w:styleId="LightShading-Accent1">
    <w:name w:val="Light Shading Accent 1"/>
    <w:basedOn w:val="TableNormal"/>
    <w:uiPriority w:val="60"/>
    <w:semiHidden/>
    <w:rsid w:val="00E45C9C"/>
    <w:pPr>
      <w:spacing w:before="0" w:after="0" w:line="240" w:lineRule="auto"/>
    </w:pPr>
    <w:rPr>
      <w:color w:val="141A1F" w:themeColor="accent1" w:themeShade="BF"/>
    </w:rPr>
    <w:tblPr>
      <w:tblStyleRowBandSize w:val="1"/>
      <w:tblStyleColBandSize w:val="1"/>
      <w:tblBorders>
        <w:top w:val="single" w:sz="8" w:space="0" w:color="1B242A" w:themeColor="accent1"/>
        <w:bottom w:val="single" w:sz="8" w:space="0" w:color="1B242A" w:themeColor="accent1"/>
      </w:tblBorders>
    </w:tblPr>
    <w:tblStylePr w:type="fir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la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left w:val="nil"/>
          <w:right w:val="nil"/>
          <w:insideH w:val="nil"/>
          <w:insideV w:val="nil"/>
        </w:tcBorders>
        <w:shd w:val="clear" w:color="auto" w:fill="BCCAD4" w:themeFill="accent1" w:themeFillTint="3F"/>
      </w:tcPr>
    </w:tblStylePr>
  </w:style>
  <w:style w:type="table" w:styleId="LightShading-Accent2">
    <w:name w:val="Light Shading Accent 2"/>
    <w:basedOn w:val="TableNormal"/>
    <w:uiPriority w:val="60"/>
    <w:semiHidden/>
    <w:rsid w:val="00E45C9C"/>
    <w:pPr>
      <w:spacing w:before="0" w:after="0" w:line="240" w:lineRule="auto"/>
    </w:pPr>
    <w:rPr>
      <w:color w:val="005764" w:themeColor="accent2" w:themeShade="BF"/>
    </w:rPr>
    <w:tblPr>
      <w:tblStyleRowBandSize w:val="1"/>
      <w:tblStyleColBandSize w:val="1"/>
      <w:tblBorders>
        <w:top w:val="single" w:sz="8" w:space="0" w:color="007586" w:themeColor="accent2"/>
        <w:bottom w:val="single" w:sz="8" w:space="0" w:color="007586" w:themeColor="accent2"/>
      </w:tblBorders>
    </w:tblPr>
    <w:tblStylePr w:type="fir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la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left w:val="nil"/>
          <w:right w:val="nil"/>
          <w:insideH w:val="nil"/>
          <w:insideV w:val="nil"/>
        </w:tcBorders>
        <w:shd w:val="clear" w:color="auto" w:fill="A2F2FF" w:themeFill="accent2" w:themeFillTint="3F"/>
      </w:tcPr>
    </w:tblStylePr>
  </w:style>
  <w:style w:type="table" w:styleId="LightShading-Accent3">
    <w:name w:val="Light Shading Accent 3"/>
    <w:basedOn w:val="TableNormal"/>
    <w:uiPriority w:val="60"/>
    <w:semiHidden/>
    <w:rsid w:val="00E45C9C"/>
    <w:pPr>
      <w:spacing w:before="0" w:after="0" w:line="240" w:lineRule="auto"/>
    </w:pPr>
    <w:rPr>
      <w:color w:val="1A97D9" w:themeColor="accent3" w:themeShade="BF"/>
    </w:rPr>
    <w:tblPr>
      <w:tblStyleRowBandSize w:val="1"/>
      <w:tblStyleColBandSize w:val="1"/>
      <w:tblBorders>
        <w:top w:val="single" w:sz="8" w:space="0" w:color="5AB9EB" w:themeColor="accent3"/>
        <w:bottom w:val="single" w:sz="8" w:space="0" w:color="5AB9EB" w:themeColor="accent3"/>
      </w:tblBorders>
    </w:tblPr>
    <w:tblStylePr w:type="fir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la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left w:val="nil"/>
          <w:right w:val="nil"/>
          <w:insideH w:val="nil"/>
          <w:insideV w:val="nil"/>
        </w:tcBorders>
        <w:shd w:val="clear" w:color="auto" w:fill="D5EDFA" w:themeFill="accent3" w:themeFillTint="3F"/>
      </w:tcPr>
    </w:tblStylePr>
  </w:style>
  <w:style w:type="table" w:styleId="LightShading-Accent4">
    <w:name w:val="Light Shading Accent 4"/>
    <w:basedOn w:val="TableNormal"/>
    <w:uiPriority w:val="60"/>
    <w:semiHidden/>
    <w:rsid w:val="00E45C9C"/>
    <w:pPr>
      <w:spacing w:before="0" w:after="0" w:line="240" w:lineRule="auto"/>
    </w:pPr>
    <w:rPr>
      <w:color w:val="003871" w:themeColor="accent4" w:themeShade="BF"/>
    </w:rPr>
    <w:tblPr>
      <w:tblStyleRowBandSize w:val="1"/>
      <w:tblStyleColBandSize w:val="1"/>
      <w:tblBorders>
        <w:top w:val="single" w:sz="8" w:space="0" w:color="004C97" w:themeColor="accent4"/>
        <w:bottom w:val="single" w:sz="8" w:space="0" w:color="004C97" w:themeColor="accent4"/>
      </w:tblBorders>
    </w:tblPr>
    <w:tblStylePr w:type="fir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la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left w:val="nil"/>
          <w:right w:val="nil"/>
          <w:insideH w:val="nil"/>
          <w:insideV w:val="nil"/>
        </w:tcBorders>
        <w:shd w:val="clear" w:color="auto" w:fill="A6D2FF" w:themeFill="accent4" w:themeFillTint="3F"/>
      </w:tcPr>
    </w:tblStylePr>
  </w:style>
  <w:style w:type="table" w:styleId="LightShading-Accent5">
    <w:name w:val="Light Shading Accent 5"/>
    <w:basedOn w:val="TableNormal"/>
    <w:uiPriority w:val="60"/>
    <w:semiHidden/>
    <w:rsid w:val="00E45C9C"/>
    <w:pPr>
      <w:spacing w:before="0" w:after="0" w:line="240" w:lineRule="auto"/>
    </w:pPr>
    <w:rPr>
      <w:color w:val="428049" w:themeColor="accent5" w:themeShade="BF"/>
    </w:rPr>
    <w:tblPr>
      <w:tblStyleRowBandSize w:val="1"/>
      <w:tblStyleColBandSize w:val="1"/>
      <w:tblBorders>
        <w:top w:val="single" w:sz="8" w:space="0" w:color="5AAA64" w:themeColor="accent5"/>
        <w:bottom w:val="single" w:sz="8" w:space="0" w:color="5AAA64" w:themeColor="accent5"/>
      </w:tblBorders>
    </w:tblPr>
    <w:tblStylePr w:type="fir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la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left w:val="nil"/>
          <w:right w:val="nil"/>
          <w:insideH w:val="nil"/>
          <w:insideV w:val="nil"/>
        </w:tcBorders>
        <w:shd w:val="clear" w:color="auto" w:fill="D6EAD8" w:themeFill="accent5" w:themeFillTint="3F"/>
      </w:tcPr>
    </w:tblStylePr>
  </w:style>
  <w:style w:type="table" w:styleId="LightShading-Accent6">
    <w:name w:val="Light Shading Accent 6"/>
    <w:basedOn w:val="TableNormal"/>
    <w:uiPriority w:val="60"/>
    <w:semiHidden/>
    <w:rsid w:val="00E45C9C"/>
    <w:pPr>
      <w:spacing w:before="0" w:after="0" w:line="240" w:lineRule="auto"/>
    </w:pPr>
    <w:rPr>
      <w:color w:val="C04018" w:themeColor="accent6" w:themeShade="BF"/>
    </w:rPr>
    <w:tblPr>
      <w:tblStyleRowBandSize w:val="1"/>
      <w:tblStyleColBandSize w:val="1"/>
      <w:tblBorders>
        <w:top w:val="single" w:sz="8" w:space="0" w:color="E6643C" w:themeColor="accent6"/>
        <w:bottom w:val="single" w:sz="8" w:space="0" w:color="E6643C" w:themeColor="accent6"/>
      </w:tblBorders>
    </w:tblPr>
    <w:tblStylePr w:type="fir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la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left w:val="nil"/>
          <w:right w:val="nil"/>
          <w:insideH w:val="nil"/>
          <w:insideV w:val="nil"/>
        </w:tcBorders>
        <w:shd w:val="clear" w:color="auto" w:fill="F8D8CE" w:themeFill="accent6" w:themeFillTint="3F"/>
      </w:tcPr>
    </w:tblStylePr>
  </w:style>
  <w:style w:type="table" w:styleId="ListTable1Light">
    <w:name w:val="List Table 1 Light"/>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607F95" w:themeColor="accent1" w:themeTint="99"/>
        </w:tcBorders>
      </w:tcPr>
    </w:tblStylePr>
    <w:tblStylePr w:type="lastRow">
      <w:rPr>
        <w:b/>
        <w:bCs/>
      </w:rPr>
      <w:tblPr/>
      <w:tcPr>
        <w:tcBorders>
          <w:top w:val="sing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1Light-Accent2">
    <w:name w:val="List Table 1 Light Accent 2"/>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1DE1FF" w:themeColor="accent2" w:themeTint="99"/>
        </w:tcBorders>
      </w:tcPr>
    </w:tblStylePr>
    <w:tblStylePr w:type="lastRow">
      <w:rPr>
        <w:b/>
        <w:bCs/>
      </w:rPr>
      <w:tblPr/>
      <w:tcPr>
        <w:tcBorders>
          <w:top w:val="sing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1Light-Accent3">
    <w:name w:val="List Table 1 Light Accent 3"/>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9CD4F3" w:themeColor="accent3" w:themeTint="99"/>
        </w:tcBorders>
      </w:tcPr>
    </w:tblStylePr>
    <w:tblStylePr w:type="lastRow">
      <w:rPr>
        <w:b/>
        <w:bCs/>
      </w:rPr>
      <w:tblPr/>
      <w:tcPr>
        <w:tcBorders>
          <w:top w:val="sing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1Light-Accent4">
    <w:name w:val="List Table 1 Light Accent 4"/>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2793FF" w:themeColor="accent4" w:themeTint="99"/>
        </w:tcBorders>
      </w:tcPr>
    </w:tblStylePr>
    <w:tblStylePr w:type="lastRow">
      <w:rPr>
        <w:b/>
        <w:bCs/>
      </w:rPr>
      <w:tblPr/>
      <w:tcPr>
        <w:tcBorders>
          <w:top w:val="sing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1Light-Accent5">
    <w:name w:val="List Table 1 Light Accent 5"/>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9CCCA1" w:themeColor="accent5" w:themeTint="99"/>
        </w:tcBorders>
      </w:tcPr>
    </w:tblStylePr>
    <w:tblStylePr w:type="lastRow">
      <w:rPr>
        <w:b/>
        <w:bCs/>
      </w:rPr>
      <w:tblPr/>
      <w:tcPr>
        <w:tcBorders>
          <w:top w:val="sing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1Light-Accent6">
    <w:name w:val="List Table 1 Light Accent 6"/>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F0A28A" w:themeColor="accent6" w:themeTint="99"/>
        </w:tcBorders>
      </w:tcPr>
    </w:tblStylePr>
    <w:tblStylePr w:type="lastRow">
      <w:rPr>
        <w:b/>
        <w:bCs/>
      </w:rPr>
      <w:tblPr/>
      <w:tcPr>
        <w:tcBorders>
          <w:top w:val="sing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2">
    <w:name w:val="List Table 2"/>
    <w:basedOn w:val="TableNormal"/>
    <w:uiPriority w:val="47"/>
    <w:semiHidden/>
    <w:rsid w:val="00E45C9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45C9C"/>
    <w:pPr>
      <w:spacing w:after="0" w:line="240" w:lineRule="auto"/>
    </w:pPr>
    <w:tblPr>
      <w:tblStyleRowBandSize w:val="1"/>
      <w:tblStyleColBandSize w:val="1"/>
      <w:tblBorders>
        <w:top w:val="single" w:sz="4" w:space="0" w:color="607F95" w:themeColor="accent1" w:themeTint="99"/>
        <w:bottom w:val="single" w:sz="4" w:space="0" w:color="607F95" w:themeColor="accent1" w:themeTint="99"/>
        <w:insideH w:val="single" w:sz="4" w:space="0" w:color="607F9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2-Accent2">
    <w:name w:val="List Table 2 Accent 2"/>
    <w:basedOn w:val="TableNormal"/>
    <w:uiPriority w:val="47"/>
    <w:semiHidden/>
    <w:rsid w:val="00E45C9C"/>
    <w:pPr>
      <w:spacing w:after="0" w:line="240" w:lineRule="auto"/>
    </w:pPr>
    <w:tblPr>
      <w:tblStyleRowBandSize w:val="1"/>
      <w:tblStyleColBandSize w:val="1"/>
      <w:tblBorders>
        <w:top w:val="single" w:sz="4" w:space="0" w:color="1DE1FF" w:themeColor="accent2" w:themeTint="99"/>
        <w:bottom w:val="single" w:sz="4" w:space="0" w:color="1DE1FF" w:themeColor="accent2" w:themeTint="99"/>
        <w:insideH w:val="single" w:sz="4" w:space="0" w:color="1DE1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2-Accent3">
    <w:name w:val="List Table 2 Accent 3"/>
    <w:basedOn w:val="TableNormal"/>
    <w:uiPriority w:val="47"/>
    <w:semiHidden/>
    <w:rsid w:val="00E45C9C"/>
    <w:pPr>
      <w:spacing w:after="0" w:line="240" w:lineRule="auto"/>
    </w:pPr>
    <w:tblPr>
      <w:tblStyleRowBandSize w:val="1"/>
      <w:tblStyleColBandSize w:val="1"/>
      <w:tblBorders>
        <w:top w:val="single" w:sz="4" w:space="0" w:color="9CD4F3" w:themeColor="accent3" w:themeTint="99"/>
        <w:bottom w:val="single" w:sz="4" w:space="0" w:color="9CD4F3" w:themeColor="accent3" w:themeTint="99"/>
        <w:insideH w:val="single" w:sz="4" w:space="0" w:color="9CD4F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2-Accent4">
    <w:name w:val="List Table 2 Accent 4"/>
    <w:basedOn w:val="TableNormal"/>
    <w:uiPriority w:val="47"/>
    <w:semiHidden/>
    <w:rsid w:val="00E45C9C"/>
    <w:pPr>
      <w:spacing w:after="0" w:line="240" w:lineRule="auto"/>
    </w:pPr>
    <w:tblPr>
      <w:tblStyleRowBandSize w:val="1"/>
      <w:tblStyleColBandSize w:val="1"/>
      <w:tblBorders>
        <w:top w:val="single" w:sz="4" w:space="0" w:color="2793FF" w:themeColor="accent4" w:themeTint="99"/>
        <w:bottom w:val="single" w:sz="4" w:space="0" w:color="2793FF" w:themeColor="accent4" w:themeTint="99"/>
        <w:insideH w:val="single" w:sz="4" w:space="0" w:color="2793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2-Accent5">
    <w:name w:val="List Table 2 Accent 5"/>
    <w:basedOn w:val="TableNormal"/>
    <w:uiPriority w:val="47"/>
    <w:semiHidden/>
    <w:rsid w:val="00E45C9C"/>
    <w:pPr>
      <w:spacing w:after="0" w:line="240" w:lineRule="auto"/>
    </w:pPr>
    <w:tblPr>
      <w:tblStyleRowBandSize w:val="1"/>
      <w:tblStyleColBandSize w:val="1"/>
      <w:tblBorders>
        <w:top w:val="single" w:sz="4" w:space="0" w:color="9CCCA1" w:themeColor="accent5" w:themeTint="99"/>
        <w:bottom w:val="single" w:sz="4" w:space="0" w:color="9CCCA1" w:themeColor="accent5" w:themeTint="99"/>
        <w:insideH w:val="single" w:sz="4" w:space="0" w:color="9CCCA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2-Accent6">
    <w:name w:val="List Table 2 Accent 6"/>
    <w:basedOn w:val="TableNormal"/>
    <w:uiPriority w:val="47"/>
    <w:semiHidden/>
    <w:rsid w:val="00E45C9C"/>
    <w:pPr>
      <w:spacing w:after="0" w:line="240" w:lineRule="auto"/>
    </w:pPr>
    <w:tblPr>
      <w:tblStyleRowBandSize w:val="1"/>
      <w:tblStyleColBandSize w:val="1"/>
      <w:tblBorders>
        <w:top w:val="single" w:sz="4" w:space="0" w:color="F0A28A" w:themeColor="accent6" w:themeTint="99"/>
        <w:bottom w:val="single" w:sz="4" w:space="0" w:color="F0A28A" w:themeColor="accent6" w:themeTint="99"/>
        <w:insideH w:val="single" w:sz="4" w:space="0" w:color="F0A2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3">
    <w:name w:val="List Table 3"/>
    <w:basedOn w:val="TableNormal"/>
    <w:uiPriority w:val="48"/>
    <w:semiHidden/>
    <w:rsid w:val="00E45C9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45C9C"/>
    <w:pPr>
      <w:spacing w:after="0" w:line="240" w:lineRule="auto"/>
    </w:pPr>
    <w:tblPr>
      <w:tblStyleRowBandSize w:val="1"/>
      <w:tblStyleColBandSize w:val="1"/>
      <w:tblBorders>
        <w:top w:val="single" w:sz="4" w:space="0" w:color="1B242A" w:themeColor="accent1"/>
        <w:left w:val="single" w:sz="4" w:space="0" w:color="1B242A" w:themeColor="accent1"/>
        <w:bottom w:val="single" w:sz="4" w:space="0" w:color="1B242A" w:themeColor="accent1"/>
        <w:right w:val="single" w:sz="4" w:space="0" w:color="1B242A" w:themeColor="accent1"/>
      </w:tblBorders>
    </w:tblPr>
    <w:tblStylePr w:type="firstRow">
      <w:rPr>
        <w:b/>
        <w:bCs/>
        <w:color w:val="FFFFFF" w:themeColor="background1"/>
      </w:rPr>
      <w:tblPr/>
      <w:tcPr>
        <w:shd w:val="clear" w:color="auto" w:fill="1B242A" w:themeFill="accent1"/>
      </w:tcPr>
    </w:tblStylePr>
    <w:tblStylePr w:type="lastRow">
      <w:rPr>
        <w:b/>
        <w:bCs/>
      </w:rPr>
      <w:tblPr/>
      <w:tcPr>
        <w:tcBorders>
          <w:top w:val="double" w:sz="4" w:space="0" w:color="1B242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242A" w:themeColor="accent1"/>
          <w:right w:val="single" w:sz="4" w:space="0" w:color="1B242A" w:themeColor="accent1"/>
        </w:tcBorders>
      </w:tcPr>
    </w:tblStylePr>
    <w:tblStylePr w:type="band1Horz">
      <w:tblPr/>
      <w:tcPr>
        <w:tcBorders>
          <w:top w:val="single" w:sz="4" w:space="0" w:color="1B242A" w:themeColor="accent1"/>
          <w:bottom w:val="single" w:sz="4" w:space="0" w:color="1B242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242A" w:themeColor="accent1"/>
          <w:left w:val="nil"/>
        </w:tcBorders>
      </w:tcPr>
    </w:tblStylePr>
    <w:tblStylePr w:type="swCell">
      <w:tblPr/>
      <w:tcPr>
        <w:tcBorders>
          <w:top w:val="double" w:sz="4" w:space="0" w:color="1B242A" w:themeColor="accent1"/>
          <w:right w:val="nil"/>
        </w:tcBorders>
      </w:tcPr>
    </w:tblStylePr>
  </w:style>
  <w:style w:type="table" w:styleId="ListTable3-Accent2">
    <w:name w:val="List Table 3 Accent 2"/>
    <w:basedOn w:val="TableNormal"/>
    <w:uiPriority w:val="48"/>
    <w:semiHidden/>
    <w:rsid w:val="00E45C9C"/>
    <w:pPr>
      <w:spacing w:after="0" w:line="240" w:lineRule="auto"/>
    </w:pPr>
    <w:tblPr>
      <w:tblStyleRowBandSize w:val="1"/>
      <w:tblStyleColBandSize w:val="1"/>
      <w:tblBorders>
        <w:top w:val="single" w:sz="4" w:space="0" w:color="007586" w:themeColor="accent2"/>
        <w:left w:val="single" w:sz="4" w:space="0" w:color="007586" w:themeColor="accent2"/>
        <w:bottom w:val="single" w:sz="4" w:space="0" w:color="007586" w:themeColor="accent2"/>
        <w:right w:val="single" w:sz="4" w:space="0" w:color="007586" w:themeColor="accent2"/>
      </w:tblBorders>
    </w:tblPr>
    <w:tblStylePr w:type="firstRow">
      <w:rPr>
        <w:b/>
        <w:bCs/>
        <w:color w:val="FFFFFF" w:themeColor="background1"/>
      </w:rPr>
      <w:tblPr/>
      <w:tcPr>
        <w:shd w:val="clear" w:color="auto" w:fill="007586" w:themeFill="accent2"/>
      </w:tcPr>
    </w:tblStylePr>
    <w:tblStylePr w:type="lastRow">
      <w:rPr>
        <w:b/>
        <w:bCs/>
      </w:rPr>
      <w:tblPr/>
      <w:tcPr>
        <w:tcBorders>
          <w:top w:val="double" w:sz="4" w:space="0" w:color="00758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86" w:themeColor="accent2"/>
          <w:right w:val="single" w:sz="4" w:space="0" w:color="007586" w:themeColor="accent2"/>
        </w:tcBorders>
      </w:tcPr>
    </w:tblStylePr>
    <w:tblStylePr w:type="band1Horz">
      <w:tblPr/>
      <w:tcPr>
        <w:tcBorders>
          <w:top w:val="single" w:sz="4" w:space="0" w:color="007586" w:themeColor="accent2"/>
          <w:bottom w:val="single" w:sz="4" w:space="0" w:color="00758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86" w:themeColor="accent2"/>
          <w:left w:val="nil"/>
        </w:tcBorders>
      </w:tcPr>
    </w:tblStylePr>
    <w:tblStylePr w:type="swCell">
      <w:tblPr/>
      <w:tcPr>
        <w:tcBorders>
          <w:top w:val="double" w:sz="4" w:space="0" w:color="007586" w:themeColor="accent2"/>
          <w:right w:val="nil"/>
        </w:tcBorders>
      </w:tcPr>
    </w:tblStylePr>
  </w:style>
  <w:style w:type="table" w:styleId="ListTable3-Accent3">
    <w:name w:val="List Table 3 Accent 3"/>
    <w:basedOn w:val="TableNormal"/>
    <w:uiPriority w:val="48"/>
    <w:semiHidden/>
    <w:rsid w:val="00E45C9C"/>
    <w:pPr>
      <w:spacing w:after="0" w:line="240" w:lineRule="auto"/>
    </w:pPr>
    <w:tblPr>
      <w:tblStyleRowBandSize w:val="1"/>
      <w:tblStyleColBandSize w:val="1"/>
      <w:tblBorders>
        <w:top w:val="single" w:sz="4" w:space="0" w:color="5AB9EB" w:themeColor="accent3"/>
        <w:left w:val="single" w:sz="4" w:space="0" w:color="5AB9EB" w:themeColor="accent3"/>
        <w:bottom w:val="single" w:sz="4" w:space="0" w:color="5AB9EB" w:themeColor="accent3"/>
        <w:right w:val="single" w:sz="4" w:space="0" w:color="5AB9EB" w:themeColor="accent3"/>
      </w:tblBorders>
    </w:tblPr>
    <w:tblStylePr w:type="firstRow">
      <w:rPr>
        <w:b/>
        <w:bCs/>
        <w:color w:val="FFFFFF" w:themeColor="background1"/>
      </w:rPr>
      <w:tblPr/>
      <w:tcPr>
        <w:shd w:val="clear" w:color="auto" w:fill="5AB9EB" w:themeFill="accent3"/>
      </w:tcPr>
    </w:tblStylePr>
    <w:tblStylePr w:type="lastRow">
      <w:rPr>
        <w:b/>
        <w:bCs/>
      </w:rPr>
      <w:tblPr/>
      <w:tcPr>
        <w:tcBorders>
          <w:top w:val="double" w:sz="4" w:space="0" w:color="5AB9E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B9EB" w:themeColor="accent3"/>
          <w:right w:val="single" w:sz="4" w:space="0" w:color="5AB9EB" w:themeColor="accent3"/>
        </w:tcBorders>
      </w:tcPr>
    </w:tblStylePr>
    <w:tblStylePr w:type="band1Horz">
      <w:tblPr/>
      <w:tcPr>
        <w:tcBorders>
          <w:top w:val="single" w:sz="4" w:space="0" w:color="5AB9EB" w:themeColor="accent3"/>
          <w:bottom w:val="single" w:sz="4" w:space="0" w:color="5AB9E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B9EB" w:themeColor="accent3"/>
          <w:left w:val="nil"/>
        </w:tcBorders>
      </w:tcPr>
    </w:tblStylePr>
    <w:tblStylePr w:type="swCell">
      <w:tblPr/>
      <w:tcPr>
        <w:tcBorders>
          <w:top w:val="double" w:sz="4" w:space="0" w:color="5AB9EB" w:themeColor="accent3"/>
          <w:right w:val="nil"/>
        </w:tcBorders>
      </w:tcPr>
    </w:tblStylePr>
  </w:style>
  <w:style w:type="table" w:styleId="ListTable3-Accent4">
    <w:name w:val="List Table 3 Accent 4"/>
    <w:basedOn w:val="TableNormal"/>
    <w:uiPriority w:val="48"/>
    <w:semiHidden/>
    <w:rsid w:val="00E45C9C"/>
    <w:pPr>
      <w:spacing w:after="0" w:line="240" w:lineRule="auto"/>
    </w:pPr>
    <w:tblPr>
      <w:tblStyleRowBandSize w:val="1"/>
      <w:tblStyleColBandSize w:val="1"/>
      <w:tblBorders>
        <w:top w:val="single" w:sz="4" w:space="0" w:color="004C97" w:themeColor="accent4"/>
        <w:left w:val="single" w:sz="4" w:space="0" w:color="004C97" w:themeColor="accent4"/>
        <w:bottom w:val="single" w:sz="4" w:space="0" w:color="004C97" w:themeColor="accent4"/>
        <w:right w:val="single" w:sz="4" w:space="0" w:color="004C97" w:themeColor="accent4"/>
      </w:tblBorders>
    </w:tblPr>
    <w:tblStylePr w:type="firstRow">
      <w:rPr>
        <w:b/>
        <w:bCs/>
        <w:color w:val="FFFFFF" w:themeColor="background1"/>
      </w:rPr>
      <w:tblPr/>
      <w:tcPr>
        <w:shd w:val="clear" w:color="auto" w:fill="004C97" w:themeFill="accent4"/>
      </w:tcPr>
    </w:tblStylePr>
    <w:tblStylePr w:type="lastRow">
      <w:rPr>
        <w:b/>
        <w:bCs/>
      </w:rPr>
      <w:tblPr/>
      <w:tcPr>
        <w:tcBorders>
          <w:top w:val="double" w:sz="4" w:space="0" w:color="004C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4"/>
          <w:right w:val="single" w:sz="4" w:space="0" w:color="004C97" w:themeColor="accent4"/>
        </w:tcBorders>
      </w:tcPr>
    </w:tblStylePr>
    <w:tblStylePr w:type="band1Horz">
      <w:tblPr/>
      <w:tcPr>
        <w:tcBorders>
          <w:top w:val="single" w:sz="4" w:space="0" w:color="004C97" w:themeColor="accent4"/>
          <w:bottom w:val="single" w:sz="4" w:space="0" w:color="004C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4"/>
          <w:left w:val="nil"/>
        </w:tcBorders>
      </w:tcPr>
    </w:tblStylePr>
    <w:tblStylePr w:type="swCell">
      <w:tblPr/>
      <w:tcPr>
        <w:tcBorders>
          <w:top w:val="double" w:sz="4" w:space="0" w:color="004C97" w:themeColor="accent4"/>
          <w:right w:val="nil"/>
        </w:tcBorders>
      </w:tcPr>
    </w:tblStylePr>
  </w:style>
  <w:style w:type="table" w:styleId="ListTable3-Accent5">
    <w:name w:val="List Table 3 Accent 5"/>
    <w:basedOn w:val="TableNormal"/>
    <w:uiPriority w:val="48"/>
    <w:semiHidden/>
    <w:rsid w:val="00E45C9C"/>
    <w:pPr>
      <w:spacing w:after="0" w:line="240" w:lineRule="auto"/>
    </w:pPr>
    <w:tblPr>
      <w:tblStyleRowBandSize w:val="1"/>
      <w:tblStyleColBandSize w:val="1"/>
      <w:tblBorders>
        <w:top w:val="single" w:sz="4" w:space="0" w:color="5AAA64" w:themeColor="accent5"/>
        <w:left w:val="single" w:sz="4" w:space="0" w:color="5AAA64" w:themeColor="accent5"/>
        <w:bottom w:val="single" w:sz="4" w:space="0" w:color="5AAA64" w:themeColor="accent5"/>
        <w:right w:val="single" w:sz="4" w:space="0" w:color="5AAA64" w:themeColor="accent5"/>
      </w:tblBorders>
    </w:tblPr>
    <w:tblStylePr w:type="firstRow">
      <w:rPr>
        <w:b/>
        <w:bCs/>
        <w:color w:val="FFFFFF" w:themeColor="background1"/>
      </w:rPr>
      <w:tblPr/>
      <w:tcPr>
        <w:shd w:val="clear" w:color="auto" w:fill="5AAA64" w:themeFill="accent5"/>
      </w:tcPr>
    </w:tblStylePr>
    <w:tblStylePr w:type="lastRow">
      <w:rPr>
        <w:b/>
        <w:bCs/>
      </w:rPr>
      <w:tblPr/>
      <w:tcPr>
        <w:tcBorders>
          <w:top w:val="double" w:sz="4" w:space="0" w:color="5AAA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A64" w:themeColor="accent5"/>
          <w:right w:val="single" w:sz="4" w:space="0" w:color="5AAA64" w:themeColor="accent5"/>
        </w:tcBorders>
      </w:tcPr>
    </w:tblStylePr>
    <w:tblStylePr w:type="band1Horz">
      <w:tblPr/>
      <w:tcPr>
        <w:tcBorders>
          <w:top w:val="single" w:sz="4" w:space="0" w:color="5AAA64" w:themeColor="accent5"/>
          <w:bottom w:val="single" w:sz="4" w:space="0" w:color="5AAA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A64" w:themeColor="accent5"/>
          <w:left w:val="nil"/>
        </w:tcBorders>
      </w:tcPr>
    </w:tblStylePr>
    <w:tblStylePr w:type="swCell">
      <w:tblPr/>
      <w:tcPr>
        <w:tcBorders>
          <w:top w:val="double" w:sz="4" w:space="0" w:color="5AAA64" w:themeColor="accent5"/>
          <w:right w:val="nil"/>
        </w:tcBorders>
      </w:tcPr>
    </w:tblStylePr>
  </w:style>
  <w:style w:type="table" w:styleId="ListTable3-Accent6">
    <w:name w:val="List Table 3 Accent 6"/>
    <w:basedOn w:val="TableNormal"/>
    <w:uiPriority w:val="48"/>
    <w:semiHidden/>
    <w:rsid w:val="00E45C9C"/>
    <w:pPr>
      <w:spacing w:after="0" w:line="240" w:lineRule="auto"/>
    </w:pPr>
    <w:tblPr>
      <w:tblStyleRowBandSize w:val="1"/>
      <w:tblStyleColBandSize w:val="1"/>
      <w:tblBorders>
        <w:top w:val="single" w:sz="4" w:space="0" w:color="E6643C" w:themeColor="accent6"/>
        <w:left w:val="single" w:sz="4" w:space="0" w:color="E6643C" w:themeColor="accent6"/>
        <w:bottom w:val="single" w:sz="4" w:space="0" w:color="E6643C" w:themeColor="accent6"/>
        <w:right w:val="single" w:sz="4" w:space="0" w:color="E6643C" w:themeColor="accent6"/>
      </w:tblBorders>
    </w:tblPr>
    <w:tblStylePr w:type="firstRow">
      <w:rPr>
        <w:b/>
        <w:bCs/>
        <w:color w:val="FFFFFF" w:themeColor="background1"/>
      </w:rPr>
      <w:tblPr/>
      <w:tcPr>
        <w:shd w:val="clear" w:color="auto" w:fill="E6643C" w:themeFill="accent6"/>
      </w:tcPr>
    </w:tblStylePr>
    <w:tblStylePr w:type="lastRow">
      <w:rPr>
        <w:b/>
        <w:bCs/>
      </w:rPr>
      <w:tblPr/>
      <w:tcPr>
        <w:tcBorders>
          <w:top w:val="double" w:sz="4" w:space="0" w:color="E6643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43C" w:themeColor="accent6"/>
          <w:right w:val="single" w:sz="4" w:space="0" w:color="E6643C" w:themeColor="accent6"/>
        </w:tcBorders>
      </w:tcPr>
    </w:tblStylePr>
    <w:tblStylePr w:type="band1Horz">
      <w:tblPr/>
      <w:tcPr>
        <w:tcBorders>
          <w:top w:val="single" w:sz="4" w:space="0" w:color="E6643C" w:themeColor="accent6"/>
          <w:bottom w:val="single" w:sz="4" w:space="0" w:color="E6643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43C" w:themeColor="accent6"/>
          <w:left w:val="nil"/>
        </w:tcBorders>
      </w:tcPr>
    </w:tblStylePr>
    <w:tblStylePr w:type="swCell">
      <w:tblPr/>
      <w:tcPr>
        <w:tcBorders>
          <w:top w:val="double" w:sz="4" w:space="0" w:color="E6643C" w:themeColor="accent6"/>
          <w:right w:val="nil"/>
        </w:tcBorders>
      </w:tcPr>
    </w:tblStylePr>
  </w:style>
  <w:style w:type="table" w:styleId="ListTable4">
    <w:name w:val="List Table 4"/>
    <w:basedOn w:val="TableNormal"/>
    <w:uiPriority w:val="49"/>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tcBorders>
        <w:shd w:val="clear" w:color="auto" w:fill="1B242A" w:themeFill="accent1"/>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4-Accent2">
    <w:name w:val="List Table 4 Accent 2"/>
    <w:basedOn w:val="TableNormal"/>
    <w:uiPriority w:val="49"/>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tcBorders>
        <w:shd w:val="clear" w:color="auto" w:fill="007586" w:themeFill="accent2"/>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4-Accent3">
    <w:name w:val="List Table 4 Accent 3"/>
    <w:basedOn w:val="TableNormal"/>
    <w:uiPriority w:val="49"/>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tcBorders>
        <w:shd w:val="clear" w:color="auto" w:fill="5AB9EB" w:themeFill="accent3"/>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4-Accent4">
    <w:name w:val="List Table 4 Accent 4"/>
    <w:basedOn w:val="TableNormal"/>
    <w:uiPriority w:val="49"/>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tcBorders>
        <w:shd w:val="clear" w:color="auto" w:fill="004C97" w:themeFill="accent4"/>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4-Accent5">
    <w:name w:val="List Table 4 Accent 5"/>
    <w:basedOn w:val="TableNormal"/>
    <w:uiPriority w:val="49"/>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tcBorders>
        <w:shd w:val="clear" w:color="auto" w:fill="5AAA64" w:themeFill="accent5"/>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4-Accent6">
    <w:name w:val="List Table 4 Accent 6"/>
    <w:basedOn w:val="TableNormal"/>
    <w:uiPriority w:val="49"/>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tcBorders>
        <w:shd w:val="clear" w:color="auto" w:fill="E6643C" w:themeFill="accent6"/>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5Dark">
    <w:name w:val="List Table 5 Dark"/>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1B242A" w:themeColor="accent1"/>
        <w:left w:val="single" w:sz="24" w:space="0" w:color="1B242A" w:themeColor="accent1"/>
        <w:bottom w:val="single" w:sz="24" w:space="0" w:color="1B242A" w:themeColor="accent1"/>
        <w:right w:val="single" w:sz="24" w:space="0" w:color="1B242A" w:themeColor="accent1"/>
      </w:tblBorders>
    </w:tblPr>
    <w:tcPr>
      <w:shd w:val="clear" w:color="auto" w:fill="1B242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7586" w:themeColor="accent2"/>
        <w:left w:val="single" w:sz="24" w:space="0" w:color="007586" w:themeColor="accent2"/>
        <w:bottom w:val="single" w:sz="24" w:space="0" w:color="007586" w:themeColor="accent2"/>
        <w:right w:val="single" w:sz="24" w:space="0" w:color="007586" w:themeColor="accent2"/>
      </w:tblBorders>
    </w:tblPr>
    <w:tcPr>
      <w:shd w:val="clear" w:color="auto" w:fill="00758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5AB9EB" w:themeColor="accent3"/>
        <w:left w:val="single" w:sz="24" w:space="0" w:color="5AB9EB" w:themeColor="accent3"/>
        <w:bottom w:val="single" w:sz="24" w:space="0" w:color="5AB9EB" w:themeColor="accent3"/>
        <w:right w:val="single" w:sz="24" w:space="0" w:color="5AB9EB" w:themeColor="accent3"/>
      </w:tblBorders>
    </w:tblPr>
    <w:tcPr>
      <w:shd w:val="clear" w:color="auto" w:fill="5AB9E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4C97" w:themeColor="accent4"/>
        <w:left w:val="single" w:sz="24" w:space="0" w:color="004C97" w:themeColor="accent4"/>
        <w:bottom w:val="single" w:sz="24" w:space="0" w:color="004C97" w:themeColor="accent4"/>
        <w:right w:val="single" w:sz="24" w:space="0" w:color="004C97" w:themeColor="accent4"/>
      </w:tblBorders>
    </w:tblPr>
    <w:tcPr>
      <w:shd w:val="clear" w:color="auto" w:fill="004C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5AAA64" w:themeColor="accent5"/>
        <w:left w:val="single" w:sz="24" w:space="0" w:color="5AAA64" w:themeColor="accent5"/>
        <w:bottom w:val="single" w:sz="24" w:space="0" w:color="5AAA64" w:themeColor="accent5"/>
        <w:right w:val="single" w:sz="24" w:space="0" w:color="5AAA64" w:themeColor="accent5"/>
      </w:tblBorders>
    </w:tblPr>
    <w:tcPr>
      <w:shd w:val="clear" w:color="auto" w:fill="5AAA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E6643C" w:themeColor="accent6"/>
        <w:left w:val="single" w:sz="24" w:space="0" w:color="E6643C" w:themeColor="accent6"/>
        <w:bottom w:val="single" w:sz="24" w:space="0" w:color="E6643C" w:themeColor="accent6"/>
        <w:right w:val="single" w:sz="24" w:space="0" w:color="E6643C" w:themeColor="accent6"/>
      </w:tblBorders>
    </w:tblPr>
    <w:tcPr>
      <w:shd w:val="clear" w:color="auto" w:fill="E6643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E45C9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E45C9C"/>
    <w:pPr>
      <w:spacing w:after="0" w:line="240" w:lineRule="auto"/>
    </w:pPr>
    <w:rPr>
      <w:color w:val="141A1F" w:themeColor="accent1" w:themeShade="BF"/>
    </w:rPr>
    <w:tblPr>
      <w:tblStyleRowBandSize w:val="1"/>
      <w:tblStyleColBandSize w:val="1"/>
      <w:tblBorders>
        <w:top w:val="single" w:sz="4" w:space="0" w:color="1B242A" w:themeColor="accent1"/>
        <w:bottom w:val="single" w:sz="4" w:space="0" w:color="1B242A" w:themeColor="accent1"/>
      </w:tblBorders>
    </w:tblPr>
    <w:tblStylePr w:type="firstRow">
      <w:rPr>
        <w:b/>
        <w:bCs/>
      </w:rPr>
      <w:tblPr/>
      <w:tcPr>
        <w:tcBorders>
          <w:bottom w:val="single" w:sz="4" w:space="0" w:color="1B242A" w:themeColor="accent1"/>
        </w:tcBorders>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6ColourfulAccent2">
    <w:name w:val="List Table 6 Colorful Accent 2"/>
    <w:basedOn w:val="TableNormal"/>
    <w:uiPriority w:val="51"/>
    <w:semiHidden/>
    <w:rsid w:val="00E45C9C"/>
    <w:pPr>
      <w:spacing w:after="0" w:line="240" w:lineRule="auto"/>
    </w:pPr>
    <w:rPr>
      <w:color w:val="005764" w:themeColor="accent2" w:themeShade="BF"/>
    </w:rPr>
    <w:tblPr>
      <w:tblStyleRowBandSize w:val="1"/>
      <w:tblStyleColBandSize w:val="1"/>
      <w:tblBorders>
        <w:top w:val="single" w:sz="4" w:space="0" w:color="007586" w:themeColor="accent2"/>
        <w:bottom w:val="single" w:sz="4" w:space="0" w:color="007586" w:themeColor="accent2"/>
      </w:tblBorders>
    </w:tblPr>
    <w:tblStylePr w:type="firstRow">
      <w:rPr>
        <w:b/>
        <w:bCs/>
      </w:rPr>
      <w:tblPr/>
      <w:tcPr>
        <w:tcBorders>
          <w:bottom w:val="single" w:sz="4" w:space="0" w:color="007586" w:themeColor="accent2"/>
        </w:tcBorders>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6ColourfulAccent3">
    <w:name w:val="List Table 6 Colorful Accent 3"/>
    <w:basedOn w:val="TableNormal"/>
    <w:uiPriority w:val="51"/>
    <w:semiHidden/>
    <w:rsid w:val="00E45C9C"/>
    <w:pPr>
      <w:spacing w:after="0" w:line="240" w:lineRule="auto"/>
    </w:pPr>
    <w:rPr>
      <w:color w:val="1A97D9" w:themeColor="accent3" w:themeShade="BF"/>
    </w:rPr>
    <w:tblPr>
      <w:tblStyleRowBandSize w:val="1"/>
      <w:tblStyleColBandSize w:val="1"/>
      <w:tblBorders>
        <w:top w:val="single" w:sz="4" w:space="0" w:color="5AB9EB" w:themeColor="accent3"/>
        <w:bottom w:val="single" w:sz="4" w:space="0" w:color="5AB9EB" w:themeColor="accent3"/>
      </w:tblBorders>
    </w:tblPr>
    <w:tblStylePr w:type="firstRow">
      <w:rPr>
        <w:b/>
        <w:bCs/>
      </w:rPr>
      <w:tblPr/>
      <w:tcPr>
        <w:tcBorders>
          <w:bottom w:val="single" w:sz="4" w:space="0" w:color="5AB9EB" w:themeColor="accent3"/>
        </w:tcBorders>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6ColourfulAccent4">
    <w:name w:val="List Table 6 Colorful Accent 4"/>
    <w:basedOn w:val="TableNormal"/>
    <w:uiPriority w:val="51"/>
    <w:semiHidden/>
    <w:rsid w:val="00E45C9C"/>
    <w:pPr>
      <w:spacing w:after="0" w:line="240" w:lineRule="auto"/>
    </w:pPr>
    <w:rPr>
      <w:color w:val="003871" w:themeColor="accent4" w:themeShade="BF"/>
    </w:rPr>
    <w:tblPr>
      <w:tblStyleRowBandSize w:val="1"/>
      <w:tblStyleColBandSize w:val="1"/>
      <w:tblBorders>
        <w:top w:val="single" w:sz="4" w:space="0" w:color="004C97" w:themeColor="accent4"/>
        <w:bottom w:val="single" w:sz="4" w:space="0" w:color="004C97" w:themeColor="accent4"/>
      </w:tblBorders>
    </w:tblPr>
    <w:tblStylePr w:type="firstRow">
      <w:rPr>
        <w:b/>
        <w:bCs/>
      </w:rPr>
      <w:tblPr/>
      <w:tcPr>
        <w:tcBorders>
          <w:bottom w:val="single" w:sz="4" w:space="0" w:color="004C97" w:themeColor="accent4"/>
        </w:tcBorders>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6ColourfulAccent5">
    <w:name w:val="List Table 6 Colorful Accent 5"/>
    <w:basedOn w:val="TableNormal"/>
    <w:uiPriority w:val="51"/>
    <w:semiHidden/>
    <w:rsid w:val="00E45C9C"/>
    <w:pPr>
      <w:spacing w:after="0" w:line="240" w:lineRule="auto"/>
    </w:pPr>
    <w:rPr>
      <w:color w:val="428049" w:themeColor="accent5" w:themeShade="BF"/>
    </w:rPr>
    <w:tblPr>
      <w:tblStyleRowBandSize w:val="1"/>
      <w:tblStyleColBandSize w:val="1"/>
      <w:tblBorders>
        <w:top w:val="single" w:sz="4" w:space="0" w:color="5AAA64" w:themeColor="accent5"/>
        <w:bottom w:val="single" w:sz="4" w:space="0" w:color="5AAA64" w:themeColor="accent5"/>
      </w:tblBorders>
    </w:tblPr>
    <w:tblStylePr w:type="firstRow">
      <w:rPr>
        <w:b/>
        <w:bCs/>
      </w:rPr>
      <w:tblPr/>
      <w:tcPr>
        <w:tcBorders>
          <w:bottom w:val="single" w:sz="4" w:space="0" w:color="5AAA64" w:themeColor="accent5"/>
        </w:tcBorders>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6ColourfulAccent6">
    <w:name w:val="List Table 6 Colorful Accent 6"/>
    <w:basedOn w:val="TableNormal"/>
    <w:uiPriority w:val="51"/>
    <w:semiHidden/>
    <w:rsid w:val="00E45C9C"/>
    <w:pPr>
      <w:spacing w:after="0" w:line="240" w:lineRule="auto"/>
    </w:pPr>
    <w:rPr>
      <w:color w:val="C04018" w:themeColor="accent6" w:themeShade="BF"/>
    </w:rPr>
    <w:tblPr>
      <w:tblStyleRowBandSize w:val="1"/>
      <w:tblStyleColBandSize w:val="1"/>
      <w:tblBorders>
        <w:top w:val="single" w:sz="4" w:space="0" w:color="E6643C" w:themeColor="accent6"/>
        <w:bottom w:val="single" w:sz="4" w:space="0" w:color="E6643C" w:themeColor="accent6"/>
      </w:tblBorders>
    </w:tblPr>
    <w:tblStylePr w:type="firstRow">
      <w:rPr>
        <w:b/>
        <w:bCs/>
      </w:rPr>
      <w:tblPr/>
      <w:tcPr>
        <w:tcBorders>
          <w:bottom w:val="single" w:sz="4" w:space="0" w:color="E6643C" w:themeColor="accent6"/>
        </w:tcBorders>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7Colourful">
    <w:name w:val="List Table 7 Colorful"/>
    <w:basedOn w:val="TableNormal"/>
    <w:uiPriority w:val="52"/>
    <w:semiHidden/>
    <w:rsid w:val="00E45C9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E45C9C"/>
    <w:pPr>
      <w:spacing w:after="0" w:line="240" w:lineRule="auto"/>
    </w:pPr>
    <w:rPr>
      <w:color w:val="141A1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242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242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242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242A" w:themeColor="accent1"/>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E45C9C"/>
    <w:pPr>
      <w:spacing w:after="0" w:line="240" w:lineRule="auto"/>
    </w:pPr>
    <w:rPr>
      <w:color w:val="0057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58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58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58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586" w:themeColor="accent2"/>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E45C9C"/>
    <w:pPr>
      <w:spacing w:after="0" w:line="240" w:lineRule="auto"/>
    </w:pPr>
    <w:rPr>
      <w:color w:val="1A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B9E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B9E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B9E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B9EB" w:themeColor="accent3"/>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E45C9C"/>
    <w:pPr>
      <w:spacing w:after="0" w:line="240" w:lineRule="auto"/>
    </w:pPr>
    <w:rPr>
      <w:color w:val="00387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4"/>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E45C9C"/>
    <w:pPr>
      <w:spacing w:after="0" w:line="240" w:lineRule="auto"/>
    </w:pPr>
    <w:rPr>
      <w:color w:val="42804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A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A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A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A64" w:themeColor="accent5"/>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E45C9C"/>
    <w:pPr>
      <w:spacing w:after="0" w:line="240" w:lineRule="auto"/>
    </w:pPr>
    <w:rPr>
      <w:color w:val="C0401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43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43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43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43C" w:themeColor="accent6"/>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E45C9C"/>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45C9C"/>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insideV w:val="single" w:sz="8" w:space="0" w:color="465D6D" w:themeColor="accent1" w:themeTint="BF"/>
      </w:tblBorders>
    </w:tblPr>
    <w:tcPr>
      <w:shd w:val="clear" w:color="auto" w:fill="BCCAD4" w:themeFill="accent1" w:themeFillTint="3F"/>
    </w:tcPr>
    <w:tblStylePr w:type="firstRow">
      <w:rPr>
        <w:b/>
        <w:bCs/>
      </w:rPr>
    </w:tblStylePr>
    <w:tblStylePr w:type="lastRow">
      <w:rPr>
        <w:b/>
        <w:bCs/>
      </w:rPr>
      <w:tblPr/>
      <w:tcPr>
        <w:tcBorders>
          <w:top w:val="single" w:sz="18" w:space="0" w:color="465D6D" w:themeColor="accent1" w:themeTint="BF"/>
        </w:tcBorders>
      </w:tcPr>
    </w:tblStylePr>
    <w:tblStylePr w:type="firstCol">
      <w:rPr>
        <w:b/>
        <w:bCs/>
      </w:rPr>
    </w:tblStylePr>
    <w:tblStylePr w:type="lastCol">
      <w:rPr>
        <w:b/>
        <w:bCs/>
      </w:r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table" w:styleId="MediumGrid1-Accent2">
    <w:name w:val="Medium Grid 1 Accent 2"/>
    <w:basedOn w:val="TableNormal"/>
    <w:uiPriority w:val="67"/>
    <w:semiHidden/>
    <w:rsid w:val="00E45C9C"/>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insideV w:val="single" w:sz="8" w:space="0" w:color="00C6E4" w:themeColor="accent2" w:themeTint="BF"/>
      </w:tblBorders>
    </w:tblPr>
    <w:tcPr>
      <w:shd w:val="clear" w:color="auto" w:fill="A2F2FF" w:themeFill="accent2" w:themeFillTint="3F"/>
    </w:tcPr>
    <w:tblStylePr w:type="firstRow">
      <w:rPr>
        <w:b/>
        <w:bCs/>
      </w:rPr>
    </w:tblStylePr>
    <w:tblStylePr w:type="lastRow">
      <w:rPr>
        <w:b/>
        <w:bCs/>
      </w:rPr>
      <w:tblPr/>
      <w:tcPr>
        <w:tcBorders>
          <w:top w:val="single" w:sz="18" w:space="0" w:color="00C6E4" w:themeColor="accent2" w:themeTint="BF"/>
        </w:tcBorders>
      </w:tcPr>
    </w:tblStylePr>
    <w:tblStylePr w:type="firstCol">
      <w:rPr>
        <w:b/>
        <w:bCs/>
      </w:rPr>
    </w:tblStylePr>
    <w:tblStylePr w:type="lastCol">
      <w:rPr>
        <w:b/>
        <w:bCs/>
      </w:r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MediumGrid1-Accent3">
    <w:name w:val="Medium Grid 1 Accent 3"/>
    <w:basedOn w:val="TableNormal"/>
    <w:uiPriority w:val="67"/>
    <w:semiHidden/>
    <w:rsid w:val="00E45C9C"/>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insideV w:val="single" w:sz="8" w:space="0" w:color="83CAF0" w:themeColor="accent3" w:themeTint="BF"/>
      </w:tblBorders>
    </w:tblPr>
    <w:tcPr>
      <w:shd w:val="clear" w:color="auto" w:fill="D5EDFA" w:themeFill="accent3" w:themeFillTint="3F"/>
    </w:tcPr>
    <w:tblStylePr w:type="firstRow">
      <w:rPr>
        <w:b/>
        <w:bCs/>
      </w:rPr>
    </w:tblStylePr>
    <w:tblStylePr w:type="lastRow">
      <w:rPr>
        <w:b/>
        <w:bCs/>
      </w:rPr>
      <w:tblPr/>
      <w:tcPr>
        <w:tcBorders>
          <w:top w:val="single" w:sz="18" w:space="0" w:color="83CAF0" w:themeColor="accent3" w:themeTint="BF"/>
        </w:tcBorders>
      </w:tcPr>
    </w:tblStylePr>
    <w:tblStylePr w:type="firstCol">
      <w:rPr>
        <w:b/>
        <w:bCs/>
      </w:rPr>
    </w:tblStylePr>
    <w:tblStylePr w:type="lastCol">
      <w:rPr>
        <w:b/>
        <w:bCs/>
      </w:r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table" w:styleId="MediumGrid1-Accent4">
    <w:name w:val="Medium Grid 1 Accent 4"/>
    <w:basedOn w:val="TableNormal"/>
    <w:uiPriority w:val="67"/>
    <w:semiHidden/>
    <w:rsid w:val="00E45C9C"/>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insideV w:val="single" w:sz="8" w:space="0" w:color="0078F1" w:themeColor="accent4" w:themeTint="BF"/>
      </w:tblBorders>
    </w:tblPr>
    <w:tcPr>
      <w:shd w:val="clear" w:color="auto" w:fill="A6D2FF" w:themeFill="accent4" w:themeFillTint="3F"/>
    </w:tcPr>
    <w:tblStylePr w:type="firstRow">
      <w:rPr>
        <w:b/>
        <w:bCs/>
      </w:rPr>
    </w:tblStylePr>
    <w:tblStylePr w:type="lastRow">
      <w:rPr>
        <w:b/>
        <w:bCs/>
      </w:rPr>
      <w:tblPr/>
      <w:tcPr>
        <w:tcBorders>
          <w:top w:val="single" w:sz="18" w:space="0" w:color="0078F1" w:themeColor="accent4" w:themeTint="BF"/>
        </w:tcBorders>
      </w:tcPr>
    </w:tblStylePr>
    <w:tblStylePr w:type="firstCol">
      <w:rPr>
        <w:b/>
        <w:bCs/>
      </w:rPr>
    </w:tblStylePr>
    <w:tblStylePr w:type="lastCol">
      <w:rPr>
        <w:b/>
        <w:bCs/>
      </w:r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MediumGrid1-Accent5">
    <w:name w:val="Medium Grid 1 Accent 5"/>
    <w:basedOn w:val="TableNormal"/>
    <w:uiPriority w:val="67"/>
    <w:semiHidden/>
    <w:rsid w:val="00E45C9C"/>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insideV w:val="single" w:sz="8" w:space="0" w:color="83BF8A" w:themeColor="accent5" w:themeTint="BF"/>
      </w:tblBorders>
    </w:tblPr>
    <w:tcPr>
      <w:shd w:val="clear" w:color="auto" w:fill="D6EAD8" w:themeFill="accent5" w:themeFillTint="3F"/>
    </w:tcPr>
    <w:tblStylePr w:type="firstRow">
      <w:rPr>
        <w:b/>
        <w:bCs/>
      </w:rPr>
    </w:tblStylePr>
    <w:tblStylePr w:type="lastRow">
      <w:rPr>
        <w:b/>
        <w:bCs/>
      </w:rPr>
      <w:tblPr/>
      <w:tcPr>
        <w:tcBorders>
          <w:top w:val="single" w:sz="18" w:space="0" w:color="83BF8A" w:themeColor="accent5" w:themeTint="BF"/>
        </w:tcBorders>
      </w:tcPr>
    </w:tblStylePr>
    <w:tblStylePr w:type="firstCol">
      <w:rPr>
        <w:b/>
        <w:bCs/>
      </w:rPr>
    </w:tblStylePr>
    <w:tblStylePr w:type="lastCol">
      <w:rPr>
        <w:b/>
        <w:bCs/>
      </w:r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MediumGrid1-Accent6">
    <w:name w:val="Medium Grid 1 Accent 6"/>
    <w:basedOn w:val="TableNormal"/>
    <w:uiPriority w:val="67"/>
    <w:semiHidden/>
    <w:rsid w:val="00E45C9C"/>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insideV w:val="single" w:sz="8" w:space="0" w:color="EC8A6C" w:themeColor="accent6" w:themeTint="BF"/>
      </w:tblBorders>
    </w:tblPr>
    <w:tcPr>
      <w:shd w:val="clear" w:color="auto" w:fill="F8D8CE" w:themeFill="accent6" w:themeFillTint="3F"/>
    </w:tcPr>
    <w:tblStylePr w:type="firstRow">
      <w:rPr>
        <w:b/>
        <w:bCs/>
      </w:rPr>
    </w:tblStylePr>
    <w:tblStylePr w:type="lastRow">
      <w:rPr>
        <w:b/>
        <w:bCs/>
      </w:rPr>
      <w:tblPr/>
      <w:tcPr>
        <w:tcBorders>
          <w:top w:val="single" w:sz="18" w:space="0" w:color="EC8A6C" w:themeColor="accent6" w:themeTint="BF"/>
        </w:tcBorders>
      </w:tcPr>
    </w:tblStylePr>
    <w:tblStylePr w:type="firstCol">
      <w:rPr>
        <w:b/>
        <w:bCs/>
      </w:rPr>
    </w:tblStylePr>
    <w:tblStylePr w:type="lastCol">
      <w:rPr>
        <w:b/>
        <w:bCs/>
      </w:r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MediumGrid2">
    <w:name w:val="Medium Grid 2"/>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cPr>
      <w:shd w:val="clear" w:color="auto" w:fill="BCCAD4" w:themeFill="accent1" w:themeFillTint="3F"/>
    </w:tcPr>
    <w:tblStylePr w:type="firstRow">
      <w:rPr>
        <w:b/>
        <w:bCs/>
        <w:color w:val="000000" w:themeColor="text1"/>
      </w:rPr>
      <w:tblPr/>
      <w:tcPr>
        <w:shd w:val="clear" w:color="auto" w:fill="E4EA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D4DC" w:themeFill="accent1" w:themeFillTint="33"/>
      </w:tcPr>
    </w:tblStylePr>
    <w:tblStylePr w:type="band1Vert">
      <w:tblPr/>
      <w:tcPr>
        <w:shd w:val="clear" w:color="auto" w:fill="7995A9" w:themeFill="accent1" w:themeFillTint="7F"/>
      </w:tcPr>
    </w:tblStylePr>
    <w:tblStylePr w:type="band1Horz">
      <w:tblPr/>
      <w:tcPr>
        <w:tcBorders>
          <w:insideH w:val="single" w:sz="6" w:space="0" w:color="1B242A" w:themeColor="accent1"/>
          <w:insideV w:val="single" w:sz="6" w:space="0" w:color="1B242A" w:themeColor="accent1"/>
        </w:tcBorders>
        <w:shd w:val="clear" w:color="auto" w:fill="7995A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cPr>
      <w:shd w:val="clear" w:color="auto" w:fill="A2F2FF" w:themeFill="accent2" w:themeFillTint="3F"/>
    </w:tcPr>
    <w:tblStylePr w:type="firstRow">
      <w:rPr>
        <w:b/>
        <w:bCs/>
        <w:color w:val="000000" w:themeColor="text1"/>
      </w:rPr>
      <w:tblPr/>
      <w:tcPr>
        <w:shd w:val="clear" w:color="auto" w:fill="DAFA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5FF" w:themeFill="accent2" w:themeFillTint="33"/>
      </w:tcPr>
    </w:tblStylePr>
    <w:tblStylePr w:type="band1Vert">
      <w:tblPr/>
      <w:tcPr>
        <w:shd w:val="clear" w:color="auto" w:fill="43E6FF" w:themeFill="accent2" w:themeFillTint="7F"/>
      </w:tcPr>
    </w:tblStylePr>
    <w:tblStylePr w:type="band1Horz">
      <w:tblPr/>
      <w:tcPr>
        <w:tcBorders>
          <w:insideH w:val="single" w:sz="6" w:space="0" w:color="007586" w:themeColor="accent2"/>
          <w:insideV w:val="single" w:sz="6" w:space="0" w:color="007586" w:themeColor="accent2"/>
        </w:tcBorders>
        <w:shd w:val="clear" w:color="auto" w:fill="43E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cPr>
      <w:shd w:val="clear" w:color="auto" w:fill="D5EDFA" w:themeFill="accent3" w:themeFillTint="3F"/>
    </w:tcPr>
    <w:tblStylePr w:type="firstRow">
      <w:rPr>
        <w:b/>
        <w:bCs/>
        <w:color w:val="000000" w:themeColor="text1"/>
      </w:rPr>
      <w:tblPr/>
      <w:tcPr>
        <w:shd w:val="clear" w:color="auto" w:fill="EEF8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FB" w:themeFill="accent3" w:themeFillTint="33"/>
      </w:tcPr>
    </w:tblStylePr>
    <w:tblStylePr w:type="band1Vert">
      <w:tblPr/>
      <w:tcPr>
        <w:shd w:val="clear" w:color="auto" w:fill="ACDCF5" w:themeFill="accent3" w:themeFillTint="7F"/>
      </w:tcPr>
    </w:tblStylePr>
    <w:tblStylePr w:type="band1Horz">
      <w:tblPr/>
      <w:tcPr>
        <w:tcBorders>
          <w:insideH w:val="single" w:sz="6" w:space="0" w:color="5AB9EB" w:themeColor="accent3"/>
          <w:insideV w:val="single" w:sz="6" w:space="0" w:color="5AB9EB" w:themeColor="accent3"/>
        </w:tcBorders>
        <w:shd w:val="clear" w:color="auto" w:fill="ACDCF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cPr>
      <w:shd w:val="clear" w:color="auto" w:fill="A6D2FF" w:themeFill="accent4" w:themeFillTint="3F"/>
    </w:tcPr>
    <w:tblStylePr w:type="firstRow">
      <w:rPr>
        <w:b/>
        <w:bCs/>
        <w:color w:val="000000" w:themeColor="text1"/>
      </w:rPr>
      <w:tblPr/>
      <w:tcPr>
        <w:shd w:val="clear" w:color="auto" w:fill="DB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BFF" w:themeFill="accent4" w:themeFillTint="33"/>
      </w:tcPr>
    </w:tblStylePr>
    <w:tblStylePr w:type="band1Vert">
      <w:tblPr/>
      <w:tcPr>
        <w:shd w:val="clear" w:color="auto" w:fill="4CA5FF" w:themeFill="accent4" w:themeFillTint="7F"/>
      </w:tcPr>
    </w:tblStylePr>
    <w:tblStylePr w:type="band1Horz">
      <w:tblPr/>
      <w:tcPr>
        <w:tcBorders>
          <w:insideH w:val="single" w:sz="6" w:space="0" w:color="004C97" w:themeColor="accent4"/>
          <w:insideV w:val="single" w:sz="6" w:space="0" w:color="004C97" w:themeColor="accent4"/>
        </w:tcBorders>
        <w:shd w:val="clear" w:color="auto" w:fill="4CA5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cPr>
      <w:shd w:val="clear" w:color="auto" w:fill="D6EAD8" w:themeFill="accent5" w:themeFillTint="3F"/>
    </w:tcPr>
    <w:tblStylePr w:type="firstRow">
      <w:rPr>
        <w:b/>
        <w:bCs/>
        <w:color w:val="000000" w:themeColor="text1"/>
      </w:rPr>
      <w:tblPr/>
      <w:tcPr>
        <w:shd w:val="clear" w:color="auto" w:fill="EEF6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EDF" w:themeFill="accent5" w:themeFillTint="33"/>
      </w:tcPr>
    </w:tblStylePr>
    <w:tblStylePr w:type="band1Vert">
      <w:tblPr/>
      <w:tcPr>
        <w:shd w:val="clear" w:color="auto" w:fill="ACD4B1" w:themeFill="accent5" w:themeFillTint="7F"/>
      </w:tcPr>
    </w:tblStylePr>
    <w:tblStylePr w:type="band1Horz">
      <w:tblPr/>
      <w:tcPr>
        <w:tcBorders>
          <w:insideH w:val="single" w:sz="6" w:space="0" w:color="5AAA64" w:themeColor="accent5"/>
          <w:insideV w:val="single" w:sz="6" w:space="0" w:color="5AAA64" w:themeColor="accent5"/>
        </w:tcBorders>
        <w:shd w:val="clear" w:color="auto" w:fill="ACD4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cPr>
      <w:shd w:val="clear" w:color="auto" w:fill="F8D8CE" w:themeFill="accent6" w:themeFillTint="3F"/>
    </w:tcPr>
    <w:tblStylePr w:type="firstRow">
      <w:rPr>
        <w:b/>
        <w:bCs/>
        <w:color w:val="000000" w:themeColor="text1"/>
      </w:rPr>
      <w:tblPr/>
      <w:tcPr>
        <w:shd w:val="clear" w:color="auto" w:fill="FCEF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0D8" w:themeFill="accent6" w:themeFillTint="33"/>
      </w:tcPr>
    </w:tblStylePr>
    <w:tblStylePr w:type="band1Vert">
      <w:tblPr/>
      <w:tcPr>
        <w:shd w:val="clear" w:color="auto" w:fill="F2B19D" w:themeFill="accent6" w:themeFillTint="7F"/>
      </w:tcPr>
    </w:tblStylePr>
    <w:tblStylePr w:type="band1Horz">
      <w:tblPr/>
      <w:tcPr>
        <w:tcBorders>
          <w:insideH w:val="single" w:sz="6" w:space="0" w:color="E6643C" w:themeColor="accent6"/>
          <w:insideV w:val="single" w:sz="6" w:space="0" w:color="E6643C" w:themeColor="accent6"/>
        </w:tcBorders>
        <w:shd w:val="clear" w:color="auto" w:fill="F2B1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AD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242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242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95A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95A9" w:themeFill="accent1" w:themeFillTint="7F"/>
      </w:tcPr>
    </w:tblStylePr>
  </w:style>
  <w:style w:type="table" w:styleId="MediumGrid3-Accent2">
    <w:name w:val="Medium Grid 3 Accent 2"/>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58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58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6FF" w:themeFill="accent2" w:themeFillTint="7F"/>
      </w:tcPr>
    </w:tblStylePr>
  </w:style>
  <w:style w:type="table" w:styleId="MediumGrid3-Accent3">
    <w:name w:val="Medium Grid 3 Accent 3"/>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B9E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B9E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CF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CF5" w:themeFill="accent3" w:themeFillTint="7F"/>
      </w:tcPr>
    </w:tblStylePr>
  </w:style>
  <w:style w:type="table" w:styleId="MediumGrid3-Accent4">
    <w:name w:val="Medium Grid 3 Accent 4"/>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4" w:themeFillTint="7F"/>
      </w:tcPr>
    </w:tblStylePr>
  </w:style>
  <w:style w:type="table" w:styleId="MediumGrid3-Accent5">
    <w:name w:val="Medium Grid 3 Accent 5"/>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A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A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A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4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4B1" w:themeFill="accent5" w:themeFillTint="7F"/>
      </w:tcPr>
    </w:tblStylePr>
  </w:style>
  <w:style w:type="table" w:styleId="MediumGrid3-Accent6">
    <w:name w:val="Medium Grid 3 Accent 6"/>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4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4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9D" w:themeFill="accent6" w:themeFillTint="7F"/>
      </w:tcPr>
    </w:tblStylePr>
  </w:style>
  <w:style w:type="table" w:styleId="MediumList1">
    <w:name w:val="Medium List 1"/>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58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1B242A" w:themeColor="accent1"/>
        <w:bottom w:val="single" w:sz="8" w:space="0" w:color="1B242A" w:themeColor="accent1"/>
      </w:tblBorders>
    </w:tblPr>
    <w:tblStylePr w:type="firstRow">
      <w:rPr>
        <w:rFonts w:asciiTheme="majorHAnsi" w:eastAsiaTheme="majorEastAsia" w:hAnsiTheme="majorHAnsi" w:cstheme="majorBidi"/>
      </w:rPr>
      <w:tblPr/>
      <w:tcPr>
        <w:tcBorders>
          <w:top w:val="nil"/>
          <w:bottom w:val="single" w:sz="8" w:space="0" w:color="1B242A" w:themeColor="accent1"/>
        </w:tcBorders>
      </w:tcPr>
    </w:tblStylePr>
    <w:tblStylePr w:type="lastRow">
      <w:rPr>
        <w:b/>
        <w:bCs/>
        <w:color w:val="007586" w:themeColor="text2"/>
      </w:rPr>
      <w:tblPr/>
      <w:tcPr>
        <w:tcBorders>
          <w:top w:val="single" w:sz="8" w:space="0" w:color="1B242A" w:themeColor="accent1"/>
          <w:bottom w:val="single" w:sz="8" w:space="0" w:color="1B242A" w:themeColor="accent1"/>
        </w:tcBorders>
      </w:tcPr>
    </w:tblStylePr>
    <w:tblStylePr w:type="firstCol">
      <w:rPr>
        <w:b/>
        <w:bCs/>
      </w:rPr>
    </w:tblStylePr>
    <w:tblStylePr w:type="lastCol">
      <w:rPr>
        <w:b/>
        <w:bCs/>
      </w:rPr>
      <w:tblPr/>
      <w:tcPr>
        <w:tcBorders>
          <w:top w:val="single" w:sz="8" w:space="0" w:color="1B242A" w:themeColor="accent1"/>
          <w:bottom w:val="single" w:sz="8" w:space="0" w:color="1B242A" w:themeColor="accent1"/>
        </w:tcBorders>
      </w:tcPr>
    </w:tblStylePr>
    <w:tblStylePr w:type="band1Vert">
      <w:tblPr/>
      <w:tcPr>
        <w:shd w:val="clear" w:color="auto" w:fill="BCCAD4" w:themeFill="accent1" w:themeFillTint="3F"/>
      </w:tcPr>
    </w:tblStylePr>
    <w:tblStylePr w:type="band1Horz">
      <w:tblPr/>
      <w:tcPr>
        <w:shd w:val="clear" w:color="auto" w:fill="BCCAD4" w:themeFill="accent1" w:themeFillTint="3F"/>
      </w:tcPr>
    </w:tblStylePr>
  </w:style>
  <w:style w:type="table" w:styleId="MediumList1-Accent2">
    <w:name w:val="Medium List 1 Accent 2"/>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7586" w:themeColor="accent2"/>
        <w:bottom w:val="single" w:sz="8" w:space="0" w:color="007586" w:themeColor="accent2"/>
      </w:tblBorders>
    </w:tblPr>
    <w:tblStylePr w:type="firstRow">
      <w:rPr>
        <w:rFonts w:asciiTheme="majorHAnsi" w:eastAsiaTheme="majorEastAsia" w:hAnsiTheme="majorHAnsi" w:cstheme="majorBidi"/>
      </w:rPr>
      <w:tblPr/>
      <w:tcPr>
        <w:tcBorders>
          <w:top w:val="nil"/>
          <w:bottom w:val="single" w:sz="8" w:space="0" w:color="007586" w:themeColor="accent2"/>
        </w:tcBorders>
      </w:tcPr>
    </w:tblStylePr>
    <w:tblStylePr w:type="lastRow">
      <w:rPr>
        <w:b/>
        <w:bCs/>
        <w:color w:val="007586" w:themeColor="text2"/>
      </w:rPr>
      <w:tblPr/>
      <w:tcPr>
        <w:tcBorders>
          <w:top w:val="single" w:sz="8" w:space="0" w:color="007586" w:themeColor="accent2"/>
          <w:bottom w:val="single" w:sz="8" w:space="0" w:color="007586" w:themeColor="accent2"/>
        </w:tcBorders>
      </w:tcPr>
    </w:tblStylePr>
    <w:tblStylePr w:type="firstCol">
      <w:rPr>
        <w:b/>
        <w:bCs/>
      </w:rPr>
    </w:tblStylePr>
    <w:tblStylePr w:type="lastCol">
      <w:rPr>
        <w:b/>
        <w:bCs/>
      </w:rPr>
      <w:tblPr/>
      <w:tcPr>
        <w:tcBorders>
          <w:top w:val="single" w:sz="8" w:space="0" w:color="007586" w:themeColor="accent2"/>
          <w:bottom w:val="single" w:sz="8" w:space="0" w:color="007586" w:themeColor="accent2"/>
        </w:tcBorders>
      </w:tcPr>
    </w:tblStylePr>
    <w:tblStylePr w:type="band1Vert">
      <w:tblPr/>
      <w:tcPr>
        <w:shd w:val="clear" w:color="auto" w:fill="A2F2FF" w:themeFill="accent2" w:themeFillTint="3F"/>
      </w:tcPr>
    </w:tblStylePr>
    <w:tblStylePr w:type="band1Horz">
      <w:tblPr/>
      <w:tcPr>
        <w:shd w:val="clear" w:color="auto" w:fill="A2F2FF" w:themeFill="accent2" w:themeFillTint="3F"/>
      </w:tcPr>
    </w:tblStylePr>
  </w:style>
  <w:style w:type="table" w:styleId="MediumList1-Accent3">
    <w:name w:val="Medium List 1 Accent 3"/>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5AB9EB" w:themeColor="accent3"/>
        <w:bottom w:val="single" w:sz="8" w:space="0" w:color="5AB9EB" w:themeColor="accent3"/>
      </w:tblBorders>
    </w:tblPr>
    <w:tblStylePr w:type="firstRow">
      <w:rPr>
        <w:rFonts w:asciiTheme="majorHAnsi" w:eastAsiaTheme="majorEastAsia" w:hAnsiTheme="majorHAnsi" w:cstheme="majorBidi"/>
      </w:rPr>
      <w:tblPr/>
      <w:tcPr>
        <w:tcBorders>
          <w:top w:val="nil"/>
          <w:bottom w:val="single" w:sz="8" w:space="0" w:color="5AB9EB" w:themeColor="accent3"/>
        </w:tcBorders>
      </w:tcPr>
    </w:tblStylePr>
    <w:tblStylePr w:type="lastRow">
      <w:rPr>
        <w:b/>
        <w:bCs/>
        <w:color w:val="007586" w:themeColor="text2"/>
      </w:rPr>
      <w:tblPr/>
      <w:tcPr>
        <w:tcBorders>
          <w:top w:val="single" w:sz="8" w:space="0" w:color="5AB9EB" w:themeColor="accent3"/>
          <w:bottom w:val="single" w:sz="8" w:space="0" w:color="5AB9EB" w:themeColor="accent3"/>
        </w:tcBorders>
      </w:tcPr>
    </w:tblStylePr>
    <w:tblStylePr w:type="firstCol">
      <w:rPr>
        <w:b/>
        <w:bCs/>
      </w:rPr>
    </w:tblStylePr>
    <w:tblStylePr w:type="lastCol">
      <w:rPr>
        <w:b/>
        <w:bCs/>
      </w:rPr>
      <w:tblPr/>
      <w:tcPr>
        <w:tcBorders>
          <w:top w:val="single" w:sz="8" w:space="0" w:color="5AB9EB" w:themeColor="accent3"/>
          <w:bottom w:val="single" w:sz="8" w:space="0" w:color="5AB9EB" w:themeColor="accent3"/>
        </w:tcBorders>
      </w:tcPr>
    </w:tblStylePr>
    <w:tblStylePr w:type="band1Vert">
      <w:tblPr/>
      <w:tcPr>
        <w:shd w:val="clear" w:color="auto" w:fill="D5EDFA" w:themeFill="accent3" w:themeFillTint="3F"/>
      </w:tcPr>
    </w:tblStylePr>
    <w:tblStylePr w:type="band1Horz">
      <w:tblPr/>
      <w:tcPr>
        <w:shd w:val="clear" w:color="auto" w:fill="D5EDFA" w:themeFill="accent3" w:themeFillTint="3F"/>
      </w:tcPr>
    </w:tblStylePr>
  </w:style>
  <w:style w:type="table" w:styleId="MediumList1-Accent4">
    <w:name w:val="Medium List 1 Accent 4"/>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4C97" w:themeColor="accent4"/>
        <w:bottom w:val="single" w:sz="8" w:space="0" w:color="004C97" w:themeColor="accent4"/>
      </w:tblBorders>
    </w:tblPr>
    <w:tblStylePr w:type="firstRow">
      <w:rPr>
        <w:rFonts w:asciiTheme="majorHAnsi" w:eastAsiaTheme="majorEastAsia" w:hAnsiTheme="majorHAnsi" w:cstheme="majorBidi"/>
      </w:rPr>
      <w:tblPr/>
      <w:tcPr>
        <w:tcBorders>
          <w:top w:val="nil"/>
          <w:bottom w:val="single" w:sz="8" w:space="0" w:color="004C97" w:themeColor="accent4"/>
        </w:tcBorders>
      </w:tcPr>
    </w:tblStylePr>
    <w:tblStylePr w:type="lastRow">
      <w:rPr>
        <w:b/>
        <w:bCs/>
        <w:color w:val="007586" w:themeColor="text2"/>
      </w:rPr>
      <w:tblPr/>
      <w:tcPr>
        <w:tcBorders>
          <w:top w:val="single" w:sz="8" w:space="0" w:color="004C97" w:themeColor="accent4"/>
          <w:bottom w:val="single" w:sz="8" w:space="0" w:color="004C97" w:themeColor="accent4"/>
        </w:tcBorders>
      </w:tcPr>
    </w:tblStylePr>
    <w:tblStylePr w:type="firstCol">
      <w:rPr>
        <w:b/>
        <w:bCs/>
      </w:rPr>
    </w:tblStylePr>
    <w:tblStylePr w:type="lastCol">
      <w:rPr>
        <w:b/>
        <w:bCs/>
      </w:rPr>
      <w:tblPr/>
      <w:tcPr>
        <w:tcBorders>
          <w:top w:val="single" w:sz="8" w:space="0" w:color="004C97" w:themeColor="accent4"/>
          <w:bottom w:val="single" w:sz="8" w:space="0" w:color="004C97" w:themeColor="accent4"/>
        </w:tcBorders>
      </w:tcPr>
    </w:tblStylePr>
    <w:tblStylePr w:type="band1Vert">
      <w:tblPr/>
      <w:tcPr>
        <w:shd w:val="clear" w:color="auto" w:fill="A6D2FF" w:themeFill="accent4" w:themeFillTint="3F"/>
      </w:tcPr>
    </w:tblStylePr>
    <w:tblStylePr w:type="band1Horz">
      <w:tblPr/>
      <w:tcPr>
        <w:shd w:val="clear" w:color="auto" w:fill="A6D2FF" w:themeFill="accent4" w:themeFillTint="3F"/>
      </w:tcPr>
    </w:tblStylePr>
  </w:style>
  <w:style w:type="table" w:styleId="MediumList1-Accent5">
    <w:name w:val="Medium List 1 Accent 5"/>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5AAA64" w:themeColor="accent5"/>
        <w:bottom w:val="single" w:sz="8" w:space="0" w:color="5AAA64" w:themeColor="accent5"/>
      </w:tblBorders>
    </w:tblPr>
    <w:tblStylePr w:type="firstRow">
      <w:rPr>
        <w:rFonts w:asciiTheme="majorHAnsi" w:eastAsiaTheme="majorEastAsia" w:hAnsiTheme="majorHAnsi" w:cstheme="majorBidi"/>
      </w:rPr>
      <w:tblPr/>
      <w:tcPr>
        <w:tcBorders>
          <w:top w:val="nil"/>
          <w:bottom w:val="single" w:sz="8" w:space="0" w:color="5AAA64" w:themeColor="accent5"/>
        </w:tcBorders>
      </w:tcPr>
    </w:tblStylePr>
    <w:tblStylePr w:type="lastRow">
      <w:rPr>
        <w:b/>
        <w:bCs/>
        <w:color w:val="007586" w:themeColor="text2"/>
      </w:rPr>
      <w:tblPr/>
      <w:tcPr>
        <w:tcBorders>
          <w:top w:val="single" w:sz="8" w:space="0" w:color="5AAA64" w:themeColor="accent5"/>
          <w:bottom w:val="single" w:sz="8" w:space="0" w:color="5AAA64" w:themeColor="accent5"/>
        </w:tcBorders>
      </w:tcPr>
    </w:tblStylePr>
    <w:tblStylePr w:type="firstCol">
      <w:rPr>
        <w:b/>
        <w:bCs/>
      </w:rPr>
    </w:tblStylePr>
    <w:tblStylePr w:type="lastCol">
      <w:rPr>
        <w:b/>
        <w:bCs/>
      </w:rPr>
      <w:tblPr/>
      <w:tcPr>
        <w:tcBorders>
          <w:top w:val="single" w:sz="8" w:space="0" w:color="5AAA64" w:themeColor="accent5"/>
          <w:bottom w:val="single" w:sz="8" w:space="0" w:color="5AAA64" w:themeColor="accent5"/>
        </w:tcBorders>
      </w:tcPr>
    </w:tblStylePr>
    <w:tblStylePr w:type="band1Vert">
      <w:tblPr/>
      <w:tcPr>
        <w:shd w:val="clear" w:color="auto" w:fill="D6EAD8" w:themeFill="accent5" w:themeFillTint="3F"/>
      </w:tcPr>
    </w:tblStylePr>
    <w:tblStylePr w:type="band1Horz">
      <w:tblPr/>
      <w:tcPr>
        <w:shd w:val="clear" w:color="auto" w:fill="D6EAD8" w:themeFill="accent5" w:themeFillTint="3F"/>
      </w:tcPr>
    </w:tblStylePr>
  </w:style>
  <w:style w:type="table" w:styleId="MediumList1-Accent6">
    <w:name w:val="Medium List 1 Accent 6"/>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E6643C" w:themeColor="accent6"/>
        <w:bottom w:val="single" w:sz="8" w:space="0" w:color="E6643C" w:themeColor="accent6"/>
      </w:tblBorders>
    </w:tblPr>
    <w:tblStylePr w:type="firstRow">
      <w:rPr>
        <w:rFonts w:asciiTheme="majorHAnsi" w:eastAsiaTheme="majorEastAsia" w:hAnsiTheme="majorHAnsi" w:cstheme="majorBidi"/>
      </w:rPr>
      <w:tblPr/>
      <w:tcPr>
        <w:tcBorders>
          <w:top w:val="nil"/>
          <w:bottom w:val="single" w:sz="8" w:space="0" w:color="E6643C" w:themeColor="accent6"/>
        </w:tcBorders>
      </w:tcPr>
    </w:tblStylePr>
    <w:tblStylePr w:type="lastRow">
      <w:rPr>
        <w:b/>
        <w:bCs/>
        <w:color w:val="007586" w:themeColor="text2"/>
      </w:rPr>
      <w:tblPr/>
      <w:tcPr>
        <w:tcBorders>
          <w:top w:val="single" w:sz="8" w:space="0" w:color="E6643C" w:themeColor="accent6"/>
          <w:bottom w:val="single" w:sz="8" w:space="0" w:color="E6643C" w:themeColor="accent6"/>
        </w:tcBorders>
      </w:tcPr>
    </w:tblStylePr>
    <w:tblStylePr w:type="firstCol">
      <w:rPr>
        <w:b/>
        <w:bCs/>
      </w:rPr>
    </w:tblStylePr>
    <w:tblStylePr w:type="lastCol">
      <w:rPr>
        <w:b/>
        <w:bCs/>
      </w:rPr>
      <w:tblPr/>
      <w:tcPr>
        <w:tcBorders>
          <w:top w:val="single" w:sz="8" w:space="0" w:color="E6643C" w:themeColor="accent6"/>
          <w:bottom w:val="single" w:sz="8" w:space="0" w:color="E6643C" w:themeColor="accent6"/>
        </w:tcBorders>
      </w:tcPr>
    </w:tblStylePr>
    <w:tblStylePr w:type="band1Vert">
      <w:tblPr/>
      <w:tcPr>
        <w:shd w:val="clear" w:color="auto" w:fill="F8D8CE" w:themeFill="accent6" w:themeFillTint="3F"/>
      </w:tcPr>
    </w:tblStylePr>
    <w:tblStylePr w:type="band1Horz">
      <w:tblPr/>
      <w:tcPr>
        <w:shd w:val="clear" w:color="auto" w:fill="F8D8CE" w:themeFill="accent6" w:themeFillTint="3F"/>
      </w:tcPr>
    </w:tblStylePr>
  </w:style>
  <w:style w:type="table" w:styleId="MediumList2">
    <w:name w:val="Medium List 2"/>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rPr>
        <w:sz w:val="24"/>
        <w:szCs w:val="24"/>
      </w:rPr>
      <w:tblPr/>
      <w:tcPr>
        <w:tcBorders>
          <w:top w:val="nil"/>
          <w:left w:val="nil"/>
          <w:bottom w:val="single" w:sz="24" w:space="0" w:color="1B242A" w:themeColor="accent1"/>
          <w:right w:val="nil"/>
          <w:insideH w:val="nil"/>
          <w:insideV w:val="nil"/>
        </w:tcBorders>
        <w:shd w:val="clear" w:color="auto" w:fill="FFFFFF" w:themeFill="background1"/>
      </w:tcPr>
    </w:tblStylePr>
    <w:tblStylePr w:type="lastRow">
      <w:tblPr/>
      <w:tcPr>
        <w:tcBorders>
          <w:top w:val="single" w:sz="8" w:space="0" w:color="1B242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242A" w:themeColor="accent1"/>
          <w:insideH w:val="nil"/>
          <w:insideV w:val="nil"/>
        </w:tcBorders>
        <w:shd w:val="clear" w:color="auto" w:fill="FFFFFF" w:themeFill="background1"/>
      </w:tcPr>
    </w:tblStylePr>
    <w:tblStylePr w:type="lastCol">
      <w:tblPr/>
      <w:tcPr>
        <w:tcBorders>
          <w:top w:val="nil"/>
          <w:left w:val="single" w:sz="8" w:space="0" w:color="1B242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top w:val="nil"/>
          <w:bottom w:val="nil"/>
          <w:insideH w:val="nil"/>
          <w:insideV w:val="nil"/>
        </w:tcBorders>
        <w:shd w:val="clear" w:color="auto" w:fill="BCCAD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rPr>
        <w:sz w:val="24"/>
        <w:szCs w:val="24"/>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tblPr/>
      <w:tcPr>
        <w:tcBorders>
          <w:top w:val="single" w:sz="8" w:space="0" w:color="00758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86" w:themeColor="accent2"/>
          <w:insideH w:val="nil"/>
          <w:insideV w:val="nil"/>
        </w:tcBorders>
        <w:shd w:val="clear" w:color="auto" w:fill="FFFFFF" w:themeFill="background1"/>
      </w:tcPr>
    </w:tblStylePr>
    <w:tblStylePr w:type="lastCol">
      <w:tblPr/>
      <w:tcPr>
        <w:tcBorders>
          <w:top w:val="nil"/>
          <w:left w:val="single" w:sz="8" w:space="0" w:color="00758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top w:val="nil"/>
          <w:bottom w:val="nil"/>
          <w:insideH w:val="nil"/>
          <w:insideV w:val="nil"/>
        </w:tcBorders>
        <w:shd w:val="clear" w:color="auto" w:fill="A2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rPr>
        <w:sz w:val="24"/>
        <w:szCs w:val="24"/>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tblPr/>
      <w:tcPr>
        <w:tcBorders>
          <w:top w:val="single" w:sz="8" w:space="0" w:color="5AB9E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B9EB" w:themeColor="accent3"/>
          <w:insideH w:val="nil"/>
          <w:insideV w:val="nil"/>
        </w:tcBorders>
        <w:shd w:val="clear" w:color="auto" w:fill="FFFFFF" w:themeFill="background1"/>
      </w:tcPr>
    </w:tblStylePr>
    <w:tblStylePr w:type="lastCol">
      <w:tblPr/>
      <w:tcPr>
        <w:tcBorders>
          <w:top w:val="nil"/>
          <w:left w:val="single" w:sz="8" w:space="0" w:color="5AB9E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top w:val="nil"/>
          <w:bottom w:val="nil"/>
          <w:insideH w:val="nil"/>
          <w:insideV w:val="nil"/>
        </w:tcBorders>
        <w:shd w:val="clear" w:color="auto" w:fill="D5E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rPr>
        <w:sz w:val="24"/>
        <w:szCs w:val="24"/>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tblPr/>
      <w:tcPr>
        <w:tcBorders>
          <w:top w:val="single" w:sz="8" w:space="0" w:color="004C9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4"/>
          <w:insideH w:val="nil"/>
          <w:insideV w:val="nil"/>
        </w:tcBorders>
        <w:shd w:val="clear" w:color="auto" w:fill="FFFFFF" w:themeFill="background1"/>
      </w:tcPr>
    </w:tblStylePr>
    <w:tblStylePr w:type="lastCol">
      <w:tblPr/>
      <w:tcPr>
        <w:tcBorders>
          <w:top w:val="nil"/>
          <w:left w:val="single" w:sz="8" w:space="0" w:color="004C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top w:val="nil"/>
          <w:bottom w:val="nil"/>
          <w:insideH w:val="nil"/>
          <w:insideV w:val="nil"/>
        </w:tcBorders>
        <w:shd w:val="clear" w:color="auto" w:fill="A6D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rPr>
        <w:sz w:val="24"/>
        <w:szCs w:val="24"/>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tblPr/>
      <w:tcPr>
        <w:tcBorders>
          <w:top w:val="single" w:sz="8" w:space="0" w:color="5AAA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A64" w:themeColor="accent5"/>
          <w:insideH w:val="nil"/>
          <w:insideV w:val="nil"/>
        </w:tcBorders>
        <w:shd w:val="clear" w:color="auto" w:fill="FFFFFF" w:themeFill="background1"/>
      </w:tcPr>
    </w:tblStylePr>
    <w:tblStylePr w:type="lastCol">
      <w:tblPr/>
      <w:tcPr>
        <w:tcBorders>
          <w:top w:val="nil"/>
          <w:left w:val="single" w:sz="8" w:space="0" w:color="5AAA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top w:val="nil"/>
          <w:bottom w:val="nil"/>
          <w:insideH w:val="nil"/>
          <w:insideV w:val="nil"/>
        </w:tcBorders>
        <w:shd w:val="clear" w:color="auto" w:fill="D6EA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rPr>
        <w:sz w:val="24"/>
        <w:szCs w:val="24"/>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tblPr/>
      <w:tcPr>
        <w:tcBorders>
          <w:top w:val="single" w:sz="8" w:space="0" w:color="E664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43C" w:themeColor="accent6"/>
          <w:insideH w:val="nil"/>
          <w:insideV w:val="nil"/>
        </w:tcBorders>
        <w:shd w:val="clear" w:color="auto" w:fill="FFFFFF" w:themeFill="background1"/>
      </w:tcPr>
    </w:tblStylePr>
    <w:tblStylePr w:type="lastCol">
      <w:tblPr/>
      <w:tcPr>
        <w:tcBorders>
          <w:top w:val="nil"/>
          <w:left w:val="single" w:sz="8" w:space="0" w:color="E664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top w:val="nil"/>
          <w:bottom w:val="nil"/>
          <w:insideH w:val="nil"/>
          <w:insideV w:val="nil"/>
        </w:tcBorders>
        <w:shd w:val="clear" w:color="auto" w:fill="F8D8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45C9C"/>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45C9C"/>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tblBorders>
    </w:tblPr>
    <w:tblStylePr w:type="firstRow">
      <w:pPr>
        <w:spacing w:before="0" w:after="0" w:line="240" w:lineRule="auto"/>
      </w:pPr>
      <w:rPr>
        <w:b/>
        <w:bCs/>
        <w:color w:val="FFFFFF" w:themeColor="background1"/>
      </w:rPr>
      <w:tblPr/>
      <w:tcPr>
        <w:tc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shd w:val="clear" w:color="auto" w:fill="1B242A" w:themeFill="accent1"/>
      </w:tcPr>
    </w:tblStylePr>
    <w:tblStylePr w:type="lastRow">
      <w:pPr>
        <w:spacing w:before="0" w:after="0" w:line="240" w:lineRule="auto"/>
      </w:pPr>
      <w:rPr>
        <w:b/>
        <w:bCs/>
      </w:rPr>
      <w:tblPr/>
      <w:tcPr>
        <w:tcBorders>
          <w:top w:val="double" w:sz="6"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AD4" w:themeFill="accent1" w:themeFillTint="3F"/>
      </w:tcPr>
    </w:tblStylePr>
    <w:tblStylePr w:type="band1Horz">
      <w:tblPr/>
      <w:tcPr>
        <w:tcBorders>
          <w:insideH w:val="nil"/>
          <w:insideV w:val="nil"/>
        </w:tcBorders>
        <w:shd w:val="clear" w:color="auto" w:fill="BCCAD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45C9C"/>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tblBorders>
    </w:tblPr>
    <w:tblStylePr w:type="firstRow">
      <w:pPr>
        <w:spacing w:before="0" w:after="0" w:line="240" w:lineRule="auto"/>
      </w:pPr>
      <w:rPr>
        <w:b/>
        <w:bCs/>
        <w:color w:val="FFFFFF" w:themeColor="background1"/>
      </w:rPr>
      <w:tblPr/>
      <w:tcPr>
        <w:tc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shd w:val="clear" w:color="auto" w:fill="007586" w:themeFill="accent2"/>
      </w:tcPr>
    </w:tblStylePr>
    <w:tblStylePr w:type="lastRow">
      <w:pPr>
        <w:spacing w:before="0" w:after="0" w:line="240" w:lineRule="auto"/>
      </w:pPr>
      <w:rPr>
        <w:b/>
        <w:bCs/>
      </w:rPr>
      <w:tblPr/>
      <w:tcPr>
        <w:tcBorders>
          <w:top w:val="double" w:sz="6"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2FF" w:themeFill="accent2" w:themeFillTint="3F"/>
      </w:tcPr>
    </w:tblStylePr>
    <w:tblStylePr w:type="band1Horz">
      <w:tblPr/>
      <w:tcPr>
        <w:tcBorders>
          <w:insideH w:val="nil"/>
          <w:insideV w:val="nil"/>
        </w:tcBorders>
        <w:shd w:val="clear" w:color="auto" w:fill="A2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45C9C"/>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tblBorders>
    </w:tblPr>
    <w:tblStylePr w:type="firstRow">
      <w:pPr>
        <w:spacing w:before="0" w:after="0" w:line="240" w:lineRule="auto"/>
      </w:pPr>
      <w:rPr>
        <w:b/>
        <w:bCs/>
        <w:color w:val="FFFFFF" w:themeColor="background1"/>
      </w:rPr>
      <w:tblPr/>
      <w:tcPr>
        <w:tc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shd w:val="clear" w:color="auto" w:fill="5AB9EB" w:themeFill="accent3"/>
      </w:tcPr>
    </w:tblStylePr>
    <w:tblStylePr w:type="lastRow">
      <w:pPr>
        <w:spacing w:before="0" w:after="0" w:line="240" w:lineRule="auto"/>
      </w:pPr>
      <w:rPr>
        <w:b/>
        <w:bCs/>
      </w:rPr>
      <w:tblPr/>
      <w:tcPr>
        <w:tcBorders>
          <w:top w:val="double" w:sz="6"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DFA" w:themeFill="accent3" w:themeFillTint="3F"/>
      </w:tcPr>
    </w:tblStylePr>
    <w:tblStylePr w:type="band1Horz">
      <w:tblPr/>
      <w:tcPr>
        <w:tcBorders>
          <w:insideH w:val="nil"/>
          <w:insideV w:val="nil"/>
        </w:tcBorders>
        <w:shd w:val="clear" w:color="auto" w:fill="D5ED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45C9C"/>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tblBorders>
    </w:tblPr>
    <w:tblStylePr w:type="firstRow">
      <w:pPr>
        <w:spacing w:before="0" w:after="0" w:line="240" w:lineRule="auto"/>
      </w:pPr>
      <w:rPr>
        <w:b/>
        <w:bCs/>
        <w:color w:val="FFFFFF" w:themeColor="background1"/>
      </w:rPr>
      <w:tblPr/>
      <w:tcPr>
        <w:tc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shd w:val="clear" w:color="auto" w:fill="004C97" w:themeFill="accent4"/>
      </w:tcPr>
    </w:tblStylePr>
    <w:tblStylePr w:type="lastRow">
      <w:pPr>
        <w:spacing w:before="0" w:after="0" w:line="240" w:lineRule="auto"/>
      </w:pPr>
      <w:rPr>
        <w:b/>
        <w:bCs/>
      </w:rPr>
      <w:tblPr/>
      <w:tcPr>
        <w:tcBorders>
          <w:top w:val="double" w:sz="6"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4" w:themeFillTint="3F"/>
      </w:tcPr>
    </w:tblStylePr>
    <w:tblStylePr w:type="band1Horz">
      <w:tblPr/>
      <w:tcPr>
        <w:tcBorders>
          <w:insideH w:val="nil"/>
          <w:insideV w:val="nil"/>
        </w:tcBorders>
        <w:shd w:val="clear" w:color="auto" w:fill="A6D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45C9C"/>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tblBorders>
    </w:tblPr>
    <w:tblStylePr w:type="firstRow">
      <w:pPr>
        <w:spacing w:before="0" w:after="0" w:line="240" w:lineRule="auto"/>
      </w:pPr>
      <w:rPr>
        <w:b/>
        <w:bCs/>
        <w:color w:val="FFFFFF" w:themeColor="background1"/>
      </w:rPr>
      <w:tblPr/>
      <w:tcPr>
        <w:tc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shd w:val="clear" w:color="auto" w:fill="5AAA64" w:themeFill="accent5"/>
      </w:tcPr>
    </w:tblStylePr>
    <w:tblStylePr w:type="lastRow">
      <w:pPr>
        <w:spacing w:before="0" w:after="0" w:line="240" w:lineRule="auto"/>
      </w:pPr>
      <w:rPr>
        <w:b/>
        <w:bCs/>
      </w:rPr>
      <w:tblPr/>
      <w:tcPr>
        <w:tcBorders>
          <w:top w:val="double" w:sz="6"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AD8" w:themeFill="accent5" w:themeFillTint="3F"/>
      </w:tcPr>
    </w:tblStylePr>
    <w:tblStylePr w:type="band1Horz">
      <w:tblPr/>
      <w:tcPr>
        <w:tcBorders>
          <w:insideH w:val="nil"/>
          <w:insideV w:val="nil"/>
        </w:tcBorders>
        <w:shd w:val="clear" w:color="auto" w:fill="D6EA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45C9C"/>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tblBorders>
    </w:tblPr>
    <w:tblStylePr w:type="firstRow">
      <w:pPr>
        <w:spacing w:before="0" w:after="0" w:line="240" w:lineRule="auto"/>
      </w:pPr>
      <w:rPr>
        <w:b/>
        <w:bCs/>
        <w:color w:val="FFFFFF" w:themeColor="background1"/>
      </w:rPr>
      <w:tblPr/>
      <w:tcPr>
        <w:tc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shd w:val="clear" w:color="auto" w:fill="E6643C" w:themeFill="accent6"/>
      </w:tcPr>
    </w:tblStylePr>
    <w:tblStylePr w:type="lastRow">
      <w:pPr>
        <w:spacing w:before="0" w:after="0" w:line="240" w:lineRule="auto"/>
      </w:pPr>
      <w:rPr>
        <w:b/>
        <w:bCs/>
      </w:rPr>
      <w:tblPr/>
      <w:tcPr>
        <w:tcBorders>
          <w:top w:val="double" w:sz="6"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8CE" w:themeFill="accent6" w:themeFillTint="3F"/>
      </w:tcPr>
    </w:tblStylePr>
    <w:tblStylePr w:type="band1Horz">
      <w:tblPr/>
      <w:tcPr>
        <w:tcBorders>
          <w:insideH w:val="nil"/>
          <w:insideV w:val="nil"/>
        </w:tcBorders>
        <w:shd w:val="clear" w:color="auto" w:fill="F8D8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242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B242A" w:themeFill="accent1"/>
      </w:tcPr>
    </w:tblStylePr>
    <w:tblStylePr w:type="lastCol">
      <w:rPr>
        <w:b/>
        <w:bCs/>
        <w:color w:val="FFFFFF" w:themeColor="background1"/>
      </w:rPr>
      <w:tblPr/>
      <w:tcPr>
        <w:tcBorders>
          <w:left w:val="nil"/>
          <w:right w:val="nil"/>
          <w:insideH w:val="nil"/>
          <w:insideV w:val="nil"/>
        </w:tcBorders>
        <w:shd w:val="clear" w:color="auto" w:fill="1B242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58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586" w:themeFill="accent2"/>
      </w:tcPr>
    </w:tblStylePr>
    <w:tblStylePr w:type="lastCol">
      <w:rPr>
        <w:b/>
        <w:bCs/>
        <w:color w:val="FFFFFF" w:themeColor="background1"/>
      </w:rPr>
      <w:tblPr/>
      <w:tcPr>
        <w:tcBorders>
          <w:left w:val="nil"/>
          <w:right w:val="nil"/>
          <w:insideH w:val="nil"/>
          <w:insideV w:val="nil"/>
        </w:tcBorders>
        <w:shd w:val="clear" w:color="auto" w:fill="00758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B9E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B9EB" w:themeFill="accent3"/>
      </w:tcPr>
    </w:tblStylePr>
    <w:tblStylePr w:type="lastCol">
      <w:rPr>
        <w:b/>
        <w:bCs/>
        <w:color w:val="FFFFFF" w:themeColor="background1"/>
      </w:rPr>
      <w:tblPr/>
      <w:tcPr>
        <w:tcBorders>
          <w:left w:val="nil"/>
          <w:right w:val="nil"/>
          <w:insideH w:val="nil"/>
          <w:insideV w:val="nil"/>
        </w:tcBorders>
        <w:shd w:val="clear" w:color="auto" w:fill="5AB9E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4"/>
      </w:tcPr>
    </w:tblStylePr>
    <w:tblStylePr w:type="lastCol">
      <w:rPr>
        <w:b/>
        <w:bCs/>
        <w:color w:val="FFFFFF" w:themeColor="background1"/>
      </w:rPr>
      <w:tblPr/>
      <w:tcPr>
        <w:tcBorders>
          <w:left w:val="nil"/>
          <w:right w:val="nil"/>
          <w:insideH w:val="nil"/>
          <w:insideV w:val="nil"/>
        </w:tcBorders>
        <w:shd w:val="clear" w:color="auto" w:fill="004C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A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A64" w:themeFill="accent5"/>
      </w:tcPr>
    </w:tblStylePr>
    <w:tblStylePr w:type="lastCol">
      <w:rPr>
        <w:b/>
        <w:bCs/>
        <w:color w:val="FFFFFF" w:themeColor="background1"/>
      </w:rPr>
      <w:tblPr/>
      <w:tcPr>
        <w:tcBorders>
          <w:left w:val="nil"/>
          <w:right w:val="nil"/>
          <w:insideH w:val="nil"/>
          <w:insideV w:val="nil"/>
        </w:tcBorders>
        <w:shd w:val="clear" w:color="auto" w:fill="5AAA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4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43C" w:themeFill="accent6"/>
      </w:tcPr>
    </w:tblStylePr>
    <w:tblStylePr w:type="lastCol">
      <w:rPr>
        <w:b/>
        <w:bCs/>
        <w:color w:val="FFFFFF" w:themeColor="background1"/>
      </w:rPr>
      <w:tblPr/>
      <w:tcPr>
        <w:tcBorders>
          <w:left w:val="nil"/>
          <w:right w:val="nil"/>
          <w:insideH w:val="nil"/>
          <w:insideV w:val="nil"/>
        </w:tcBorders>
        <w:shd w:val="clear" w:color="auto" w:fill="E664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E45C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45C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45C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45C9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45C9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E45C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Vpullouttext">
    <w:name w:val="SCV pullout text"/>
    <w:basedOn w:val="SCVbody"/>
    <w:uiPriority w:val="13"/>
    <w:qFormat/>
    <w:rsid w:val="00E45C9C"/>
    <w:pPr>
      <w:spacing w:after="120"/>
    </w:pPr>
    <w:rPr>
      <w:color w:val="007586" w:themeColor="text2"/>
    </w:rPr>
  </w:style>
  <w:style w:type="paragraph" w:customStyle="1" w:styleId="SCVpulloutheading">
    <w:name w:val="SCV pullout heading"/>
    <w:basedOn w:val="SCVpullouttext"/>
    <w:next w:val="SCVpullouttext"/>
    <w:uiPriority w:val="13"/>
    <w:qFormat/>
    <w:rsid w:val="00E45C9C"/>
    <w:pPr>
      <w:keepNext/>
      <w:keepLines/>
      <w:spacing w:line="240" w:lineRule="auto"/>
    </w:pPr>
    <w:rPr>
      <w:rFonts w:asciiTheme="majorHAnsi" w:hAnsiTheme="majorHAnsi"/>
      <w:b/>
    </w:rPr>
  </w:style>
  <w:style w:type="table" w:customStyle="1" w:styleId="SCVInformationTable">
    <w:name w:val="SCV Information Table"/>
    <w:basedOn w:val="TableNormal"/>
    <w:uiPriority w:val="99"/>
    <w:rsid w:val="00E45C9C"/>
    <w:pPr>
      <w:spacing w:before="0" w:line="288" w:lineRule="auto"/>
    </w:pPr>
    <w:tblPr>
      <w:tblCellMar>
        <w:top w:w="284" w:type="dxa"/>
        <w:left w:w="284" w:type="dxa"/>
        <w:bottom w:w="284" w:type="dxa"/>
        <w:right w:w="284" w:type="dxa"/>
      </w:tblCellMar>
    </w:tblPr>
    <w:tcPr>
      <w:shd w:val="clear" w:color="auto" w:fill="F2F2F2" w:themeFill="background1" w:themeFillShade="F2"/>
    </w:tcPr>
  </w:style>
  <w:style w:type="paragraph" w:styleId="NormalWeb">
    <w:name w:val="Normal (Web)"/>
    <w:basedOn w:val="Normal"/>
    <w:uiPriority w:val="99"/>
    <w:semiHidden/>
    <w:rsid w:val="00E45C9C"/>
    <w:pPr>
      <w:spacing w:before="0" w:after="0" w:line="260" w:lineRule="atLeast"/>
    </w:pPr>
    <w:rPr>
      <w:rFonts w:eastAsia="Times New Roman" w:cs="Times New Roman"/>
      <w:color w:val="000000" w:themeColor="text1"/>
      <w:szCs w:val="24"/>
    </w:rPr>
  </w:style>
  <w:style w:type="character" w:customStyle="1" w:styleId="Heading5Char">
    <w:name w:val="Heading 5 Char"/>
    <w:basedOn w:val="DefaultParagraphFont"/>
    <w:link w:val="Heading5"/>
    <w:uiPriority w:val="1"/>
    <w:semiHidden/>
    <w:rsid w:val="00E45C9C"/>
    <w:rPr>
      <w:rFonts w:asciiTheme="majorHAnsi" w:eastAsiaTheme="majorEastAsia" w:hAnsiTheme="majorHAnsi" w:cstheme="majorBidi"/>
      <w:color w:val="141A1F" w:themeColor="accent1" w:themeShade="BF"/>
    </w:rPr>
  </w:style>
  <w:style w:type="paragraph" w:customStyle="1" w:styleId="SCVnumberloweralphaindent">
    <w:name w:val="SCV number lower alpha indent"/>
    <w:basedOn w:val="SCVbody"/>
    <w:uiPriority w:val="29"/>
    <w:rsid w:val="00E45C9C"/>
    <w:pPr>
      <w:tabs>
        <w:tab w:val="num" w:pos="794"/>
      </w:tabs>
      <w:spacing w:before="60" w:after="60"/>
      <w:ind w:left="794" w:hanging="397"/>
    </w:pPr>
    <w:rPr>
      <w:rFonts w:eastAsia="Times New Roman" w:cstheme="minorHAnsi"/>
    </w:rPr>
  </w:style>
  <w:style w:type="paragraph" w:customStyle="1" w:styleId="SCVtablebody">
    <w:name w:val="SCV table body"/>
    <w:uiPriority w:val="22"/>
    <w:qFormat/>
    <w:rsid w:val="007249BD"/>
    <w:pPr>
      <w:spacing w:before="80" w:after="60" w:line="240" w:lineRule="atLeast"/>
    </w:pPr>
    <w:rPr>
      <w:rFonts w:eastAsia="Times New Roman" w:cstheme="minorHAnsi"/>
      <w:sz w:val="22"/>
      <w:szCs w:val="21"/>
      <w:lang w:eastAsia="en-US"/>
    </w:rPr>
  </w:style>
  <w:style w:type="paragraph" w:customStyle="1" w:styleId="SCVnumberdigit">
    <w:name w:val="SCV number digit"/>
    <w:basedOn w:val="SCVbody"/>
    <w:uiPriority w:val="29"/>
    <w:rsid w:val="005C07D3"/>
    <w:pPr>
      <w:tabs>
        <w:tab w:val="num" w:pos="397"/>
      </w:tabs>
      <w:spacing w:before="60" w:after="60"/>
      <w:ind w:left="397" w:hanging="397"/>
    </w:pPr>
    <w:rPr>
      <w:rFonts w:eastAsia="Times New Roman" w:cstheme="minorHAnsi"/>
    </w:rPr>
  </w:style>
  <w:style w:type="paragraph" w:customStyle="1" w:styleId="SCVtablecolhead">
    <w:name w:val="SCV table col head"/>
    <w:uiPriority w:val="3"/>
    <w:qFormat/>
    <w:rsid w:val="007249BD"/>
    <w:pPr>
      <w:keepNext/>
      <w:keepLines/>
      <w:spacing w:before="80" w:after="60" w:line="240" w:lineRule="auto"/>
    </w:pPr>
    <w:rPr>
      <w:rFonts w:eastAsia="Times New Roman" w:cstheme="minorHAnsi"/>
      <w:b/>
      <w:color w:val="007586" w:themeColor="text2"/>
      <w:sz w:val="22"/>
      <w:szCs w:val="18"/>
      <w:lang w:eastAsia="en-US"/>
    </w:rPr>
  </w:style>
  <w:style w:type="paragraph" w:customStyle="1" w:styleId="SCVbodyaftertablefigure">
    <w:name w:val="SCV body after table/figure"/>
    <w:basedOn w:val="SCVbody"/>
    <w:next w:val="SCVbody"/>
    <w:uiPriority w:val="24"/>
    <w:rsid w:val="00E45C9C"/>
    <w:pPr>
      <w:spacing w:before="240"/>
    </w:pPr>
    <w:rPr>
      <w:rFonts w:eastAsia="Times New Roman" w:cstheme="minorHAnsi"/>
    </w:rPr>
  </w:style>
  <w:style w:type="paragraph" w:customStyle="1" w:styleId="SCVquote">
    <w:name w:val="SCV quote"/>
    <w:basedOn w:val="SCVbody"/>
    <w:uiPriority w:val="29"/>
    <w:rsid w:val="00E45C9C"/>
    <w:pPr>
      <w:ind w:left="397"/>
    </w:pPr>
    <w:rPr>
      <w:rFonts w:eastAsia="Times New Roman" w:cstheme="minorHAnsi"/>
      <w:color w:val="007586" w:themeColor="text2"/>
      <w:szCs w:val="18"/>
    </w:rPr>
  </w:style>
  <w:style w:type="numbering" w:customStyle="1" w:styleId="ZZBulletsafternumbers">
    <w:name w:val="ZZ Bullets after numbers"/>
    <w:basedOn w:val="NoList"/>
    <w:uiPriority w:val="99"/>
    <w:rsid w:val="00E45C9C"/>
    <w:pPr>
      <w:numPr>
        <w:numId w:val="7"/>
      </w:numPr>
    </w:pPr>
  </w:style>
  <w:style w:type="paragraph" w:customStyle="1" w:styleId="SCVbulletafternumbers">
    <w:name w:val="SCV bullet after numbers"/>
    <w:basedOn w:val="SCVbody"/>
    <w:uiPriority w:val="24"/>
    <w:rsid w:val="00E45C9C"/>
    <w:pPr>
      <w:numPr>
        <w:ilvl w:val="1"/>
        <w:numId w:val="7"/>
      </w:numPr>
      <w:tabs>
        <w:tab w:val="num" w:pos="284"/>
      </w:tabs>
      <w:spacing w:before="60" w:after="60"/>
    </w:pPr>
  </w:style>
  <w:style w:type="paragraph" w:customStyle="1" w:styleId="SCVquotebullet1">
    <w:name w:val="SCV quote bullet 1"/>
    <w:basedOn w:val="SCVquote"/>
    <w:uiPriority w:val="29"/>
    <w:rsid w:val="000B7B42"/>
    <w:pPr>
      <w:spacing w:before="60" w:after="60"/>
      <w:ind w:left="0"/>
    </w:pPr>
  </w:style>
  <w:style w:type="paragraph" w:customStyle="1" w:styleId="SCVquotebullet2">
    <w:name w:val="SCV quote bullet 2"/>
    <w:basedOn w:val="SCVquote"/>
    <w:uiPriority w:val="29"/>
    <w:rsid w:val="000B7B42"/>
    <w:pPr>
      <w:numPr>
        <w:ilvl w:val="1"/>
        <w:numId w:val="19"/>
      </w:numPr>
      <w:spacing w:before="60" w:after="60"/>
    </w:pPr>
  </w:style>
  <w:style w:type="paragraph" w:customStyle="1" w:styleId="SCVtablebullet1">
    <w:name w:val="SCV table bullet 1"/>
    <w:basedOn w:val="SCVtablebody"/>
    <w:uiPriority w:val="23"/>
    <w:qFormat/>
    <w:rsid w:val="00E45C9C"/>
    <w:pPr>
      <w:numPr>
        <w:numId w:val="11"/>
      </w:numPr>
    </w:pPr>
    <w:rPr>
      <w:szCs w:val="18"/>
    </w:rPr>
  </w:style>
  <w:style w:type="paragraph" w:customStyle="1" w:styleId="SCVtablebullet2">
    <w:name w:val="SCV table bullet 2"/>
    <w:basedOn w:val="SCVtablebody"/>
    <w:uiPriority w:val="23"/>
    <w:rsid w:val="00E45C9C"/>
    <w:pPr>
      <w:numPr>
        <w:ilvl w:val="1"/>
        <w:numId w:val="11"/>
      </w:numPr>
      <w:tabs>
        <w:tab w:val="num" w:pos="340"/>
      </w:tabs>
    </w:pPr>
    <w:rPr>
      <w:szCs w:val="18"/>
    </w:rPr>
  </w:style>
  <w:style w:type="character" w:customStyle="1" w:styleId="SCVbodyChar">
    <w:name w:val="SCV body Char"/>
    <w:basedOn w:val="DefaultParagraphFont"/>
    <w:link w:val="SCVbody"/>
    <w:locked/>
    <w:rsid w:val="0057201C"/>
    <w:rPr>
      <w:rFonts w:eastAsiaTheme="minorHAnsi"/>
      <w:sz w:val="24"/>
      <w:szCs w:val="22"/>
      <w:lang w:eastAsia="en-US"/>
    </w:rPr>
  </w:style>
  <w:style w:type="numbering" w:customStyle="1" w:styleId="ZZNumbersdigit">
    <w:name w:val="ZZ Numbers digit"/>
    <w:rsid w:val="00E45C9C"/>
    <w:pPr>
      <w:numPr>
        <w:numId w:val="10"/>
      </w:numPr>
    </w:pPr>
  </w:style>
  <w:style w:type="numbering" w:customStyle="1" w:styleId="ZZTablebullets">
    <w:name w:val="ZZ Table bullets"/>
    <w:rsid w:val="00E45C9C"/>
  </w:style>
  <w:style w:type="numbering" w:customStyle="1" w:styleId="ZZQuotebullets">
    <w:name w:val="ZZ Quote bullets"/>
    <w:rsid w:val="000B7B42"/>
  </w:style>
  <w:style w:type="paragraph" w:customStyle="1" w:styleId="SCVheader">
    <w:name w:val="SCV header"/>
    <w:basedOn w:val="Header"/>
    <w:uiPriority w:val="1"/>
    <w:rsid w:val="00E45C9C"/>
    <w:pPr>
      <w:pBdr>
        <w:bottom w:val="single" w:sz="24" w:space="1" w:color="CCCCD0"/>
      </w:pBdr>
    </w:pPr>
  </w:style>
  <w:style w:type="paragraph" w:customStyle="1" w:styleId="SCVtablerowhead">
    <w:name w:val="SCV table row head"/>
    <w:basedOn w:val="SCVtablecolhead"/>
    <w:uiPriority w:val="21"/>
    <w:qFormat/>
    <w:rsid w:val="00E45C9C"/>
    <w:rPr>
      <w:rFonts w:cs="Times New Roman"/>
    </w:rPr>
  </w:style>
  <w:style w:type="paragraph" w:customStyle="1" w:styleId="SCVaccessibilitypara">
    <w:name w:val="SCV accessibility para"/>
    <w:basedOn w:val="SCVbody"/>
    <w:uiPriority w:val="29"/>
    <w:rsid w:val="00E45C9C"/>
  </w:style>
  <w:style w:type="character" w:styleId="UnresolvedMention">
    <w:name w:val="Unresolved Mention"/>
    <w:basedOn w:val="DefaultParagraphFont"/>
    <w:uiPriority w:val="99"/>
    <w:semiHidden/>
    <w:unhideWhenUsed/>
    <w:rsid w:val="00E45C9C"/>
    <w:rPr>
      <w:color w:val="605E5C"/>
      <w:shd w:val="clear" w:color="auto" w:fill="E1DFDD"/>
    </w:rPr>
  </w:style>
  <w:style w:type="character" w:styleId="FollowedHyperlink">
    <w:name w:val="FollowedHyperlink"/>
    <w:basedOn w:val="DefaultParagraphFont"/>
    <w:uiPriority w:val="1"/>
    <w:rsid w:val="00E45C9C"/>
    <w:rPr>
      <w:color w:val="007586" w:themeColor="text2"/>
      <w:u w:val="single"/>
    </w:rPr>
  </w:style>
  <w:style w:type="table" w:customStyle="1" w:styleId="SCVpulloutbox">
    <w:name w:val="SCV pullout box"/>
    <w:basedOn w:val="PlainTable1"/>
    <w:uiPriority w:val="99"/>
    <w:rsid w:val="00E45C9C"/>
    <w:pPr>
      <w:spacing w:before="0" w:after="120" w:line="300" w:lineRule="auto"/>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113" w:type="dxa"/>
        <w:right w:w="284" w:type="dxa"/>
      </w:tblCellMar>
    </w:tblPr>
    <w:tcPr>
      <w:shd w:val="clear" w:color="auto" w:fill="EDF5F7"/>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ZZTablenumbers">
    <w:name w:val="ZZ Table numbers"/>
    <w:basedOn w:val="NoList"/>
    <w:uiPriority w:val="99"/>
    <w:rsid w:val="00E45C9C"/>
    <w:pPr>
      <w:numPr>
        <w:numId w:val="14"/>
      </w:numPr>
    </w:pPr>
  </w:style>
  <w:style w:type="paragraph" w:customStyle="1" w:styleId="SCVtablenumber1">
    <w:name w:val="SCV table number 1"/>
    <w:basedOn w:val="SCVtablebody"/>
    <w:uiPriority w:val="29"/>
    <w:rsid w:val="00E45C9C"/>
    <w:pPr>
      <w:tabs>
        <w:tab w:val="num" w:pos="360"/>
        <w:tab w:val="num" w:pos="720"/>
      </w:tabs>
      <w:ind w:left="360" w:hanging="360"/>
    </w:pPr>
  </w:style>
  <w:style w:type="paragraph" w:customStyle="1" w:styleId="SCVtablenumber2">
    <w:name w:val="SCV table number 2"/>
    <w:basedOn w:val="SCVtablebody"/>
    <w:uiPriority w:val="29"/>
    <w:rsid w:val="00E45C9C"/>
    <w:pPr>
      <w:numPr>
        <w:ilvl w:val="1"/>
        <w:numId w:val="12"/>
      </w:numPr>
      <w:spacing w:before="60" w:line="192" w:lineRule="atLeast"/>
    </w:pPr>
    <w:rPr>
      <w:rFonts w:eastAsiaTheme="minorHAnsi"/>
    </w:rPr>
  </w:style>
  <w:style w:type="paragraph" w:customStyle="1" w:styleId="SCVTOCheading">
    <w:name w:val="SCV TOC heading"/>
    <w:basedOn w:val="Heading1"/>
    <w:uiPriority w:val="29"/>
    <w:rsid w:val="00E45C9C"/>
  </w:style>
  <w:style w:type="paragraph" w:customStyle="1" w:styleId="SCVprotectivemarkingbelowsubtitle">
    <w:name w:val="SCV protective marking below subtitle"/>
    <w:basedOn w:val="SCVbody"/>
    <w:uiPriority w:val="1"/>
    <w:rsid w:val="00F64CFF"/>
    <w:pPr>
      <w:spacing w:before="400" w:after="400" w:line="240" w:lineRule="auto"/>
    </w:pPr>
    <w:rPr>
      <w:caps/>
      <w:szCs w:val="24"/>
    </w:rPr>
  </w:style>
  <w:style w:type="character" w:styleId="CommentReference">
    <w:name w:val="annotation reference"/>
    <w:basedOn w:val="DefaultParagraphFont"/>
    <w:uiPriority w:val="99"/>
    <w:semiHidden/>
    <w:unhideWhenUsed/>
    <w:rsid w:val="00E45C9C"/>
    <w:rPr>
      <w:sz w:val="16"/>
      <w:szCs w:val="16"/>
    </w:rPr>
  </w:style>
  <w:style w:type="paragraph" w:styleId="CommentText">
    <w:name w:val="annotation text"/>
    <w:basedOn w:val="Normal"/>
    <w:link w:val="CommentTextChar"/>
    <w:uiPriority w:val="99"/>
    <w:unhideWhenUsed/>
    <w:rsid w:val="00E45C9C"/>
    <w:pPr>
      <w:spacing w:line="240" w:lineRule="auto"/>
    </w:pPr>
  </w:style>
  <w:style w:type="character" w:customStyle="1" w:styleId="CommentTextChar">
    <w:name w:val="Comment Text Char"/>
    <w:basedOn w:val="DefaultParagraphFont"/>
    <w:link w:val="CommentText"/>
    <w:uiPriority w:val="99"/>
    <w:rsid w:val="00E45C9C"/>
  </w:style>
  <w:style w:type="paragraph" w:styleId="CommentSubject">
    <w:name w:val="annotation subject"/>
    <w:basedOn w:val="CommentText"/>
    <w:next w:val="CommentText"/>
    <w:link w:val="CommentSubjectChar"/>
    <w:uiPriority w:val="1"/>
    <w:semiHidden/>
    <w:unhideWhenUsed/>
    <w:rsid w:val="00E45C9C"/>
    <w:rPr>
      <w:b/>
      <w:bCs/>
    </w:rPr>
  </w:style>
  <w:style w:type="character" w:customStyle="1" w:styleId="CommentSubjectChar">
    <w:name w:val="Comment Subject Char"/>
    <w:basedOn w:val="CommentTextChar"/>
    <w:link w:val="CommentSubject"/>
    <w:uiPriority w:val="1"/>
    <w:semiHidden/>
    <w:rsid w:val="00E45C9C"/>
    <w:rPr>
      <w:b/>
      <w:bCs/>
    </w:rPr>
  </w:style>
  <w:style w:type="paragraph" w:styleId="Revision">
    <w:name w:val="Revision"/>
    <w:hidden/>
    <w:uiPriority w:val="99"/>
    <w:semiHidden/>
    <w:rsid w:val="005416D7"/>
    <w:pPr>
      <w:spacing w:before="0" w:after="0" w:line="240" w:lineRule="auto"/>
    </w:pPr>
  </w:style>
  <w:style w:type="paragraph" w:customStyle="1" w:styleId="SCVimprint">
    <w:name w:val="SCV imprint"/>
    <w:basedOn w:val="SCVbody"/>
    <w:uiPriority w:val="1"/>
    <w:rsid w:val="00E77A81"/>
    <w:pPr>
      <w:spacing w:after="120"/>
    </w:pPr>
    <w:rPr>
      <w:szCs w:val="18"/>
    </w:rPr>
  </w:style>
  <w:style w:type="paragraph" w:customStyle="1" w:styleId="SCVpulloutbullet">
    <w:name w:val="SCV pullout bullet"/>
    <w:basedOn w:val="SCVpullouttext"/>
    <w:uiPriority w:val="1"/>
    <w:rsid w:val="00E45C9C"/>
    <w:pPr>
      <w:numPr>
        <w:numId w:val="9"/>
      </w:numPr>
      <w:tabs>
        <w:tab w:val="num" w:pos="397"/>
      </w:tabs>
    </w:pPr>
  </w:style>
  <w:style w:type="numbering" w:customStyle="1" w:styleId="ZZPulloutbullets">
    <w:name w:val="ZZ Pullout bullets"/>
    <w:basedOn w:val="NoList"/>
    <w:uiPriority w:val="99"/>
    <w:rsid w:val="00E45C9C"/>
    <w:pPr>
      <w:numPr>
        <w:numId w:val="211"/>
      </w:numPr>
    </w:pPr>
  </w:style>
  <w:style w:type="paragraph" w:customStyle="1" w:styleId="SCVdate">
    <w:name w:val="SCV date"/>
    <w:basedOn w:val="SCVbody"/>
    <w:uiPriority w:val="1"/>
    <w:rsid w:val="00E45C9C"/>
    <w:pPr>
      <w:spacing w:after="0"/>
    </w:pPr>
    <w:rPr>
      <w:b/>
      <w:bCs/>
      <w:sz w:val="28"/>
      <w:szCs w:val="28"/>
    </w:rPr>
  </w:style>
  <w:style w:type="paragraph" w:customStyle="1" w:styleId="SCVborderabovetitle">
    <w:name w:val="SCV border above title"/>
    <w:basedOn w:val="SCVbody"/>
    <w:uiPriority w:val="1"/>
    <w:rsid w:val="00E45C9C"/>
    <w:pPr>
      <w:pBdr>
        <w:top w:val="single" w:sz="24" w:space="1" w:color="D9D9D9" w:themeColor="background1" w:themeShade="D9"/>
      </w:pBdr>
      <w:spacing w:after="0"/>
    </w:pPr>
    <w:rPr>
      <w:sz w:val="12"/>
    </w:rPr>
  </w:style>
  <w:style w:type="paragraph" w:customStyle="1" w:styleId="SCVfooter">
    <w:name w:val="SCV footer"/>
    <w:basedOn w:val="Footer"/>
    <w:uiPriority w:val="99"/>
    <w:rsid w:val="00E45C9C"/>
    <w:pPr>
      <w:pBdr>
        <w:top w:val="single" w:sz="8" w:space="6" w:color="CCCCD0"/>
      </w:pBdr>
      <w:spacing w:line="240" w:lineRule="auto"/>
    </w:pPr>
    <w:rPr>
      <w:sz w:val="18"/>
    </w:rPr>
  </w:style>
  <w:style w:type="paragraph" w:customStyle="1" w:styleId="paragraph">
    <w:name w:val="paragraph"/>
    <w:basedOn w:val="Normal"/>
    <w:rsid w:val="003778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77835"/>
  </w:style>
  <w:style w:type="character" w:customStyle="1" w:styleId="eop">
    <w:name w:val="eop"/>
    <w:basedOn w:val="DefaultParagraphFont"/>
    <w:rsid w:val="00377835"/>
  </w:style>
  <w:style w:type="character" w:customStyle="1" w:styleId="scxw213382547">
    <w:name w:val="scxw213382547"/>
    <w:basedOn w:val="DefaultParagraphFont"/>
    <w:rsid w:val="00377835"/>
  </w:style>
  <w:style w:type="character" w:customStyle="1" w:styleId="wacimagecontainer">
    <w:name w:val="wacimagecontainer"/>
    <w:basedOn w:val="DefaultParagraphFont"/>
    <w:rsid w:val="001A41C2"/>
  </w:style>
  <w:style w:type="character" w:styleId="Mention">
    <w:name w:val="Mention"/>
    <w:basedOn w:val="DefaultParagraphFont"/>
    <w:uiPriority w:val="99"/>
    <w:unhideWhenUsed/>
    <w:rsid w:val="00065C63"/>
    <w:rPr>
      <w:color w:val="2B579A"/>
      <w:shd w:val="clear" w:color="auto" w:fill="E1DFDD"/>
    </w:rPr>
  </w:style>
  <w:style w:type="paragraph" w:customStyle="1" w:styleId="SCVboxheading">
    <w:name w:val="SCV box heading"/>
    <w:basedOn w:val="Heading3"/>
    <w:uiPriority w:val="1"/>
    <w:qFormat/>
    <w:rsid w:val="009D4FAE"/>
    <w:pPr>
      <w:spacing w:before="120"/>
    </w:pPr>
  </w:style>
  <w:style w:type="paragraph" w:customStyle="1" w:styleId="SCVcasestudyheader">
    <w:name w:val="SCV case study header"/>
    <w:basedOn w:val="SCVbody"/>
    <w:uiPriority w:val="1"/>
    <w:rsid w:val="0062714E"/>
    <w:pPr>
      <w:keepNext/>
      <w:spacing w:before="240"/>
    </w:pPr>
    <w:rPr>
      <w:b/>
      <w:bCs/>
      <w:color w:val="007586" w:themeColor="text2"/>
    </w:rPr>
  </w:style>
  <w:style w:type="character" w:styleId="IntenseEmphasis">
    <w:name w:val="Intense Emphasis"/>
    <w:basedOn w:val="DefaultParagraphFont"/>
    <w:uiPriority w:val="21"/>
    <w:qFormat/>
    <w:rsid w:val="003614DB"/>
    <w:rPr>
      <w:i/>
      <w:iCs/>
      <w:color w:val="141A1F" w:themeColor="accent1" w:themeShade="BF"/>
    </w:rPr>
  </w:style>
  <w:style w:type="paragraph" w:customStyle="1" w:styleId="SCVAdvicebreakoutheading">
    <w:name w:val="SCV Advice breakout heading"/>
    <w:basedOn w:val="SCVbody"/>
    <w:uiPriority w:val="1"/>
    <w:rsid w:val="00F76796"/>
    <w:rPr>
      <w:b/>
      <w:bCs/>
      <w:color w:val="007586" w:themeColor="text2"/>
      <w:spacing w:val="6"/>
    </w:rPr>
  </w:style>
  <w:style w:type="paragraph" w:customStyle="1" w:styleId="xmsolistparagraph">
    <w:name w:val="x_msolistparagraph"/>
    <w:basedOn w:val="Normal"/>
    <w:uiPriority w:val="1"/>
    <w:rsid w:val="78B48E18"/>
    <w:pPr>
      <w:spacing w:after="0" w:line="240" w:lineRule="auto"/>
      <w:ind w:left="720"/>
    </w:pPr>
    <w:rPr>
      <w:sz w:val="22"/>
      <w:szCs w:val="22"/>
    </w:rPr>
  </w:style>
  <w:style w:type="paragraph" w:customStyle="1" w:styleId="pf0">
    <w:name w:val="pf0"/>
    <w:basedOn w:val="Normal"/>
    <w:rsid w:val="00A93BC8"/>
    <w:pPr>
      <w:spacing w:before="100" w:beforeAutospacing="1" w:after="100" w:afterAutospacing="1" w:line="240" w:lineRule="auto"/>
    </w:pPr>
    <w:rPr>
      <w:rFonts w:ascii="Times New Roman" w:eastAsia="Times New Roman" w:hAnsi="Times New Roman" w:cs="Times New Roman"/>
      <w:sz w:val="24"/>
      <w:szCs w:val="24"/>
      <w:lang w:eastAsia="zh-CN" w:bidi="th-TH"/>
    </w:rPr>
  </w:style>
  <w:style w:type="character" w:customStyle="1" w:styleId="cf01">
    <w:name w:val="cf01"/>
    <w:basedOn w:val="DefaultParagraphFont"/>
    <w:rsid w:val="00A93BC8"/>
    <w:rPr>
      <w:rFonts w:ascii="Segoe UI" w:hAnsi="Segoe UI" w:cs="Segoe UI" w:hint="default"/>
      <w:sz w:val="18"/>
      <w:szCs w:val="18"/>
    </w:rPr>
  </w:style>
  <w:style w:type="character" w:customStyle="1" w:styleId="superscript">
    <w:name w:val="superscript"/>
    <w:basedOn w:val="DefaultParagraphFont"/>
    <w:rsid w:val="002C1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9411">
      <w:bodyDiv w:val="1"/>
      <w:marLeft w:val="0"/>
      <w:marRight w:val="0"/>
      <w:marTop w:val="0"/>
      <w:marBottom w:val="0"/>
      <w:divBdr>
        <w:top w:val="none" w:sz="0" w:space="0" w:color="auto"/>
        <w:left w:val="none" w:sz="0" w:space="0" w:color="auto"/>
        <w:bottom w:val="none" w:sz="0" w:space="0" w:color="auto"/>
        <w:right w:val="none" w:sz="0" w:space="0" w:color="auto"/>
      </w:divBdr>
      <w:divsChild>
        <w:div w:id="118959967">
          <w:marLeft w:val="0"/>
          <w:marRight w:val="0"/>
          <w:marTop w:val="0"/>
          <w:marBottom w:val="0"/>
          <w:divBdr>
            <w:top w:val="none" w:sz="0" w:space="0" w:color="auto"/>
            <w:left w:val="none" w:sz="0" w:space="0" w:color="auto"/>
            <w:bottom w:val="none" w:sz="0" w:space="0" w:color="auto"/>
            <w:right w:val="none" w:sz="0" w:space="0" w:color="auto"/>
          </w:divBdr>
        </w:div>
        <w:div w:id="197201387">
          <w:marLeft w:val="0"/>
          <w:marRight w:val="0"/>
          <w:marTop w:val="0"/>
          <w:marBottom w:val="0"/>
          <w:divBdr>
            <w:top w:val="none" w:sz="0" w:space="0" w:color="auto"/>
            <w:left w:val="none" w:sz="0" w:space="0" w:color="auto"/>
            <w:bottom w:val="none" w:sz="0" w:space="0" w:color="auto"/>
            <w:right w:val="none" w:sz="0" w:space="0" w:color="auto"/>
          </w:divBdr>
        </w:div>
        <w:div w:id="217936685">
          <w:marLeft w:val="0"/>
          <w:marRight w:val="0"/>
          <w:marTop w:val="0"/>
          <w:marBottom w:val="0"/>
          <w:divBdr>
            <w:top w:val="none" w:sz="0" w:space="0" w:color="auto"/>
            <w:left w:val="none" w:sz="0" w:space="0" w:color="auto"/>
            <w:bottom w:val="none" w:sz="0" w:space="0" w:color="auto"/>
            <w:right w:val="none" w:sz="0" w:space="0" w:color="auto"/>
          </w:divBdr>
        </w:div>
        <w:div w:id="248197525">
          <w:marLeft w:val="0"/>
          <w:marRight w:val="0"/>
          <w:marTop w:val="0"/>
          <w:marBottom w:val="0"/>
          <w:divBdr>
            <w:top w:val="none" w:sz="0" w:space="0" w:color="auto"/>
            <w:left w:val="none" w:sz="0" w:space="0" w:color="auto"/>
            <w:bottom w:val="none" w:sz="0" w:space="0" w:color="auto"/>
            <w:right w:val="none" w:sz="0" w:space="0" w:color="auto"/>
          </w:divBdr>
        </w:div>
        <w:div w:id="294915666">
          <w:marLeft w:val="0"/>
          <w:marRight w:val="0"/>
          <w:marTop w:val="0"/>
          <w:marBottom w:val="0"/>
          <w:divBdr>
            <w:top w:val="none" w:sz="0" w:space="0" w:color="auto"/>
            <w:left w:val="none" w:sz="0" w:space="0" w:color="auto"/>
            <w:bottom w:val="none" w:sz="0" w:space="0" w:color="auto"/>
            <w:right w:val="none" w:sz="0" w:space="0" w:color="auto"/>
          </w:divBdr>
        </w:div>
        <w:div w:id="326985941">
          <w:marLeft w:val="0"/>
          <w:marRight w:val="0"/>
          <w:marTop w:val="0"/>
          <w:marBottom w:val="0"/>
          <w:divBdr>
            <w:top w:val="none" w:sz="0" w:space="0" w:color="auto"/>
            <w:left w:val="none" w:sz="0" w:space="0" w:color="auto"/>
            <w:bottom w:val="none" w:sz="0" w:space="0" w:color="auto"/>
            <w:right w:val="none" w:sz="0" w:space="0" w:color="auto"/>
          </w:divBdr>
        </w:div>
        <w:div w:id="462310939">
          <w:marLeft w:val="0"/>
          <w:marRight w:val="0"/>
          <w:marTop w:val="0"/>
          <w:marBottom w:val="0"/>
          <w:divBdr>
            <w:top w:val="none" w:sz="0" w:space="0" w:color="auto"/>
            <w:left w:val="none" w:sz="0" w:space="0" w:color="auto"/>
            <w:bottom w:val="none" w:sz="0" w:space="0" w:color="auto"/>
            <w:right w:val="none" w:sz="0" w:space="0" w:color="auto"/>
          </w:divBdr>
        </w:div>
        <w:div w:id="726105198">
          <w:marLeft w:val="0"/>
          <w:marRight w:val="0"/>
          <w:marTop w:val="0"/>
          <w:marBottom w:val="0"/>
          <w:divBdr>
            <w:top w:val="none" w:sz="0" w:space="0" w:color="auto"/>
            <w:left w:val="none" w:sz="0" w:space="0" w:color="auto"/>
            <w:bottom w:val="none" w:sz="0" w:space="0" w:color="auto"/>
            <w:right w:val="none" w:sz="0" w:space="0" w:color="auto"/>
          </w:divBdr>
        </w:div>
        <w:div w:id="866720764">
          <w:marLeft w:val="0"/>
          <w:marRight w:val="0"/>
          <w:marTop w:val="0"/>
          <w:marBottom w:val="0"/>
          <w:divBdr>
            <w:top w:val="none" w:sz="0" w:space="0" w:color="auto"/>
            <w:left w:val="none" w:sz="0" w:space="0" w:color="auto"/>
            <w:bottom w:val="none" w:sz="0" w:space="0" w:color="auto"/>
            <w:right w:val="none" w:sz="0" w:space="0" w:color="auto"/>
          </w:divBdr>
        </w:div>
        <w:div w:id="973413771">
          <w:marLeft w:val="0"/>
          <w:marRight w:val="0"/>
          <w:marTop w:val="0"/>
          <w:marBottom w:val="0"/>
          <w:divBdr>
            <w:top w:val="none" w:sz="0" w:space="0" w:color="auto"/>
            <w:left w:val="none" w:sz="0" w:space="0" w:color="auto"/>
            <w:bottom w:val="none" w:sz="0" w:space="0" w:color="auto"/>
            <w:right w:val="none" w:sz="0" w:space="0" w:color="auto"/>
          </w:divBdr>
        </w:div>
        <w:div w:id="1047952623">
          <w:marLeft w:val="0"/>
          <w:marRight w:val="0"/>
          <w:marTop w:val="0"/>
          <w:marBottom w:val="0"/>
          <w:divBdr>
            <w:top w:val="none" w:sz="0" w:space="0" w:color="auto"/>
            <w:left w:val="none" w:sz="0" w:space="0" w:color="auto"/>
            <w:bottom w:val="none" w:sz="0" w:space="0" w:color="auto"/>
            <w:right w:val="none" w:sz="0" w:space="0" w:color="auto"/>
          </w:divBdr>
        </w:div>
        <w:div w:id="1115709447">
          <w:marLeft w:val="0"/>
          <w:marRight w:val="0"/>
          <w:marTop w:val="0"/>
          <w:marBottom w:val="0"/>
          <w:divBdr>
            <w:top w:val="none" w:sz="0" w:space="0" w:color="auto"/>
            <w:left w:val="none" w:sz="0" w:space="0" w:color="auto"/>
            <w:bottom w:val="none" w:sz="0" w:space="0" w:color="auto"/>
            <w:right w:val="none" w:sz="0" w:space="0" w:color="auto"/>
          </w:divBdr>
        </w:div>
        <w:div w:id="1120875984">
          <w:marLeft w:val="0"/>
          <w:marRight w:val="0"/>
          <w:marTop w:val="0"/>
          <w:marBottom w:val="0"/>
          <w:divBdr>
            <w:top w:val="none" w:sz="0" w:space="0" w:color="auto"/>
            <w:left w:val="none" w:sz="0" w:space="0" w:color="auto"/>
            <w:bottom w:val="none" w:sz="0" w:space="0" w:color="auto"/>
            <w:right w:val="none" w:sz="0" w:space="0" w:color="auto"/>
          </w:divBdr>
        </w:div>
        <w:div w:id="1136294841">
          <w:marLeft w:val="0"/>
          <w:marRight w:val="0"/>
          <w:marTop w:val="0"/>
          <w:marBottom w:val="0"/>
          <w:divBdr>
            <w:top w:val="none" w:sz="0" w:space="0" w:color="auto"/>
            <w:left w:val="none" w:sz="0" w:space="0" w:color="auto"/>
            <w:bottom w:val="none" w:sz="0" w:space="0" w:color="auto"/>
            <w:right w:val="none" w:sz="0" w:space="0" w:color="auto"/>
          </w:divBdr>
        </w:div>
        <w:div w:id="1201624254">
          <w:marLeft w:val="0"/>
          <w:marRight w:val="0"/>
          <w:marTop w:val="0"/>
          <w:marBottom w:val="0"/>
          <w:divBdr>
            <w:top w:val="none" w:sz="0" w:space="0" w:color="auto"/>
            <w:left w:val="none" w:sz="0" w:space="0" w:color="auto"/>
            <w:bottom w:val="none" w:sz="0" w:space="0" w:color="auto"/>
            <w:right w:val="none" w:sz="0" w:space="0" w:color="auto"/>
          </w:divBdr>
        </w:div>
        <w:div w:id="1285455056">
          <w:marLeft w:val="0"/>
          <w:marRight w:val="0"/>
          <w:marTop w:val="0"/>
          <w:marBottom w:val="0"/>
          <w:divBdr>
            <w:top w:val="none" w:sz="0" w:space="0" w:color="auto"/>
            <w:left w:val="none" w:sz="0" w:space="0" w:color="auto"/>
            <w:bottom w:val="none" w:sz="0" w:space="0" w:color="auto"/>
            <w:right w:val="none" w:sz="0" w:space="0" w:color="auto"/>
          </w:divBdr>
        </w:div>
        <w:div w:id="1316493138">
          <w:marLeft w:val="0"/>
          <w:marRight w:val="0"/>
          <w:marTop w:val="0"/>
          <w:marBottom w:val="0"/>
          <w:divBdr>
            <w:top w:val="none" w:sz="0" w:space="0" w:color="auto"/>
            <w:left w:val="none" w:sz="0" w:space="0" w:color="auto"/>
            <w:bottom w:val="none" w:sz="0" w:space="0" w:color="auto"/>
            <w:right w:val="none" w:sz="0" w:space="0" w:color="auto"/>
          </w:divBdr>
        </w:div>
        <w:div w:id="1360158692">
          <w:marLeft w:val="0"/>
          <w:marRight w:val="0"/>
          <w:marTop w:val="0"/>
          <w:marBottom w:val="0"/>
          <w:divBdr>
            <w:top w:val="none" w:sz="0" w:space="0" w:color="auto"/>
            <w:left w:val="none" w:sz="0" w:space="0" w:color="auto"/>
            <w:bottom w:val="none" w:sz="0" w:space="0" w:color="auto"/>
            <w:right w:val="none" w:sz="0" w:space="0" w:color="auto"/>
          </w:divBdr>
        </w:div>
        <w:div w:id="1494449267">
          <w:marLeft w:val="0"/>
          <w:marRight w:val="0"/>
          <w:marTop w:val="0"/>
          <w:marBottom w:val="0"/>
          <w:divBdr>
            <w:top w:val="none" w:sz="0" w:space="0" w:color="auto"/>
            <w:left w:val="none" w:sz="0" w:space="0" w:color="auto"/>
            <w:bottom w:val="none" w:sz="0" w:space="0" w:color="auto"/>
            <w:right w:val="none" w:sz="0" w:space="0" w:color="auto"/>
          </w:divBdr>
        </w:div>
        <w:div w:id="1573782568">
          <w:marLeft w:val="0"/>
          <w:marRight w:val="0"/>
          <w:marTop w:val="0"/>
          <w:marBottom w:val="0"/>
          <w:divBdr>
            <w:top w:val="none" w:sz="0" w:space="0" w:color="auto"/>
            <w:left w:val="none" w:sz="0" w:space="0" w:color="auto"/>
            <w:bottom w:val="none" w:sz="0" w:space="0" w:color="auto"/>
            <w:right w:val="none" w:sz="0" w:space="0" w:color="auto"/>
          </w:divBdr>
        </w:div>
        <w:div w:id="1612207116">
          <w:marLeft w:val="0"/>
          <w:marRight w:val="0"/>
          <w:marTop w:val="0"/>
          <w:marBottom w:val="0"/>
          <w:divBdr>
            <w:top w:val="none" w:sz="0" w:space="0" w:color="auto"/>
            <w:left w:val="none" w:sz="0" w:space="0" w:color="auto"/>
            <w:bottom w:val="none" w:sz="0" w:space="0" w:color="auto"/>
            <w:right w:val="none" w:sz="0" w:space="0" w:color="auto"/>
          </w:divBdr>
        </w:div>
        <w:div w:id="1624969196">
          <w:marLeft w:val="0"/>
          <w:marRight w:val="0"/>
          <w:marTop w:val="0"/>
          <w:marBottom w:val="0"/>
          <w:divBdr>
            <w:top w:val="none" w:sz="0" w:space="0" w:color="auto"/>
            <w:left w:val="none" w:sz="0" w:space="0" w:color="auto"/>
            <w:bottom w:val="none" w:sz="0" w:space="0" w:color="auto"/>
            <w:right w:val="none" w:sz="0" w:space="0" w:color="auto"/>
          </w:divBdr>
        </w:div>
        <w:div w:id="1679693925">
          <w:marLeft w:val="0"/>
          <w:marRight w:val="0"/>
          <w:marTop w:val="0"/>
          <w:marBottom w:val="0"/>
          <w:divBdr>
            <w:top w:val="none" w:sz="0" w:space="0" w:color="auto"/>
            <w:left w:val="none" w:sz="0" w:space="0" w:color="auto"/>
            <w:bottom w:val="none" w:sz="0" w:space="0" w:color="auto"/>
            <w:right w:val="none" w:sz="0" w:space="0" w:color="auto"/>
          </w:divBdr>
        </w:div>
        <w:div w:id="1752894623">
          <w:marLeft w:val="0"/>
          <w:marRight w:val="0"/>
          <w:marTop w:val="0"/>
          <w:marBottom w:val="0"/>
          <w:divBdr>
            <w:top w:val="none" w:sz="0" w:space="0" w:color="auto"/>
            <w:left w:val="none" w:sz="0" w:space="0" w:color="auto"/>
            <w:bottom w:val="none" w:sz="0" w:space="0" w:color="auto"/>
            <w:right w:val="none" w:sz="0" w:space="0" w:color="auto"/>
          </w:divBdr>
        </w:div>
        <w:div w:id="1820950395">
          <w:marLeft w:val="0"/>
          <w:marRight w:val="0"/>
          <w:marTop w:val="0"/>
          <w:marBottom w:val="0"/>
          <w:divBdr>
            <w:top w:val="none" w:sz="0" w:space="0" w:color="auto"/>
            <w:left w:val="none" w:sz="0" w:space="0" w:color="auto"/>
            <w:bottom w:val="none" w:sz="0" w:space="0" w:color="auto"/>
            <w:right w:val="none" w:sz="0" w:space="0" w:color="auto"/>
          </w:divBdr>
        </w:div>
        <w:div w:id="1938706036">
          <w:marLeft w:val="0"/>
          <w:marRight w:val="0"/>
          <w:marTop w:val="0"/>
          <w:marBottom w:val="0"/>
          <w:divBdr>
            <w:top w:val="none" w:sz="0" w:space="0" w:color="auto"/>
            <w:left w:val="none" w:sz="0" w:space="0" w:color="auto"/>
            <w:bottom w:val="none" w:sz="0" w:space="0" w:color="auto"/>
            <w:right w:val="none" w:sz="0" w:space="0" w:color="auto"/>
          </w:divBdr>
        </w:div>
        <w:div w:id="1941141708">
          <w:marLeft w:val="0"/>
          <w:marRight w:val="0"/>
          <w:marTop w:val="0"/>
          <w:marBottom w:val="0"/>
          <w:divBdr>
            <w:top w:val="none" w:sz="0" w:space="0" w:color="auto"/>
            <w:left w:val="none" w:sz="0" w:space="0" w:color="auto"/>
            <w:bottom w:val="none" w:sz="0" w:space="0" w:color="auto"/>
            <w:right w:val="none" w:sz="0" w:space="0" w:color="auto"/>
          </w:divBdr>
        </w:div>
        <w:div w:id="1947689523">
          <w:marLeft w:val="0"/>
          <w:marRight w:val="0"/>
          <w:marTop w:val="0"/>
          <w:marBottom w:val="0"/>
          <w:divBdr>
            <w:top w:val="none" w:sz="0" w:space="0" w:color="auto"/>
            <w:left w:val="none" w:sz="0" w:space="0" w:color="auto"/>
            <w:bottom w:val="none" w:sz="0" w:space="0" w:color="auto"/>
            <w:right w:val="none" w:sz="0" w:space="0" w:color="auto"/>
          </w:divBdr>
        </w:div>
        <w:div w:id="2021422195">
          <w:marLeft w:val="0"/>
          <w:marRight w:val="0"/>
          <w:marTop w:val="0"/>
          <w:marBottom w:val="0"/>
          <w:divBdr>
            <w:top w:val="none" w:sz="0" w:space="0" w:color="auto"/>
            <w:left w:val="none" w:sz="0" w:space="0" w:color="auto"/>
            <w:bottom w:val="none" w:sz="0" w:space="0" w:color="auto"/>
            <w:right w:val="none" w:sz="0" w:space="0" w:color="auto"/>
          </w:divBdr>
        </w:div>
        <w:div w:id="2035500669">
          <w:marLeft w:val="0"/>
          <w:marRight w:val="0"/>
          <w:marTop w:val="0"/>
          <w:marBottom w:val="0"/>
          <w:divBdr>
            <w:top w:val="none" w:sz="0" w:space="0" w:color="auto"/>
            <w:left w:val="none" w:sz="0" w:space="0" w:color="auto"/>
            <w:bottom w:val="none" w:sz="0" w:space="0" w:color="auto"/>
            <w:right w:val="none" w:sz="0" w:space="0" w:color="auto"/>
          </w:divBdr>
        </w:div>
        <w:div w:id="2141990820">
          <w:marLeft w:val="0"/>
          <w:marRight w:val="0"/>
          <w:marTop w:val="0"/>
          <w:marBottom w:val="0"/>
          <w:divBdr>
            <w:top w:val="none" w:sz="0" w:space="0" w:color="auto"/>
            <w:left w:val="none" w:sz="0" w:space="0" w:color="auto"/>
            <w:bottom w:val="none" w:sz="0" w:space="0" w:color="auto"/>
            <w:right w:val="none" w:sz="0" w:space="0" w:color="auto"/>
          </w:divBdr>
        </w:div>
      </w:divsChild>
    </w:div>
    <w:div w:id="42481469">
      <w:bodyDiv w:val="1"/>
      <w:marLeft w:val="0"/>
      <w:marRight w:val="0"/>
      <w:marTop w:val="0"/>
      <w:marBottom w:val="0"/>
      <w:divBdr>
        <w:top w:val="none" w:sz="0" w:space="0" w:color="auto"/>
        <w:left w:val="none" w:sz="0" w:space="0" w:color="auto"/>
        <w:bottom w:val="none" w:sz="0" w:space="0" w:color="auto"/>
        <w:right w:val="none" w:sz="0" w:space="0" w:color="auto"/>
      </w:divBdr>
    </w:div>
    <w:div w:id="59407608">
      <w:bodyDiv w:val="1"/>
      <w:marLeft w:val="0"/>
      <w:marRight w:val="0"/>
      <w:marTop w:val="0"/>
      <w:marBottom w:val="0"/>
      <w:divBdr>
        <w:top w:val="none" w:sz="0" w:space="0" w:color="auto"/>
        <w:left w:val="none" w:sz="0" w:space="0" w:color="auto"/>
        <w:bottom w:val="none" w:sz="0" w:space="0" w:color="auto"/>
        <w:right w:val="none" w:sz="0" w:space="0" w:color="auto"/>
      </w:divBdr>
    </w:div>
    <w:div w:id="61026969">
      <w:bodyDiv w:val="1"/>
      <w:marLeft w:val="0"/>
      <w:marRight w:val="0"/>
      <w:marTop w:val="0"/>
      <w:marBottom w:val="0"/>
      <w:divBdr>
        <w:top w:val="none" w:sz="0" w:space="0" w:color="auto"/>
        <w:left w:val="none" w:sz="0" w:space="0" w:color="auto"/>
        <w:bottom w:val="none" w:sz="0" w:space="0" w:color="auto"/>
        <w:right w:val="none" w:sz="0" w:space="0" w:color="auto"/>
      </w:divBdr>
    </w:div>
    <w:div w:id="62945736">
      <w:bodyDiv w:val="1"/>
      <w:marLeft w:val="0"/>
      <w:marRight w:val="0"/>
      <w:marTop w:val="0"/>
      <w:marBottom w:val="0"/>
      <w:divBdr>
        <w:top w:val="none" w:sz="0" w:space="0" w:color="auto"/>
        <w:left w:val="none" w:sz="0" w:space="0" w:color="auto"/>
        <w:bottom w:val="none" w:sz="0" w:space="0" w:color="auto"/>
        <w:right w:val="none" w:sz="0" w:space="0" w:color="auto"/>
      </w:divBdr>
    </w:div>
    <w:div w:id="128476227">
      <w:bodyDiv w:val="1"/>
      <w:marLeft w:val="0"/>
      <w:marRight w:val="0"/>
      <w:marTop w:val="0"/>
      <w:marBottom w:val="0"/>
      <w:divBdr>
        <w:top w:val="none" w:sz="0" w:space="0" w:color="auto"/>
        <w:left w:val="none" w:sz="0" w:space="0" w:color="auto"/>
        <w:bottom w:val="none" w:sz="0" w:space="0" w:color="auto"/>
        <w:right w:val="none" w:sz="0" w:space="0" w:color="auto"/>
      </w:divBdr>
    </w:div>
    <w:div w:id="128521896">
      <w:bodyDiv w:val="1"/>
      <w:marLeft w:val="0"/>
      <w:marRight w:val="0"/>
      <w:marTop w:val="0"/>
      <w:marBottom w:val="0"/>
      <w:divBdr>
        <w:top w:val="none" w:sz="0" w:space="0" w:color="auto"/>
        <w:left w:val="none" w:sz="0" w:space="0" w:color="auto"/>
        <w:bottom w:val="none" w:sz="0" w:space="0" w:color="auto"/>
        <w:right w:val="none" w:sz="0" w:space="0" w:color="auto"/>
      </w:divBdr>
    </w:div>
    <w:div w:id="175197944">
      <w:bodyDiv w:val="1"/>
      <w:marLeft w:val="0"/>
      <w:marRight w:val="0"/>
      <w:marTop w:val="0"/>
      <w:marBottom w:val="0"/>
      <w:divBdr>
        <w:top w:val="none" w:sz="0" w:space="0" w:color="auto"/>
        <w:left w:val="none" w:sz="0" w:space="0" w:color="auto"/>
        <w:bottom w:val="none" w:sz="0" w:space="0" w:color="auto"/>
        <w:right w:val="none" w:sz="0" w:space="0" w:color="auto"/>
      </w:divBdr>
    </w:div>
    <w:div w:id="179857810">
      <w:bodyDiv w:val="1"/>
      <w:marLeft w:val="0"/>
      <w:marRight w:val="0"/>
      <w:marTop w:val="0"/>
      <w:marBottom w:val="0"/>
      <w:divBdr>
        <w:top w:val="none" w:sz="0" w:space="0" w:color="auto"/>
        <w:left w:val="none" w:sz="0" w:space="0" w:color="auto"/>
        <w:bottom w:val="none" w:sz="0" w:space="0" w:color="auto"/>
        <w:right w:val="none" w:sz="0" w:space="0" w:color="auto"/>
      </w:divBdr>
      <w:divsChild>
        <w:div w:id="113910096">
          <w:marLeft w:val="0"/>
          <w:marRight w:val="0"/>
          <w:marTop w:val="0"/>
          <w:marBottom w:val="0"/>
          <w:divBdr>
            <w:top w:val="none" w:sz="0" w:space="0" w:color="auto"/>
            <w:left w:val="none" w:sz="0" w:space="0" w:color="auto"/>
            <w:bottom w:val="none" w:sz="0" w:space="0" w:color="auto"/>
            <w:right w:val="none" w:sz="0" w:space="0" w:color="auto"/>
          </w:divBdr>
          <w:divsChild>
            <w:div w:id="621107240">
              <w:marLeft w:val="0"/>
              <w:marRight w:val="0"/>
              <w:marTop w:val="0"/>
              <w:marBottom w:val="0"/>
              <w:divBdr>
                <w:top w:val="none" w:sz="0" w:space="0" w:color="auto"/>
                <w:left w:val="none" w:sz="0" w:space="0" w:color="auto"/>
                <w:bottom w:val="none" w:sz="0" w:space="0" w:color="auto"/>
                <w:right w:val="none" w:sz="0" w:space="0" w:color="auto"/>
              </w:divBdr>
            </w:div>
          </w:divsChild>
        </w:div>
        <w:div w:id="354816462">
          <w:marLeft w:val="0"/>
          <w:marRight w:val="0"/>
          <w:marTop w:val="0"/>
          <w:marBottom w:val="0"/>
          <w:divBdr>
            <w:top w:val="none" w:sz="0" w:space="0" w:color="auto"/>
            <w:left w:val="none" w:sz="0" w:space="0" w:color="auto"/>
            <w:bottom w:val="none" w:sz="0" w:space="0" w:color="auto"/>
            <w:right w:val="none" w:sz="0" w:space="0" w:color="auto"/>
          </w:divBdr>
          <w:divsChild>
            <w:div w:id="166024745">
              <w:marLeft w:val="0"/>
              <w:marRight w:val="0"/>
              <w:marTop w:val="0"/>
              <w:marBottom w:val="0"/>
              <w:divBdr>
                <w:top w:val="none" w:sz="0" w:space="0" w:color="auto"/>
                <w:left w:val="none" w:sz="0" w:space="0" w:color="auto"/>
                <w:bottom w:val="none" w:sz="0" w:space="0" w:color="auto"/>
                <w:right w:val="none" w:sz="0" w:space="0" w:color="auto"/>
              </w:divBdr>
            </w:div>
          </w:divsChild>
        </w:div>
        <w:div w:id="456803980">
          <w:marLeft w:val="0"/>
          <w:marRight w:val="0"/>
          <w:marTop w:val="0"/>
          <w:marBottom w:val="0"/>
          <w:divBdr>
            <w:top w:val="none" w:sz="0" w:space="0" w:color="auto"/>
            <w:left w:val="none" w:sz="0" w:space="0" w:color="auto"/>
            <w:bottom w:val="none" w:sz="0" w:space="0" w:color="auto"/>
            <w:right w:val="none" w:sz="0" w:space="0" w:color="auto"/>
          </w:divBdr>
          <w:divsChild>
            <w:div w:id="829172723">
              <w:marLeft w:val="0"/>
              <w:marRight w:val="0"/>
              <w:marTop w:val="0"/>
              <w:marBottom w:val="0"/>
              <w:divBdr>
                <w:top w:val="none" w:sz="0" w:space="0" w:color="auto"/>
                <w:left w:val="none" w:sz="0" w:space="0" w:color="auto"/>
                <w:bottom w:val="none" w:sz="0" w:space="0" w:color="auto"/>
                <w:right w:val="none" w:sz="0" w:space="0" w:color="auto"/>
              </w:divBdr>
            </w:div>
          </w:divsChild>
        </w:div>
        <w:div w:id="706686366">
          <w:marLeft w:val="0"/>
          <w:marRight w:val="0"/>
          <w:marTop w:val="0"/>
          <w:marBottom w:val="0"/>
          <w:divBdr>
            <w:top w:val="none" w:sz="0" w:space="0" w:color="auto"/>
            <w:left w:val="none" w:sz="0" w:space="0" w:color="auto"/>
            <w:bottom w:val="none" w:sz="0" w:space="0" w:color="auto"/>
            <w:right w:val="none" w:sz="0" w:space="0" w:color="auto"/>
          </w:divBdr>
          <w:divsChild>
            <w:div w:id="45571096">
              <w:marLeft w:val="0"/>
              <w:marRight w:val="0"/>
              <w:marTop w:val="0"/>
              <w:marBottom w:val="0"/>
              <w:divBdr>
                <w:top w:val="none" w:sz="0" w:space="0" w:color="auto"/>
                <w:left w:val="none" w:sz="0" w:space="0" w:color="auto"/>
                <w:bottom w:val="none" w:sz="0" w:space="0" w:color="auto"/>
                <w:right w:val="none" w:sz="0" w:space="0" w:color="auto"/>
              </w:divBdr>
            </w:div>
          </w:divsChild>
        </w:div>
        <w:div w:id="770203005">
          <w:marLeft w:val="0"/>
          <w:marRight w:val="0"/>
          <w:marTop w:val="0"/>
          <w:marBottom w:val="0"/>
          <w:divBdr>
            <w:top w:val="none" w:sz="0" w:space="0" w:color="auto"/>
            <w:left w:val="none" w:sz="0" w:space="0" w:color="auto"/>
            <w:bottom w:val="none" w:sz="0" w:space="0" w:color="auto"/>
            <w:right w:val="none" w:sz="0" w:space="0" w:color="auto"/>
          </w:divBdr>
          <w:divsChild>
            <w:div w:id="716782127">
              <w:marLeft w:val="0"/>
              <w:marRight w:val="0"/>
              <w:marTop w:val="0"/>
              <w:marBottom w:val="0"/>
              <w:divBdr>
                <w:top w:val="none" w:sz="0" w:space="0" w:color="auto"/>
                <w:left w:val="none" w:sz="0" w:space="0" w:color="auto"/>
                <w:bottom w:val="none" w:sz="0" w:space="0" w:color="auto"/>
                <w:right w:val="none" w:sz="0" w:space="0" w:color="auto"/>
              </w:divBdr>
            </w:div>
          </w:divsChild>
        </w:div>
        <w:div w:id="1238979790">
          <w:marLeft w:val="0"/>
          <w:marRight w:val="0"/>
          <w:marTop w:val="0"/>
          <w:marBottom w:val="0"/>
          <w:divBdr>
            <w:top w:val="none" w:sz="0" w:space="0" w:color="auto"/>
            <w:left w:val="none" w:sz="0" w:space="0" w:color="auto"/>
            <w:bottom w:val="none" w:sz="0" w:space="0" w:color="auto"/>
            <w:right w:val="none" w:sz="0" w:space="0" w:color="auto"/>
          </w:divBdr>
          <w:divsChild>
            <w:div w:id="2141532055">
              <w:marLeft w:val="0"/>
              <w:marRight w:val="0"/>
              <w:marTop w:val="0"/>
              <w:marBottom w:val="0"/>
              <w:divBdr>
                <w:top w:val="none" w:sz="0" w:space="0" w:color="auto"/>
                <w:left w:val="none" w:sz="0" w:space="0" w:color="auto"/>
                <w:bottom w:val="none" w:sz="0" w:space="0" w:color="auto"/>
                <w:right w:val="none" w:sz="0" w:space="0" w:color="auto"/>
              </w:divBdr>
            </w:div>
          </w:divsChild>
        </w:div>
        <w:div w:id="1256326691">
          <w:marLeft w:val="0"/>
          <w:marRight w:val="0"/>
          <w:marTop w:val="0"/>
          <w:marBottom w:val="0"/>
          <w:divBdr>
            <w:top w:val="none" w:sz="0" w:space="0" w:color="auto"/>
            <w:left w:val="none" w:sz="0" w:space="0" w:color="auto"/>
            <w:bottom w:val="none" w:sz="0" w:space="0" w:color="auto"/>
            <w:right w:val="none" w:sz="0" w:space="0" w:color="auto"/>
          </w:divBdr>
          <w:divsChild>
            <w:div w:id="578902411">
              <w:marLeft w:val="0"/>
              <w:marRight w:val="0"/>
              <w:marTop w:val="0"/>
              <w:marBottom w:val="0"/>
              <w:divBdr>
                <w:top w:val="none" w:sz="0" w:space="0" w:color="auto"/>
                <w:left w:val="none" w:sz="0" w:space="0" w:color="auto"/>
                <w:bottom w:val="none" w:sz="0" w:space="0" w:color="auto"/>
                <w:right w:val="none" w:sz="0" w:space="0" w:color="auto"/>
              </w:divBdr>
            </w:div>
          </w:divsChild>
        </w:div>
        <w:div w:id="1283417687">
          <w:marLeft w:val="0"/>
          <w:marRight w:val="0"/>
          <w:marTop w:val="0"/>
          <w:marBottom w:val="0"/>
          <w:divBdr>
            <w:top w:val="none" w:sz="0" w:space="0" w:color="auto"/>
            <w:left w:val="none" w:sz="0" w:space="0" w:color="auto"/>
            <w:bottom w:val="none" w:sz="0" w:space="0" w:color="auto"/>
            <w:right w:val="none" w:sz="0" w:space="0" w:color="auto"/>
          </w:divBdr>
          <w:divsChild>
            <w:div w:id="51580968">
              <w:marLeft w:val="0"/>
              <w:marRight w:val="0"/>
              <w:marTop w:val="0"/>
              <w:marBottom w:val="0"/>
              <w:divBdr>
                <w:top w:val="none" w:sz="0" w:space="0" w:color="auto"/>
                <w:left w:val="none" w:sz="0" w:space="0" w:color="auto"/>
                <w:bottom w:val="none" w:sz="0" w:space="0" w:color="auto"/>
                <w:right w:val="none" w:sz="0" w:space="0" w:color="auto"/>
              </w:divBdr>
            </w:div>
          </w:divsChild>
        </w:div>
        <w:div w:id="1435058691">
          <w:marLeft w:val="0"/>
          <w:marRight w:val="0"/>
          <w:marTop w:val="0"/>
          <w:marBottom w:val="0"/>
          <w:divBdr>
            <w:top w:val="none" w:sz="0" w:space="0" w:color="auto"/>
            <w:left w:val="none" w:sz="0" w:space="0" w:color="auto"/>
            <w:bottom w:val="none" w:sz="0" w:space="0" w:color="auto"/>
            <w:right w:val="none" w:sz="0" w:space="0" w:color="auto"/>
          </w:divBdr>
          <w:divsChild>
            <w:div w:id="819225839">
              <w:marLeft w:val="0"/>
              <w:marRight w:val="0"/>
              <w:marTop w:val="0"/>
              <w:marBottom w:val="0"/>
              <w:divBdr>
                <w:top w:val="none" w:sz="0" w:space="0" w:color="auto"/>
                <w:left w:val="none" w:sz="0" w:space="0" w:color="auto"/>
                <w:bottom w:val="none" w:sz="0" w:space="0" w:color="auto"/>
                <w:right w:val="none" w:sz="0" w:space="0" w:color="auto"/>
              </w:divBdr>
            </w:div>
          </w:divsChild>
        </w:div>
        <w:div w:id="1510212321">
          <w:marLeft w:val="0"/>
          <w:marRight w:val="0"/>
          <w:marTop w:val="0"/>
          <w:marBottom w:val="0"/>
          <w:divBdr>
            <w:top w:val="none" w:sz="0" w:space="0" w:color="auto"/>
            <w:left w:val="none" w:sz="0" w:space="0" w:color="auto"/>
            <w:bottom w:val="none" w:sz="0" w:space="0" w:color="auto"/>
            <w:right w:val="none" w:sz="0" w:space="0" w:color="auto"/>
          </w:divBdr>
          <w:divsChild>
            <w:div w:id="617373365">
              <w:marLeft w:val="0"/>
              <w:marRight w:val="0"/>
              <w:marTop w:val="0"/>
              <w:marBottom w:val="0"/>
              <w:divBdr>
                <w:top w:val="none" w:sz="0" w:space="0" w:color="auto"/>
                <w:left w:val="none" w:sz="0" w:space="0" w:color="auto"/>
                <w:bottom w:val="none" w:sz="0" w:space="0" w:color="auto"/>
                <w:right w:val="none" w:sz="0" w:space="0" w:color="auto"/>
              </w:divBdr>
            </w:div>
          </w:divsChild>
        </w:div>
        <w:div w:id="1605111509">
          <w:marLeft w:val="0"/>
          <w:marRight w:val="0"/>
          <w:marTop w:val="0"/>
          <w:marBottom w:val="0"/>
          <w:divBdr>
            <w:top w:val="none" w:sz="0" w:space="0" w:color="auto"/>
            <w:left w:val="none" w:sz="0" w:space="0" w:color="auto"/>
            <w:bottom w:val="none" w:sz="0" w:space="0" w:color="auto"/>
            <w:right w:val="none" w:sz="0" w:space="0" w:color="auto"/>
          </w:divBdr>
          <w:divsChild>
            <w:div w:id="625548589">
              <w:marLeft w:val="0"/>
              <w:marRight w:val="0"/>
              <w:marTop w:val="0"/>
              <w:marBottom w:val="0"/>
              <w:divBdr>
                <w:top w:val="none" w:sz="0" w:space="0" w:color="auto"/>
                <w:left w:val="none" w:sz="0" w:space="0" w:color="auto"/>
                <w:bottom w:val="none" w:sz="0" w:space="0" w:color="auto"/>
                <w:right w:val="none" w:sz="0" w:space="0" w:color="auto"/>
              </w:divBdr>
            </w:div>
          </w:divsChild>
        </w:div>
        <w:div w:id="1631395528">
          <w:marLeft w:val="0"/>
          <w:marRight w:val="0"/>
          <w:marTop w:val="0"/>
          <w:marBottom w:val="0"/>
          <w:divBdr>
            <w:top w:val="none" w:sz="0" w:space="0" w:color="auto"/>
            <w:left w:val="none" w:sz="0" w:space="0" w:color="auto"/>
            <w:bottom w:val="none" w:sz="0" w:space="0" w:color="auto"/>
            <w:right w:val="none" w:sz="0" w:space="0" w:color="auto"/>
          </w:divBdr>
          <w:divsChild>
            <w:div w:id="363987427">
              <w:marLeft w:val="0"/>
              <w:marRight w:val="0"/>
              <w:marTop w:val="0"/>
              <w:marBottom w:val="0"/>
              <w:divBdr>
                <w:top w:val="none" w:sz="0" w:space="0" w:color="auto"/>
                <w:left w:val="none" w:sz="0" w:space="0" w:color="auto"/>
                <w:bottom w:val="none" w:sz="0" w:space="0" w:color="auto"/>
                <w:right w:val="none" w:sz="0" w:space="0" w:color="auto"/>
              </w:divBdr>
            </w:div>
          </w:divsChild>
        </w:div>
        <w:div w:id="1639334634">
          <w:marLeft w:val="0"/>
          <w:marRight w:val="0"/>
          <w:marTop w:val="0"/>
          <w:marBottom w:val="0"/>
          <w:divBdr>
            <w:top w:val="none" w:sz="0" w:space="0" w:color="auto"/>
            <w:left w:val="none" w:sz="0" w:space="0" w:color="auto"/>
            <w:bottom w:val="none" w:sz="0" w:space="0" w:color="auto"/>
            <w:right w:val="none" w:sz="0" w:space="0" w:color="auto"/>
          </w:divBdr>
          <w:divsChild>
            <w:div w:id="891497788">
              <w:marLeft w:val="0"/>
              <w:marRight w:val="0"/>
              <w:marTop w:val="0"/>
              <w:marBottom w:val="0"/>
              <w:divBdr>
                <w:top w:val="none" w:sz="0" w:space="0" w:color="auto"/>
                <w:left w:val="none" w:sz="0" w:space="0" w:color="auto"/>
                <w:bottom w:val="none" w:sz="0" w:space="0" w:color="auto"/>
                <w:right w:val="none" w:sz="0" w:space="0" w:color="auto"/>
              </w:divBdr>
            </w:div>
          </w:divsChild>
        </w:div>
        <w:div w:id="1724015476">
          <w:marLeft w:val="0"/>
          <w:marRight w:val="0"/>
          <w:marTop w:val="0"/>
          <w:marBottom w:val="0"/>
          <w:divBdr>
            <w:top w:val="none" w:sz="0" w:space="0" w:color="auto"/>
            <w:left w:val="none" w:sz="0" w:space="0" w:color="auto"/>
            <w:bottom w:val="none" w:sz="0" w:space="0" w:color="auto"/>
            <w:right w:val="none" w:sz="0" w:space="0" w:color="auto"/>
          </w:divBdr>
          <w:divsChild>
            <w:div w:id="1788352259">
              <w:marLeft w:val="0"/>
              <w:marRight w:val="0"/>
              <w:marTop w:val="0"/>
              <w:marBottom w:val="0"/>
              <w:divBdr>
                <w:top w:val="none" w:sz="0" w:space="0" w:color="auto"/>
                <w:left w:val="none" w:sz="0" w:space="0" w:color="auto"/>
                <w:bottom w:val="none" w:sz="0" w:space="0" w:color="auto"/>
                <w:right w:val="none" w:sz="0" w:space="0" w:color="auto"/>
              </w:divBdr>
            </w:div>
          </w:divsChild>
        </w:div>
        <w:div w:id="1727558355">
          <w:marLeft w:val="0"/>
          <w:marRight w:val="0"/>
          <w:marTop w:val="0"/>
          <w:marBottom w:val="0"/>
          <w:divBdr>
            <w:top w:val="none" w:sz="0" w:space="0" w:color="auto"/>
            <w:left w:val="none" w:sz="0" w:space="0" w:color="auto"/>
            <w:bottom w:val="none" w:sz="0" w:space="0" w:color="auto"/>
            <w:right w:val="none" w:sz="0" w:space="0" w:color="auto"/>
          </w:divBdr>
          <w:divsChild>
            <w:div w:id="208810691">
              <w:marLeft w:val="0"/>
              <w:marRight w:val="0"/>
              <w:marTop w:val="0"/>
              <w:marBottom w:val="0"/>
              <w:divBdr>
                <w:top w:val="none" w:sz="0" w:space="0" w:color="auto"/>
                <w:left w:val="none" w:sz="0" w:space="0" w:color="auto"/>
                <w:bottom w:val="none" w:sz="0" w:space="0" w:color="auto"/>
                <w:right w:val="none" w:sz="0" w:space="0" w:color="auto"/>
              </w:divBdr>
            </w:div>
          </w:divsChild>
        </w:div>
        <w:div w:id="1988048281">
          <w:marLeft w:val="0"/>
          <w:marRight w:val="0"/>
          <w:marTop w:val="0"/>
          <w:marBottom w:val="0"/>
          <w:divBdr>
            <w:top w:val="none" w:sz="0" w:space="0" w:color="auto"/>
            <w:left w:val="none" w:sz="0" w:space="0" w:color="auto"/>
            <w:bottom w:val="none" w:sz="0" w:space="0" w:color="auto"/>
            <w:right w:val="none" w:sz="0" w:space="0" w:color="auto"/>
          </w:divBdr>
          <w:divsChild>
            <w:div w:id="120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6194">
      <w:bodyDiv w:val="1"/>
      <w:marLeft w:val="0"/>
      <w:marRight w:val="0"/>
      <w:marTop w:val="0"/>
      <w:marBottom w:val="0"/>
      <w:divBdr>
        <w:top w:val="none" w:sz="0" w:space="0" w:color="auto"/>
        <w:left w:val="none" w:sz="0" w:space="0" w:color="auto"/>
        <w:bottom w:val="none" w:sz="0" w:space="0" w:color="auto"/>
        <w:right w:val="none" w:sz="0" w:space="0" w:color="auto"/>
      </w:divBdr>
    </w:div>
    <w:div w:id="202134273">
      <w:bodyDiv w:val="1"/>
      <w:marLeft w:val="0"/>
      <w:marRight w:val="0"/>
      <w:marTop w:val="0"/>
      <w:marBottom w:val="0"/>
      <w:divBdr>
        <w:top w:val="none" w:sz="0" w:space="0" w:color="auto"/>
        <w:left w:val="none" w:sz="0" w:space="0" w:color="auto"/>
        <w:bottom w:val="none" w:sz="0" w:space="0" w:color="auto"/>
        <w:right w:val="none" w:sz="0" w:space="0" w:color="auto"/>
      </w:divBdr>
      <w:divsChild>
        <w:div w:id="16389656">
          <w:marLeft w:val="0"/>
          <w:marRight w:val="0"/>
          <w:marTop w:val="0"/>
          <w:marBottom w:val="0"/>
          <w:divBdr>
            <w:top w:val="none" w:sz="0" w:space="0" w:color="auto"/>
            <w:left w:val="none" w:sz="0" w:space="0" w:color="auto"/>
            <w:bottom w:val="none" w:sz="0" w:space="0" w:color="auto"/>
            <w:right w:val="none" w:sz="0" w:space="0" w:color="auto"/>
          </w:divBdr>
          <w:divsChild>
            <w:div w:id="709185531">
              <w:marLeft w:val="0"/>
              <w:marRight w:val="0"/>
              <w:marTop w:val="0"/>
              <w:marBottom w:val="0"/>
              <w:divBdr>
                <w:top w:val="none" w:sz="0" w:space="0" w:color="auto"/>
                <w:left w:val="none" w:sz="0" w:space="0" w:color="auto"/>
                <w:bottom w:val="none" w:sz="0" w:space="0" w:color="auto"/>
                <w:right w:val="none" w:sz="0" w:space="0" w:color="auto"/>
              </w:divBdr>
            </w:div>
          </w:divsChild>
        </w:div>
        <w:div w:id="29382551">
          <w:marLeft w:val="0"/>
          <w:marRight w:val="0"/>
          <w:marTop w:val="0"/>
          <w:marBottom w:val="0"/>
          <w:divBdr>
            <w:top w:val="none" w:sz="0" w:space="0" w:color="auto"/>
            <w:left w:val="none" w:sz="0" w:space="0" w:color="auto"/>
            <w:bottom w:val="none" w:sz="0" w:space="0" w:color="auto"/>
            <w:right w:val="none" w:sz="0" w:space="0" w:color="auto"/>
          </w:divBdr>
          <w:divsChild>
            <w:div w:id="1484856796">
              <w:marLeft w:val="0"/>
              <w:marRight w:val="0"/>
              <w:marTop w:val="0"/>
              <w:marBottom w:val="0"/>
              <w:divBdr>
                <w:top w:val="none" w:sz="0" w:space="0" w:color="auto"/>
                <w:left w:val="none" w:sz="0" w:space="0" w:color="auto"/>
                <w:bottom w:val="none" w:sz="0" w:space="0" w:color="auto"/>
                <w:right w:val="none" w:sz="0" w:space="0" w:color="auto"/>
              </w:divBdr>
            </w:div>
          </w:divsChild>
        </w:div>
        <w:div w:id="61291374">
          <w:marLeft w:val="0"/>
          <w:marRight w:val="0"/>
          <w:marTop w:val="0"/>
          <w:marBottom w:val="0"/>
          <w:divBdr>
            <w:top w:val="none" w:sz="0" w:space="0" w:color="auto"/>
            <w:left w:val="none" w:sz="0" w:space="0" w:color="auto"/>
            <w:bottom w:val="none" w:sz="0" w:space="0" w:color="auto"/>
            <w:right w:val="none" w:sz="0" w:space="0" w:color="auto"/>
          </w:divBdr>
          <w:divsChild>
            <w:div w:id="188221504">
              <w:marLeft w:val="0"/>
              <w:marRight w:val="0"/>
              <w:marTop w:val="0"/>
              <w:marBottom w:val="0"/>
              <w:divBdr>
                <w:top w:val="none" w:sz="0" w:space="0" w:color="auto"/>
                <w:left w:val="none" w:sz="0" w:space="0" w:color="auto"/>
                <w:bottom w:val="none" w:sz="0" w:space="0" w:color="auto"/>
                <w:right w:val="none" w:sz="0" w:space="0" w:color="auto"/>
              </w:divBdr>
            </w:div>
          </w:divsChild>
        </w:div>
        <w:div w:id="66923491">
          <w:marLeft w:val="0"/>
          <w:marRight w:val="0"/>
          <w:marTop w:val="0"/>
          <w:marBottom w:val="0"/>
          <w:divBdr>
            <w:top w:val="none" w:sz="0" w:space="0" w:color="auto"/>
            <w:left w:val="none" w:sz="0" w:space="0" w:color="auto"/>
            <w:bottom w:val="none" w:sz="0" w:space="0" w:color="auto"/>
            <w:right w:val="none" w:sz="0" w:space="0" w:color="auto"/>
          </w:divBdr>
          <w:divsChild>
            <w:div w:id="636376584">
              <w:marLeft w:val="0"/>
              <w:marRight w:val="0"/>
              <w:marTop w:val="0"/>
              <w:marBottom w:val="0"/>
              <w:divBdr>
                <w:top w:val="none" w:sz="0" w:space="0" w:color="auto"/>
                <w:left w:val="none" w:sz="0" w:space="0" w:color="auto"/>
                <w:bottom w:val="none" w:sz="0" w:space="0" w:color="auto"/>
                <w:right w:val="none" w:sz="0" w:space="0" w:color="auto"/>
              </w:divBdr>
            </w:div>
          </w:divsChild>
        </w:div>
        <w:div w:id="135076747">
          <w:marLeft w:val="0"/>
          <w:marRight w:val="0"/>
          <w:marTop w:val="0"/>
          <w:marBottom w:val="0"/>
          <w:divBdr>
            <w:top w:val="none" w:sz="0" w:space="0" w:color="auto"/>
            <w:left w:val="none" w:sz="0" w:space="0" w:color="auto"/>
            <w:bottom w:val="none" w:sz="0" w:space="0" w:color="auto"/>
            <w:right w:val="none" w:sz="0" w:space="0" w:color="auto"/>
          </w:divBdr>
          <w:divsChild>
            <w:div w:id="936601130">
              <w:marLeft w:val="0"/>
              <w:marRight w:val="0"/>
              <w:marTop w:val="0"/>
              <w:marBottom w:val="0"/>
              <w:divBdr>
                <w:top w:val="none" w:sz="0" w:space="0" w:color="auto"/>
                <w:left w:val="none" w:sz="0" w:space="0" w:color="auto"/>
                <w:bottom w:val="none" w:sz="0" w:space="0" w:color="auto"/>
                <w:right w:val="none" w:sz="0" w:space="0" w:color="auto"/>
              </w:divBdr>
            </w:div>
          </w:divsChild>
        </w:div>
        <w:div w:id="167184861">
          <w:marLeft w:val="0"/>
          <w:marRight w:val="0"/>
          <w:marTop w:val="0"/>
          <w:marBottom w:val="0"/>
          <w:divBdr>
            <w:top w:val="none" w:sz="0" w:space="0" w:color="auto"/>
            <w:left w:val="none" w:sz="0" w:space="0" w:color="auto"/>
            <w:bottom w:val="none" w:sz="0" w:space="0" w:color="auto"/>
            <w:right w:val="none" w:sz="0" w:space="0" w:color="auto"/>
          </w:divBdr>
          <w:divsChild>
            <w:div w:id="1030106702">
              <w:marLeft w:val="0"/>
              <w:marRight w:val="0"/>
              <w:marTop w:val="0"/>
              <w:marBottom w:val="0"/>
              <w:divBdr>
                <w:top w:val="none" w:sz="0" w:space="0" w:color="auto"/>
                <w:left w:val="none" w:sz="0" w:space="0" w:color="auto"/>
                <w:bottom w:val="none" w:sz="0" w:space="0" w:color="auto"/>
                <w:right w:val="none" w:sz="0" w:space="0" w:color="auto"/>
              </w:divBdr>
            </w:div>
          </w:divsChild>
        </w:div>
        <w:div w:id="257952660">
          <w:marLeft w:val="0"/>
          <w:marRight w:val="0"/>
          <w:marTop w:val="0"/>
          <w:marBottom w:val="0"/>
          <w:divBdr>
            <w:top w:val="none" w:sz="0" w:space="0" w:color="auto"/>
            <w:left w:val="none" w:sz="0" w:space="0" w:color="auto"/>
            <w:bottom w:val="none" w:sz="0" w:space="0" w:color="auto"/>
            <w:right w:val="none" w:sz="0" w:space="0" w:color="auto"/>
          </w:divBdr>
          <w:divsChild>
            <w:div w:id="1457676485">
              <w:marLeft w:val="0"/>
              <w:marRight w:val="0"/>
              <w:marTop w:val="0"/>
              <w:marBottom w:val="0"/>
              <w:divBdr>
                <w:top w:val="none" w:sz="0" w:space="0" w:color="auto"/>
                <w:left w:val="none" w:sz="0" w:space="0" w:color="auto"/>
                <w:bottom w:val="none" w:sz="0" w:space="0" w:color="auto"/>
                <w:right w:val="none" w:sz="0" w:space="0" w:color="auto"/>
              </w:divBdr>
            </w:div>
          </w:divsChild>
        </w:div>
        <w:div w:id="438062741">
          <w:marLeft w:val="0"/>
          <w:marRight w:val="0"/>
          <w:marTop w:val="0"/>
          <w:marBottom w:val="0"/>
          <w:divBdr>
            <w:top w:val="none" w:sz="0" w:space="0" w:color="auto"/>
            <w:left w:val="none" w:sz="0" w:space="0" w:color="auto"/>
            <w:bottom w:val="none" w:sz="0" w:space="0" w:color="auto"/>
            <w:right w:val="none" w:sz="0" w:space="0" w:color="auto"/>
          </w:divBdr>
          <w:divsChild>
            <w:div w:id="140583175">
              <w:marLeft w:val="0"/>
              <w:marRight w:val="0"/>
              <w:marTop w:val="0"/>
              <w:marBottom w:val="0"/>
              <w:divBdr>
                <w:top w:val="none" w:sz="0" w:space="0" w:color="auto"/>
                <w:left w:val="none" w:sz="0" w:space="0" w:color="auto"/>
                <w:bottom w:val="none" w:sz="0" w:space="0" w:color="auto"/>
                <w:right w:val="none" w:sz="0" w:space="0" w:color="auto"/>
              </w:divBdr>
            </w:div>
          </w:divsChild>
        </w:div>
        <w:div w:id="533426678">
          <w:marLeft w:val="0"/>
          <w:marRight w:val="0"/>
          <w:marTop w:val="0"/>
          <w:marBottom w:val="0"/>
          <w:divBdr>
            <w:top w:val="none" w:sz="0" w:space="0" w:color="auto"/>
            <w:left w:val="none" w:sz="0" w:space="0" w:color="auto"/>
            <w:bottom w:val="none" w:sz="0" w:space="0" w:color="auto"/>
            <w:right w:val="none" w:sz="0" w:space="0" w:color="auto"/>
          </w:divBdr>
          <w:divsChild>
            <w:div w:id="747338751">
              <w:marLeft w:val="0"/>
              <w:marRight w:val="0"/>
              <w:marTop w:val="0"/>
              <w:marBottom w:val="0"/>
              <w:divBdr>
                <w:top w:val="none" w:sz="0" w:space="0" w:color="auto"/>
                <w:left w:val="none" w:sz="0" w:space="0" w:color="auto"/>
                <w:bottom w:val="none" w:sz="0" w:space="0" w:color="auto"/>
                <w:right w:val="none" w:sz="0" w:space="0" w:color="auto"/>
              </w:divBdr>
            </w:div>
          </w:divsChild>
        </w:div>
        <w:div w:id="546725595">
          <w:marLeft w:val="0"/>
          <w:marRight w:val="0"/>
          <w:marTop w:val="0"/>
          <w:marBottom w:val="0"/>
          <w:divBdr>
            <w:top w:val="none" w:sz="0" w:space="0" w:color="auto"/>
            <w:left w:val="none" w:sz="0" w:space="0" w:color="auto"/>
            <w:bottom w:val="none" w:sz="0" w:space="0" w:color="auto"/>
            <w:right w:val="none" w:sz="0" w:space="0" w:color="auto"/>
          </w:divBdr>
          <w:divsChild>
            <w:div w:id="218975388">
              <w:marLeft w:val="0"/>
              <w:marRight w:val="0"/>
              <w:marTop w:val="0"/>
              <w:marBottom w:val="0"/>
              <w:divBdr>
                <w:top w:val="none" w:sz="0" w:space="0" w:color="auto"/>
                <w:left w:val="none" w:sz="0" w:space="0" w:color="auto"/>
                <w:bottom w:val="none" w:sz="0" w:space="0" w:color="auto"/>
                <w:right w:val="none" w:sz="0" w:space="0" w:color="auto"/>
              </w:divBdr>
            </w:div>
          </w:divsChild>
        </w:div>
        <w:div w:id="546725716">
          <w:marLeft w:val="0"/>
          <w:marRight w:val="0"/>
          <w:marTop w:val="0"/>
          <w:marBottom w:val="0"/>
          <w:divBdr>
            <w:top w:val="none" w:sz="0" w:space="0" w:color="auto"/>
            <w:left w:val="none" w:sz="0" w:space="0" w:color="auto"/>
            <w:bottom w:val="none" w:sz="0" w:space="0" w:color="auto"/>
            <w:right w:val="none" w:sz="0" w:space="0" w:color="auto"/>
          </w:divBdr>
          <w:divsChild>
            <w:div w:id="2064519854">
              <w:marLeft w:val="0"/>
              <w:marRight w:val="0"/>
              <w:marTop w:val="0"/>
              <w:marBottom w:val="0"/>
              <w:divBdr>
                <w:top w:val="none" w:sz="0" w:space="0" w:color="auto"/>
                <w:left w:val="none" w:sz="0" w:space="0" w:color="auto"/>
                <w:bottom w:val="none" w:sz="0" w:space="0" w:color="auto"/>
                <w:right w:val="none" w:sz="0" w:space="0" w:color="auto"/>
              </w:divBdr>
            </w:div>
          </w:divsChild>
        </w:div>
        <w:div w:id="639071113">
          <w:marLeft w:val="0"/>
          <w:marRight w:val="0"/>
          <w:marTop w:val="0"/>
          <w:marBottom w:val="0"/>
          <w:divBdr>
            <w:top w:val="none" w:sz="0" w:space="0" w:color="auto"/>
            <w:left w:val="none" w:sz="0" w:space="0" w:color="auto"/>
            <w:bottom w:val="none" w:sz="0" w:space="0" w:color="auto"/>
            <w:right w:val="none" w:sz="0" w:space="0" w:color="auto"/>
          </w:divBdr>
          <w:divsChild>
            <w:div w:id="1355427470">
              <w:marLeft w:val="0"/>
              <w:marRight w:val="0"/>
              <w:marTop w:val="0"/>
              <w:marBottom w:val="0"/>
              <w:divBdr>
                <w:top w:val="none" w:sz="0" w:space="0" w:color="auto"/>
                <w:left w:val="none" w:sz="0" w:space="0" w:color="auto"/>
                <w:bottom w:val="none" w:sz="0" w:space="0" w:color="auto"/>
                <w:right w:val="none" w:sz="0" w:space="0" w:color="auto"/>
              </w:divBdr>
            </w:div>
          </w:divsChild>
        </w:div>
        <w:div w:id="699669940">
          <w:marLeft w:val="0"/>
          <w:marRight w:val="0"/>
          <w:marTop w:val="0"/>
          <w:marBottom w:val="0"/>
          <w:divBdr>
            <w:top w:val="none" w:sz="0" w:space="0" w:color="auto"/>
            <w:left w:val="none" w:sz="0" w:space="0" w:color="auto"/>
            <w:bottom w:val="none" w:sz="0" w:space="0" w:color="auto"/>
            <w:right w:val="none" w:sz="0" w:space="0" w:color="auto"/>
          </w:divBdr>
          <w:divsChild>
            <w:div w:id="968971988">
              <w:marLeft w:val="0"/>
              <w:marRight w:val="0"/>
              <w:marTop w:val="0"/>
              <w:marBottom w:val="0"/>
              <w:divBdr>
                <w:top w:val="none" w:sz="0" w:space="0" w:color="auto"/>
                <w:left w:val="none" w:sz="0" w:space="0" w:color="auto"/>
                <w:bottom w:val="none" w:sz="0" w:space="0" w:color="auto"/>
                <w:right w:val="none" w:sz="0" w:space="0" w:color="auto"/>
              </w:divBdr>
            </w:div>
          </w:divsChild>
        </w:div>
        <w:div w:id="739865882">
          <w:marLeft w:val="0"/>
          <w:marRight w:val="0"/>
          <w:marTop w:val="0"/>
          <w:marBottom w:val="0"/>
          <w:divBdr>
            <w:top w:val="none" w:sz="0" w:space="0" w:color="auto"/>
            <w:left w:val="none" w:sz="0" w:space="0" w:color="auto"/>
            <w:bottom w:val="none" w:sz="0" w:space="0" w:color="auto"/>
            <w:right w:val="none" w:sz="0" w:space="0" w:color="auto"/>
          </w:divBdr>
          <w:divsChild>
            <w:div w:id="1082141623">
              <w:marLeft w:val="0"/>
              <w:marRight w:val="0"/>
              <w:marTop w:val="0"/>
              <w:marBottom w:val="0"/>
              <w:divBdr>
                <w:top w:val="none" w:sz="0" w:space="0" w:color="auto"/>
                <w:left w:val="none" w:sz="0" w:space="0" w:color="auto"/>
                <w:bottom w:val="none" w:sz="0" w:space="0" w:color="auto"/>
                <w:right w:val="none" w:sz="0" w:space="0" w:color="auto"/>
              </w:divBdr>
            </w:div>
          </w:divsChild>
        </w:div>
        <w:div w:id="808594257">
          <w:marLeft w:val="0"/>
          <w:marRight w:val="0"/>
          <w:marTop w:val="0"/>
          <w:marBottom w:val="0"/>
          <w:divBdr>
            <w:top w:val="none" w:sz="0" w:space="0" w:color="auto"/>
            <w:left w:val="none" w:sz="0" w:space="0" w:color="auto"/>
            <w:bottom w:val="none" w:sz="0" w:space="0" w:color="auto"/>
            <w:right w:val="none" w:sz="0" w:space="0" w:color="auto"/>
          </w:divBdr>
          <w:divsChild>
            <w:div w:id="483666928">
              <w:marLeft w:val="0"/>
              <w:marRight w:val="0"/>
              <w:marTop w:val="0"/>
              <w:marBottom w:val="0"/>
              <w:divBdr>
                <w:top w:val="none" w:sz="0" w:space="0" w:color="auto"/>
                <w:left w:val="none" w:sz="0" w:space="0" w:color="auto"/>
                <w:bottom w:val="none" w:sz="0" w:space="0" w:color="auto"/>
                <w:right w:val="none" w:sz="0" w:space="0" w:color="auto"/>
              </w:divBdr>
            </w:div>
          </w:divsChild>
        </w:div>
        <w:div w:id="811336372">
          <w:marLeft w:val="0"/>
          <w:marRight w:val="0"/>
          <w:marTop w:val="0"/>
          <w:marBottom w:val="0"/>
          <w:divBdr>
            <w:top w:val="none" w:sz="0" w:space="0" w:color="auto"/>
            <w:left w:val="none" w:sz="0" w:space="0" w:color="auto"/>
            <w:bottom w:val="none" w:sz="0" w:space="0" w:color="auto"/>
            <w:right w:val="none" w:sz="0" w:space="0" w:color="auto"/>
          </w:divBdr>
          <w:divsChild>
            <w:div w:id="1069765826">
              <w:marLeft w:val="0"/>
              <w:marRight w:val="0"/>
              <w:marTop w:val="0"/>
              <w:marBottom w:val="0"/>
              <w:divBdr>
                <w:top w:val="none" w:sz="0" w:space="0" w:color="auto"/>
                <w:left w:val="none" w:sz="0" w:space="0" w:color="auto"/>
                <w:bottom w:val="none" w:sz="0" w:space="0" w:color="auto"/>
                <w:right w:val="none" w:sz="0" w:space="0" w:color="auto"/>
              </w:divBdr>
            </w:div>
          </w:divsChild>
        </w:div>
        <w:div w:id="867374514">
          <w:marLeft w:val="0"/>
          <w:marRight w:val="0"/>
          <w:marTop w:val="0"/>
          <w:marBottom w:val="0"/>
          <w:divBdr>
            <w:top w:val="none" w:sz="0" w:space="0" w:color="auto"/>
            <w:left w:val="none" w:sz="0" w:space="0" w:color="auto"/>
            <w:bottom w:val="none" w:sz="0" w:space="0" w:color="auto"/>
            <w:right w:val="none" w:sz="0" w:space="0" w:color="auto"/>
          </w:divBdr>
          <w:divsChild>
            <w:div w:id="875779269">
              <w:marLeft w:val="0"/>
              <w:marRight w:val="0"/>
              <w:marTop w:val="0"/>
              <w:marBottom w:val="0"/>
              <w:divBdr>
                <w:top w:val="none" w:sz="0" w:space="0" w:color="auto"/>
                <w:left w:val="none" w:sz="0" w:space="0" w:color="auto"/>
                <w:bottom w:val="none" w:sz="0" w:space="0" w:color="auto"/>
                <w:right w:val="none" w:sz="0" w:space="0" w:color="auto"/>
              </w:divBdr>
            </w:div>
          </w:divsChild>
        </w:div>
        <w:div w:id="874655561">
          <w:marLeft w:val="0"/>
          <w:marRight w:val="0"/>
          <w:marTop w:val="0"/>
          <w:marBottom w:val="0"/>
          <w:divBdr>
            <w:top w:val="none" w:sz="0" w:space="0" w:color="auto"/>
            <w:left w:val="none" w:sz="0" w:space="0" w:color="auto"/>
            <w:bottom w:val="none" w:sz="0" w:space="0" w:color="auto"/>
            <w:right w:val="none" w:sz="0" w:space="0" w:color="auto"/>
          </w:divBdr>
          <w:divsChild>
            <w:div w:id="1317146853">
              <w:marLeft w:val="0"/>
              <w:marRight w:val="0"/>
              <w:marTop w:val="0"/>
              <w:marBottom w:val="0"/>
              <w:divBdr>
                <w:top w:val="none" w:sz="0" w:space="0" w:color="auto"/>
                <w:left w:val="none" w:sz="0" w:space="0" w:color="auto"/>
                <w:bottom w:val="none" w:sz="0" w:space="0" w:color="auto"/>
                <w:right w:val="none" w:sz="0" w:space="0" w:color="auto"/>
              </w:divBdr>
            </w:div>
          </w:divsChild>
        </w:div>
        <w:div w:id="934827958">
          <w:marLeft w:val="0"/>
          <w:marRight w:val="0"/>
          <w:marTop w:val="0"/>
          <w:marBottom w:val="0"/>
          <w:divBdr>
            <w:top w:val="none" w:sz="0" w:space="0" w:color="auto"/>
            <w:left w:val="none" w:sz="0" w:space="0" w:color="auto"/>
            <w:bottom w:val="none" w:sz="0" w:space="0" w:color="auto"/>
            <w:right w:val="none" w:sz="0" w:space="0" w:color="auto"/>
          </w:divBdr>
          <w:divsChild>
            <w:div w:id="1631016397">
              <w:marLeft w:val="0"/>
              <w:marRight w:val="0"/>
              <w:marTop w:val="0"/>
              <w:marBottom w:val="0"/>
              <w:divBdr>
                <w:top w:val="none" w:sz="0" w:space="0" w:color="auto"/>
                <w:left w:val="none" w:sz="0" w:space="0" w:color="auto"/>
                <w:bottom w:val="none" w:sz="0" w:space="0" w:color="auto"/>
                <w:right w:val="none" w:sz="0" w:space="0" w:color="auto"/>
              </w:divBdr>
            </w:div>
          </w:divsChild>
        </w:div>
        <w:div w:id="1327901033">
          <w:marLeft w:val="0"/>
          <w:marRight w:val="0"/>
          <w:marTop w:val="0"/>
          <w:marBottom w:val="0"/>
          <w:divBdr>
            <w:top w:val="none" w:sz="0" w:space="0" w:color="auto"/>
            <w:left w:val="none" w:sz="0" w:space="0" w:color="auto"/>
            <w:bottom w:val="none" w:sz="0" w:space="0" w:color="auto"/>
            <w:right w:val="none" w:sz="0" w:space="0" w:color="auto"/>
          </w:divBdr>
          <w:divsChild>
            <w:div w:id="1629698851">
              <w:marLeft w:val="0"/>
              <w:marRight w:val="0"/>
              <w:marTop w:val="0"/>
              <w:marBottom w:val="0"/>
              <w:divBdr>
                <w:top w:val="none" w:sz="0" w:space="0" w:color="auto"/>
                <w:left w:val="none" w:sz="0" w:space="0" w:color="auto"/>
                <w:bottom w:val="none" w:sz="0" w:space="0" w:color="auto"/>
                <w:right w:val="none" w:sz="0" w:space="0" w:color="auto"/>
              </w:divBdr>
            </w:div>
          </w:divsChild>
        </w:div>
        <w:div w:id="1349599179">
          <w:marLeft w:val="0"/>
          <w:marRight w:val="0"/>
          <w:marTop w:val="0"/>
          <w:marBottom w:val="0"/>
          <w:divBdr>
            <w:top w:val="none" w:sz="0" w:space="0" w:color="auto"/>
            <w:left w:val="none" w:sz="0" w:space="0" w:color="auto"/>
            <w:bottom w:val="none" w:sz="0" w:space="0" w:color="auto"/>
            <w:right w:val="none" w:sz="0" w:space="0" w:color="auto"/>
          </w:divBdr>
          <w:divsChild>
            <w:div w:id="695618070">
              <w:marLeft w:val="0"/>
              <w:marRight w:val="0"/>
              <w:marTop w:val="0"/>
              <w:marBottom w:val="0"/>
              <w:divBdr>
                <w:top w:val="none" w:sz="0" w:space="0" w:color="auto"/>
                <w:left w:val="none" w:sz="0" w:space="0" w:color="auto"/>
                <w:bottom w:val="none" w:sz="0" w:space="0" w:color="auto"/>
                <w:right w:val="none" w:sz="0" w:space="0" w:color="auto"/>
              </w:divBdr>
            </w:div>
          </w:divsChild>
        </w:div>
        <w:div w:id="1508053433">
          <w:marLeft w:val="0"/>
          <w:marRight w:val="0"/>
          <w:marTop w:val="0"/>
          <w:marBottom w:val="0"/>
          <w:divBdr>
            <w:top w:val="none" w:sz="0" w:space="0" w:color="auto"/>
            <w:left w:val="none" w:sz="0" w:space="0" w:color="auto"/>
            <w:bottom w:val="none" w:sz="0" w:space="0" w:color="auto"/>
            <w:right w:val="none" w:sz="0" w:space="0" w:color="auto"/>
          </w:divBdr>
          <w:divsChild>
            <w:div w:id="1142579586">
              <w:marLeft w:val="0"/>
              <w:marRight w:val="0"/>
              <w:marTop w:val="0"/>
              <w:marBottom w:val="0"/>
              <w:divBdr>
                <w:top w:val="none" w:sz="0" w:space="0" w:color="auto"/>
                <w:left w:val="none" w:sz="0" w:space="0" w:color="auto"/>
                <w:bottom w:val="none" w:sz="0" w:space="0" w:color="auto"/>
                <w:right w:val="none" w:sz="0" w:space="0" w:color="auto"/>
              </w:divBdr>
            </w:div>
          </w:divsChild>
        </w:div>
        <w:div w:id="1734351408">
          <w:marLeft w:val="0"/>
          <w:marRight w:val="0"/>
          <w:marTop w:val="0"/>
          <w:marBottom w:val="0"/>
          <w:divBdr>
            <w:top w:val="none" w:sz="0" w:space="0" w:color="auto"/>
            <w:left w:val="none" w:sz="0" w:space="0" w:color="auto"/>
            <w:bottom w:val="none" w:sz="0" w:space="0" w:color="auto"/>
            <w:right w:val="none" w:sz="0" w:space="0" w:color="auto"/>
          </w:divBdr>
          <w:divsChild>
            <w:div w:id="303704940">
              <w:marLeft w:val="0"/>
              <w:marRight w:val="0"/>
              <w:marTop w:val="0"/>
              <w:marBottom w:val="0"/>
              <w:divBdr>
                <w:top w:val="none" w:sz="0" w:space="0" w:color="auto"/>
                <w:left w:val="none" w:sz="0" w:space="0" w:color="auto"/>
                <w:bottom w:val="none" w:sz="0" w:space="0" w:color="auto"/>
                <w:right w:val="none" w:sz="0" w:space="0" w:color="auto"/>
              </w:divBdr>
            </w:div>
          </w:divsChild>
        </w:div>
        <w:div w:id="1752850343">
          <w:marLeft w:val="0"/>
          <w:marRight w:val="0"/>
          <w:marTop w:val="0"/>
          <w:marBottom w:val="0"/>
          <w:divBdr>
            <w:top w:val="none" w:sz="0" w:space="0" w:color="auto"/>
            <w:left w:val="none" w:sz="0" w:space="0" w:color="auto"/>
            <w:bottom w:val="none" w:sz="0" w:space="0" w:color="auto"/>
            <w:right w:val="none" w:sz="0" w:space="0" w:color="auto"/>
          </w:divBdr>
          <w:divsChild>
            <w:div w:id="14960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6884">
      <w:bodyDiv w:val="1"/>
      <w:marLeft w:val="0"/>
      <w:marRight w:val="0"/>
      <w:marTop w:val="0"/>
      <w:marBottom w:val="0"/>
      <w:divBdr>
        <w:top w:val="none" w:sz="0" w:space="0" w:color="auto"/>
        <w:left w:val="none" w:sz="0" w:space="0" w:color="auto"/>
        <w:bottom w:val="none" w:sz="0" w:space="0" w:color="auto"/>
        <w:right w:val="none" w:sz="0" w:space="0" w:color="auto"/>
      </w:divBdr>
    </w:div>
    <w:div w:id="211157665">
      <w:bodyDiv w:val="1"/>
      <w:marLeft w:val="0"/>
      <w:marRight w:val="0"/>
      <w:marTop w:val="0"/>
      <w:marBottom w:val="0"/>
      <w:divBdr>
        <w:top w:val="none" w:sz="0" w:space="0" w:color="auto"/>
        <w:left w:val="none" w:sz="0" w:space="0" w:color="auto"/>
        <w:bottom w:val="none" w:sz="0" w:space="0" w:color="auto"/>
        <w:right w:val="none" w:sz="0" w:space="0" w:color="auto"/>
      </w:divBdr>
    </w:div>
    <w:div w:id="238028267">
      <w:bodyDiv w:val="1"/>
      <w:marLeft w:val="0"/>
      <w:marRight w:val="0"/>
      <w:marTop w:val="0"/>
      <w:marBottom w:val="0"/>
      <w:divBdr>
        <w:top w:val="none" w:sz="0" w:space="0" w:color="auto"/>
        <w:left w:val="none" w:sz="0" w:space="0" w:color="auto"/>
        <w:bottom w:val="none" w:sz="0" w:space="0" w:color="auto"/>
        <w:right w:val="none" w:sz="0" w:space="0" w:color="auto"/>
      </w:divBdr>
      <w:divsChild>
        <w:div w:id="45880431">
          <w:marLeft w:val="0"/>
          <w:marRight w:val="0"/>
          <w:marTop w:val="0"/>
          <w:marBottom w:val="0"/>
          <w:divBdr>
            <w:top w:val="none" w:sz="0" w:space="0" w:color="auto"/>
            <w:left w:val="none" w:sz="0" w:space="0" w:color="auto"/>
            <w:bottom w:val="none" w:sz="0" w:space="0" w:color="auto"/>
            <w:right w:val="none" w:sz="0" w:space="0" w:color="auto"/>
          </w:divBdr>
        </w:div>
        <w:div w:id="1699425363">
          <w:marLeft w:val="0"/>
          <w:marRight w:val="0"/>
          <w:marTop w:val="0"/>
          <w:marBottom w:val="0"/>
          <w:divBdr>
            <w:top w:val="none" w:sz="0" w:space="0" w:color="auto"/>
            <w:left w:val="none" w:sz="0" w:space="0" w:color="auto"/>
            <w:bottom w:val="none" w:sz="0" w:space="0" w:color="auto"/>
            <w:right w:val="none" w:sz="0" w:space="0" w:color="auto"/>
          </w:divBdr>
        </w:div>
      </w:divsChild>
    </w:div>
    <w:div w:id="249123786">
      <w:bodyDiv w:val="1"/>
      <w:marLeft w:val="0"/>
      <w:marRight w:val="0"/>
      <w:marTop w:val="0"/>
      <w:marBottom w:val="0"/>
      <w:divBdr>
        <w:top w:val="none" w:sz="0" w:space="0" w:color="auto"/>
        <w:left w:val="none" w:sz="0" w:space="0" w:color="auto"/>
        <w:bottom w:val="none" w:sz="0" w:space="0" w:color="auto"/>
        <w:right w:val="none" w:sz="0" w:space="0" w:color="auto"/>
      </w:divBdr>
      <w:divsChild>
        <w:div w:id="85157684">
          <w:marLeft w:val="0"/>
          <w:marRight w:val="0"/>
          <w:marTop w:val="0"/>
          <w:marBottom w:val="0"/>
          <w:divBdr>
            <w:top w:val="none" w:sz="0" w:space="0" w:color="auto"/>
            <w:left w:val="none" w:sz="0" w:space="0" w:color="auto"/>
            <w:bottom w:val="none" w:sz="0" w:space="0" w:color="auto"/>
            <w:right w:val="none" w:sz="0" w:space="0" w:color="auto"/>
          </w:divBdr>
          <w:divsChild>
            <w:div w:id="1046024600">
              <w:marLeft w:val="0"/>
              <w:marRight w:val="0"/>
              <w:marTop w:val="0"/>
              <w:marBottom w:val="0"/>
              <w:divBdr>
                <w:top w:val="none" w:sz="0" w:space="0" w:color="auto"/>
                <w:left w:val="none" w:sz="0" w:space="0" w:color="auto"/>
                <w:bottom w:val="none" w:sz="0" w:space="0" w:color="auto"/>
                <w:right w:val="none" w:sz="0" w:space="0" w:color="auto"/>
              </w:divBdr>
            </w:div>
          </w:divsChild>
        </w:div>
        <w:div w:id="280914912">
          <w:marLeft w:val="0"/>
          <w:marRight w:val="0"/>
          <w:marTop w:val="0"/>
          <w:marBottom w:val="0"/>
          <w:divBdr>
            <w:top w:val="none" w:sz="0" w:space="0" w:color="auto"/>
            <w:left w:val="none" w:sz="0" w:space="0" w:color="auto"/>
            <w:bottom w:val="none" w:sz="0" w:space="0" w:color="auto"/>
            <w:right w:val="none" w:sz="0" w:space="0" w:color="auto"/>
          </w:divBdr>
          <w:divsChild>
            <w:div w:id="1349064299">
              <w:marLeft w:val="0"/>
              <w:marRight w:val="0"/>
              <w:marTop w:val="0"/>
              <w:marBottom w:val="0"/>
              <w:divBdr>
                <w:top w:val="none" w:sz="0" w:space="0" w:color="auto"/>
                <w:left w:val="none" w:sz="0" w:space="0" w:color="auto"/>
                <w:bottom w:val="none" w:sz="0" w:space="0" w:color="auto"/>
                <w:right w:val="none" w:sz="0" w:space="0" w:color="auto"/>
              </w:divBdr>
            </w:div>
          </w:divsChild>
        </w:div>
        <w:div w:id="395203169">
          <w:marLeft w:val="0"/>
          <w:marRight w:val="0"/>
          <w:marTop w:val="0"/>
          <w:marBottom w:val="0"/>
          <w:divBdr>
            <w:top w:val="none" w:sz="0" w:space="0" w:color="auto"/>
            <w:left w:val="none" w:sz="0" w:space="0" w:color="auto"/>
            <w:bottom w:val="none" w:sz="0" w:space="0" w:color="auto"/>
            <w:right w:val="none" w:sz="0" w:space="0" w:color="auto"/>
          </w:divBdr>
          <w:divsChild>
            <w:div w:id="1651398499">
              <w:marLeft w:val="0"/>
              <w:marRight w:val="0"/>
              <w:marTop w:val="0"/>
              <w:marBottom w:val="0"/>
              <w:divBdr>
                <w:top w:val="none" w:sz="0" w:space="0" w:color="auto"/>
                <w:left w:val="none" w:sz="0" w:space="0" w:color="auto"/>
                <w:bottom w:val="none" w:sz="0" w:space="0" w:color="auto"/>
                <w:right w:val="none" w:sz="0" w:space="0" w:color="auto"/>
              </w:divBdr>
            </w:div>
          </w:divsChild>
        </w:div>
        <w:div w:id="506090938">
          <w:marLeft w:val="0"/>
          <w:marRight w:val="0"/>
          <w:marTop w:val="0"/>
          <w:marBottom w:val="0"/>
          <w:divBdr>
            <w:top w:val="none" w:sz="0" w:space="0" w:color="auto"/>
            <w:left w:val="none" w:sz="0" w:space="0" w:color="auto"/>
            <w:bottom w:val="none" w:sz="0" w:space="0" w:color="auto"/>
            <w:right w:val="none" w:sz="0" w:space="0" w:color="auto"/>
          </w:divBdr>
          <w:divsChild>
            <w:div w:id="568543041">
              <w:marLeft w:val="0"/>
              <w:marRight w:val="0"/>
              <w:marTop w:val="0"/>
              <w:marBottom w:val="0"/>
              <w:divBdr>
                <w:top w:val="none" w:sz="0" w:space="0" w:color="auto"/>
                <w:left w:val="none" w:sz="0" w:space="0" w:color="auto"/>
                <w:bottom w:val="none" w:sz="0" w:space="0" w:color="auto"/>
                <w:right w:val="none" w:sz="0" w:space="0" w:color="auto"/>
              </w:divBdr>
            </w:div>
          </w:divsChild>
        </w:div>
        <w:div w:id="572741636">
          <w:marLeft w:val="0"/>
          <w:marRight w:val="0"/>
          <w:marTop w:val="0"/>
          <w:marBottom w:val="0"/>
          <w:divBdr>
            <w:top w:val="none" w:sz="0" w:space="0" w:color="auto"/>
            <w:left w:val="none" w:sz="0" w:space="0" w:color="auto"/>
            <w:bottom w:val="none" w:sz="0" w:space="0" w:color="auto"/>
            <w:right w:val="none" w:sz="0" w:space="0" w:color="auto"/>
          </w:divBdr>
          <w:divsChild>
            <w:div w:id="1869297842">
              <w:marLeft w:val="0"/>
              <w:marRight w:val="0"/>
              <w:marTop w:val="0"/>
              <w:marBottom w:val="0"/>
              <w:divBdr>
                <w:top w:val="none" w:sz="0" w:space="0" w:color="auto"/>
                <w:left w:val="none" w:sz="0" w:space="0" w:color="auto"/>
                <w:bottom w:val="none" w:sz="0" w:space="0" w:color="auto"/>
                <w:right w:val="none" w:sz="0" w:space="0" w:color="auto"/>
              </w:divBdr>
            </w:div>
          </w:divsChild>
        </w:div>
        <w:div w:id="721059672">
          <w:marLeft w:val="0"/>
          <w:marRight w:val="0"/>
          <w:marTop w:val="0"/>
          <w:marBottom w:val="0"/>
          <w:divBdr>
            <w:top w:val="none" w:sz="0" w:space="0" w:color="auto"/>
            <w:left w:val="none" w:sz="0" w:space="0" w:color="auto"/>
            <w:bottom w:val="none" w:sz="0" w:space="0" w:color="auto"/>
            <w:right w:val="none" w:sz="0" w:space="0" w:color="auto"/>
          </w:divBdr>
          <w:divsChild>
            <w:div w:id="1868834740">
              <w:marLeft w:val="0"/>
              <w:marRight w:val="0"/>
              <w:marTop w:val="0"/>
              <w:marBottom w:val="0"/>
              <w:divBdr>
                <w:top w:val="none" w:sz="0" w:space="0" w:color="auto"/>
                <w:left w:val="none" w:sz="0" w:space="0" w:color="auto"/>
                <w:bottom w:val="none" w:sz="0" w:space="0" w:color="auto"/>
                <w:right w:val="none" w:sz="0" w:space="0" w:color="auto"/>
              </w:divBdr>
            </w:div>
          </w:divsChild>
        </w:div>
        <w:div w:id="729033560">
          <w:marLeft w:val="0"/>
          <w:marRight w:val="0"/>
          <w:marTop w:val="0"/>
          <w:marBottom w:val="0"/>
          <w:divBdr>
            <w:top w:val="none" w:sz="0" w:space="0" w:color="auto"/>
            <w:left w:val="none" w:sz="0" w:space="0" w:color="auto"/>
            <w:bottom w:val="none" w:sz="0" w:space="0" w:color="auto"/>
            <w:right w:val="none" w:sz="0" w:space="0" w:color="auto"/>
          </w:divBdr>
          <w:divsChild>
            <w:div w:id="1440560339">
              <w:marLeft w:val="0"/>
              <w:marRight w:val="0"/>
              <w:marTop w:val="0"/>
              <w:marBottom w:val="0"/>
              <w:divBdr>
                <w:top w:val="none" w:sz="0" w:space="0" w:color="auto"/>
                <w:left w:val="none" w:sz="0" w:space="0" w:color="auto"/>
                <w:bottom w:val="none" w:sz="0" w:space="0" w:color="auto"/>
                <w:right w:val="none" w:sz="0" w:space="0" w:color="auto"/>
              </w:divBdr>
            </w:div>
          </w:divsChild>
        </w:div>
        <w:div w:id="1032455424">
          <w:marLeft w:val="0"/>
          <w:marRight w:val="0"/>
          <w:marTop w:val="0"/>
          <w:marBottom w:val="0"/>
          <w:divBdr>
            <w:top w:val="none" w:sz="0" w:space="0" w:color="auto"/>
            <w:left w:val="none" w:sz="0" w:space="0" w:color="auto"/>
            <w:bottom w:val="none" w:sz="0" w:space="0" w:color="auto"/>
            <w:right w:val="none" w:sz="0" w:space="0" w:color="auto"/>
          </w:divBdr>
          <w:divsChild>
            <w:div w:id="193927938">
              <w:marLeft w:val="0"/>
              <w:marRight w:val="0"/>
              <w:marTop w:val="0"/>
              <w:marBottom w:val="0"/>
              <w:divBdr>
                <w:top w:val="none" w:sz="0" w:space="0" w:color="auto"/>
                <w:left w:val="none" w:sz="0" w:space="0" w:color="auto"/>
                <w:bottom w:val="none" w:sz="0" w:space="0" w:color="auto"/>
                <w:right w:val="none" w:sz="0" w:space="0" w:color="auto"/>
              </w:divBdr>
            </w:div>
          </w:divsChild>
        </w:div>
        <w:div w:id="1218320973">
          <w:marLeft w:val="0"/>
          <w:marRight w:val="0"/>
          <w:marTop w:val="0"/>
          <w:marBottom w:val="0"/>
          <w:divBdr>
            <w:top w:val="none" w:sz="0" w:space="0" w:color="auto"/>
            <w:left w:val="none" w:sz="0" w:space="0" w:color="auto"/>
            <w:bottom w:val="none" w:sz="0" w:space="0" w:color="auto"/>
            <w:right w:val="none" w:sz="0" w:space="0" w:color="auto"/>
          </w:divBdr>
          <w:divsChild>
            <w:div w:id="1746994231">
              <w:marLeft w:val="0"/>
              <w:marRight w:val="0"/>
              <w:marTop w:val="0"/>
              <w:marBottom w:val="0"/>
              <w:divBdr>
                <w:top w:val="none" w:sz="0" w:space="0" w:color="auto"/>
                <w:left w:val="none" w:sz="0" w:space="0" w:color="auto"/>
                <w:bottom w:val="none" w:sz="0" w:space="0" w:color="auto"/>
                <w:right w:val="none" w:sz="0" w:space="0" w:color="auto"/>
              </w:divBdr>
            </w:div>
          </w:divsChild>
        </w:div>
        <w:div w:id="1593977851">
          <w:marLeft w:val="0"/>
          <w:marRight w:val="0"/>
          <w:marTop w:val="0"/>
          <w:marBottom w:val="0"/>
          <w:divBdr>
            <w:top w:val="none" w:sz="0" w:space="0" w:color="auto"/>
            <w:left w:val="none" w:sz="0" w:space="0" w:color="auto"/>
            <w:bottom w:val="none" w:sz="0" w:space="0" w:color="auto"/>
            <w:right w:val="none" w:sz="0" w:space="0" w:color="auto"/>
          </w:divBdr>
          <w:divsChild>
            <w:div w:id="303312448">
              <w:marLeft w:val="0"/>
              <w:marRight w:val="0"/>
              <w:marTop w:val="0"/>
              <w:marBottom w:val="0"/>
              <w:divBdr>
                <w:top w:val="none" w:sz="0" w:space="0" w:color="auto"/>
                <w:left w:val="none" w:sz="0" w:space="0" w:color="auto"/>
                <w:bottom w:val="none" w:sz="0" w:space="0" w:color="auto"/>
                <w:right w:val="none" w:sz="0" w:space="0" w:color="auto"/>
              </w:divBdr>
            </w:div>
          </w:divsChild>
        </w:div>
        <w:div w:id="1726947484">
          <w:marLeft w:val="0"/>
          <w:marRight w:val="0"/>
          <w:marTop w:val="0"/>
          <w:marBottom w:val="0"/>
          <w:divBdr>
            <w:top w:val="none" w:sz="0" w:space="0" w:color="auto"/>
            <w:left w:val="none" w:sz="0" w:space="0" w:color="auto"/>
            <w:bottom w:val="none" w:sz="0" w:space="0" w:color="auto"/>
            <w:right w:val="none" w:sz="0" w:space="0" w:color="auto"/>
          </w:divBdr>
          <w:divsChild>
            <w:div w:id="2118402856">
              <w:marLeft w:val="0"/>
              <w:marRight w:val="0"/>
              <w:marTop w:val="0"/>
              <w:marBottom w:val="0"/>
              <w:divBdr>
                <w:top w:val="none" w:sz="0" w:space="0" w:color="auto"/>
                <w:left w:val="none" w:sz="0" w:space="0" w:color="auto"/>
                <w:bottom w:val="none" w:sz="0" w:space="0" w:color="auto"/>
                <w:right w:val="none" w:sz="0" w:space="0" w:color="auto"/>
              </w:divBdr>
            </w:div>
          </w:divsChild>
        </w:div>
        <w:div w:id="1846626363">
          <w:marLeft w:val="0"/>
          <w:marRight w:val="0"/>
          <w:marTop w:val="0"/>
          <w:marBottom w:val="0"/>
          <w:divBdr>
            <w:top w:val="none" w:sz="0" w:space="0" w:color="auto"/>
            <w:left w:val="none" w:sz="0" w:space="0" w:color="auto"/>
            <w:bottom w:val="none" w:sz="0" w:space="0" w:color="auto"/>
            <w:right w:val="none" w:sz="0" w:space="0" w:color="auto"/>
          </w:divBdr>
          <w:divsChild>
            <w:div w:id="562982666">
              <w:marLeft w:val="0"/>
              <w:marRight w:val="0"/>
              <w:marTop w:val="0"/>
              <w:marBottom w:val="0"/>
              <w:divBdr>
                <w:top w:val="none" w:sz="0" w:space="0" w:color="auto"/>
                <w:left w:val="none" w:sz="0" w:space="0" w:color="auto"/>
                <w:bottom w:val="none" w:sz="0" w:space="0" w:color="auto"/>
                <w:right w:val="none" w:sz="0" w:space="0" w:color="auto"/>
              </w:divBdr>
            </w:div>
          </w:divsChild>
        </w:div>
        <w:div w:id="1881934816">
          <w:marLeft w:val="0"/>
          <w:marRight w:val="0"/>
          <w:marTop w:val="0"/>
          <w:marBottom w:val="0"/>
          <w:divBdr>
            <w:top w:val="none" w:sz="0" w:space="0" w:color="auto"/>
            <w:left w:val="none" w:sz="0" w:space="0" w:color="auto"/>
            <w:bottom w:val="none" w:sz="0" w:space="0" w:color="auto"/>
            <w:right w:val="none" w:sz="0" w:space="0" w:color="auto"/>
          </w:divBdr>
          <w:divsChild>
            <w:div w:id="2047827170">
              <w:marLeft w:val="0"/>
              <w:marRight w:val="0"/>
              <w:marTop w:val="0"/>
              <w:marBottom w:val="0"/>
              <w:divBdr>
                <w:top w:val="none" w:sz="0" w:space="0" w:color="auto"/>
                <w:left w:val="none" w:sz="0" w:space="0" w:color="auto"/>
                <w:bottom w:val="none" w:sz="0" w:space="0" w:color="auto"/>
                <w:right w:val="none" w:sz="0" w:space="0" w:color="auto"/>
              </w:divBdr>
            </w:div>
          </w:divsChild>
        </w:div>
        <w:div w:id="1928415099">
          <w:marLeft w:val="0"/>
          <w:marRight w:val="0"/>
          <w:marTop w:val="0"/>
          <w:marBottom w:val="0"/>
          <w:divBdr>
            <w:top w:val="none" w:sz="0" w:space="0" w:color="auto"/>
            <w:left w:val="none" w:sz="0" w:space="0" w:color="auto"/>
            <w:bottom w:val="none" w:sz="0" w:space="0" w:color="auto"/>
            <w:right w:val="none" w:sz="0" w:space="0" w:color="auto"/>
          </w:divBdr>
          <w:divsChild>
            <w:div w:id="820541371">
              <w:marLeft w:val="0"/>
              <w:marRight w:val="0"/>
              <w:marTop w:val="0"/>
              <w:marBottom w:val="0"/>
              <w:divBdr>
                <w:top w:val="none" w:sz="0" w:space="0" w:color="auto"/>
                <w:left w:val="none" w:sz="0" w:space="0" w:color="auto"/>
                <w:bottom w:val="none" w:sz="0" w:space="0" w:color="auto"/>
                <w:right w:val="none" w:sz="0" w:space="0" w:color="auto"/>
              </w:divBdr>
            </w:div>
          </w:divsChild>
        </w:div>
        <w:div w:id="2033214940">
          <w:marLeft w:val="0"/>
          <w:marRight w:val="0"/>
          <w:marTop w:val="0"/>
          <w:marBottom w:val="0"/>
          <w:divBdr>
            <w:top w:val="none" w:sz="0" w:space="0" w:color="auto"/>
            <w:left w:val="none" w:sz="0" w:space="0" w:color="auto"/>
            <w:bottom w:val="none" w:sz="0" w:space="0" w:color="auto"/>
            <w:right w:val="none" w:sz="0" w:space="0" w:color="auto"/>
          </w:divBdr>
          <w:divsChild>
            <w:div w:id="635258511">
              <w:marLeft w:val="0"/>
              <w:marRight w:val="0"/>
              <w:marTop w:val="0"/>
              <w:marBottom w:val="0"/>
              <w:divBdr>
                <w:top w:val="none" w:sz="0" w:space="0" w:color="auto"/>
                <w:left w:val="none" w:sz="0" w:space="0" w:color="auto"/>
                <w:bottom w:val="none" w:sz="0" w:space="0" w:color="auto"/>
                <w:right w:val="none" w:sz="0" w:space="0" w:color="auto"/>
              </w:divBdr>
            </w:div>
          </w:divsChild>
        </w:div>
        <w:div w:id="2112125538">
          <w:marLeft w:val="0"/>
          <w:marRight w:val="0"/>
          <w:marTop w:val="0"/>
          <w:marBottom w:val="0"/>
          <w:divBdr>
            <w:top w:val="none" w:sz="0" w:space="0" w:color="auto"/>
            <w:left w:val="none" w:sz="0" w:space="0" w:color="auto"/>
            <w:bottom w:val="none" w:sz="0" w:space="0" w:color="auto"/>
            <w:right w:val="none" w:sz="0" w:space="0" w:color="auto"/>
          </w:divBdr>
          <w:divsChild>
            <w:div w:id="1732078709">
              <w:marLeft w:val="0"/>
              <w:marRight w:val="0"/>
              <w:marTop w:val="0"/>
              <w:marBottom w:val="0"/>
              <w:divBdr>
                <w:top w:val="none" w:sz="0" w:space="0" w:color="auto"/>
                <w:left w:val="none" w:sz="0" w:space="0" w:color="auto"/>
                <w:bottom w:val="none" w:sz="0" w:space="0" w:color="auto"/>
                <w:right w:val="none" w:sz="0" w:space="0" w:color="auto"/>
              </w:divBdr>
            </w:div>
          </w:divsChild>
        </w:div>
        <w:div w:id="2121491776">
          <w:marLeft w:val="0"/>
          <w:marRight w:val="0"/>
          <w:marTop w:val="0"/>
          <w:marBottom w:val="0"/>
          <w:divBdr>
            <w:top w:val="none" w:sz="0" w:space="0" w:color="auto"/>
            <w:left w:val="none" w:sz="0" w:space="0" w:color="auto"/>
            <w:bottom w:val="none" w:sz="0" w:space="0" w:color="auto"/>
            <w:right w:val="none" w:sz="0" w:space="0" w:color="auto"/>
          </w:divBdr>
          <w:divsChild>
            <w:div w:id="914969856">
              <w:marLeft w:val="0"/>
              <w:marRight w:val="0"/>
              <w:marTop w:val="0"/>
              <w:marBottom w:val="0"/>
              <w:divBdr>
                <w:top w:val="none" w:sz="0" w:space="0" w:color="auto"/>
                <w:left w:val="none" w:sz="0" w:space="0" w:color="auto"/>
                <w:bottom w:val="none" w:sz="0" w:space="0" w:color="auto"/>
                <w:right w:val="none" w:sz="0" w:space="0" w:color="auto"/>
              </w:divBdr>
            </w:div>
          </w:divsChild>
        </w:div>
        <w:div w:id="2135981657">
          <w:marLeft w:val="0"/>
          <w:marRight w:val="0"/>
          <w:marTop w:val="0"/>
          <w:marBottom w:val="0"/>
          <w:divBdr>
            <w:top w:val="none" w:sz="0" w:space="0" w:color="auto"/>
            <w:left w:val="none" w:sz="0" w:space="0" w:color="auto"/>
            <w:bottom w:val="none" w:sz="0" w:space="0" w:color="auto"/>
            <w:right w:val="none" w:sz="0" w:space="0" w:color="auto"/>
          </w:divBdr>
          <w:divsChild>
            <w:div w:id="121326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772708">
      <w:bodyDiv w:val="1"/>
      <w:marLeft w:val="0"/>
      <w:marRight w:val="0"/>
      <w:marTop w:val="0"/>
      <w:marBottom w:val="0"/>
      <w:divBdr>
        <w:top w:val="none" w:sz="0" w:space="0" w:color="auto"/>
        <w:left w:val="none" w:sz="0" w:space="0" w:color="auto"/>
        <w:bottom w:val="none" w:sz="0" w:space="0" w:color="auto"/>
        <w:right w:val="none" w:sz="0" w:space="0" w:color="auto"/>
      </w:divBdr>
      <w:divsChild>
        <w:div w:id="1548293625">
          <w:marLeft w:val="0"/>
          <w:marRight w:val="0"/>
          <w:marTop w:val="0"/>
          <w:marBottom w:val="0"/>
          <w:divBdr>
            <w:top w:val="none" w:sz="0" w:space="0" w:color="auto"/>
            <w:left w:val="none" w:sz="0" w:space="0" w:color="auto"/>
            <w:bottom w:val="none" w:sz="0" w:space="0" w:color="auto"/>
            <w:right w:val="none" w:sz="0" w:space="0" w:color="auto"/>
          </w:divBdr>
        </w:div>
        <w:div w:id="1994602445">
          <w:marLeft w:val="0"/>
          <w:marRight w:val="0"/>
          <w:marTop w:val="0"/>
          <w:marBottom w:val="0"/>
          <w:divBdr>
            <w:top w:val="none" w:sz="0" w:space="0" w:color="auto"/>
            <w:left w:val="none" w:sz="0" w:space="0" w:color="auto"/>
            <w:bottom w:val="none" w:sz="0" w:space="0" w:color="auto"/>
            <w:right w:val="none" w:sz="0" w:space="0" w:color="auto"/>
          </w:divBdr>
        </w:div>
      </w:divsChild>
    </w:div>
    <w:div w:id="251085722">
      <w:bodyDiv w:val="1"/>
      <w:marLeft w:val="0"/>
      <w:marRight w:val="0"/>
      <w:marTop w:val="0"/>
      <w:marBottom w:val="0"/>
      <w:divBdr>
        <w:top w:val="none" w:sz="0" w:space="0" w:color="auto"/>
        <w:left w:val="none" w:sz="0" w:space="0" w:color="auto"/>
        <w:bottom w:val="none" w:sz="0" w:space="0" w:color="auto"/>
        <w:right w:val="none" w:sz="0" w:space="0" w:color="auto"/>
      </w:divBdr>
    </w:div>
    <w:div w:id="256211198">
      <w:bodyDiv w:val="1"/>
      <w:marLeft w:val="0"/>
      <w:marRight w:val="0"/>
      <w:marTop w:val="0"/>
      <w:marBottom w:val="0"/>
      <w:divBdr>
        <w:top w:val="none" w:sz="0" w:space="0" w:color="auto"/>
        <w:left w:val="none" w:sz="0" w:space="0" w:color="auto"/>
        <w:bottom w:val="none" w:sz="0" w:space="0" w:color="auto"/>
        <w:right w:val="none" w:sz="0" w:space="0" w:color="auto"/>
      </w:divBdr>
      <w:divsChild>
        <w:div w:id="642856974">
          <w:marLeft w:val="0"/>
          <w:marRight w:val="0"/>
          <w:marTop w:val="0"/>
          <w:marBottom w:val="0"/>
          <w:divBdr>
            <w:top w:val="none" w:sz="0" w:space="0" w:color="auto"/>
            <w:left w:val="none" w:sz="0" w:space="0" w:color="auto"/>
            <w:bottom w:val="none" w:sz="0" w:space="0" w:color="auto"/>
            <w:right w:val="none" w:sz="0" w:space="0" w:color="auto"/>
          </w:divBdr>
        </w:div>
        <w:div w:id="766535465">
          <w:marLeft w:val="0"/>
          <w:marRight w:val="0"/>
          <w:marTop w:val="0"/>
          <w:marBottom w:val="0"/>
          <w:divBdr>
            <w:top w:val="none" w:sz="0" w:space="0" w:color="auto"/>
            <w:left w:val="none" w:sz="0" w:space="0" w:color="auto"/>
            <w:bottom w:val="none" w:sz="0" w:space="0" w:color="auto"/>
            <w:right w:val="none" w:sz="0" w:space="0" w:color="auto"/>
          </w:divBdr>
        </w:div>
      </w:divsChild>
    </w:div>
    <w:div w:id="258368106">
      <w:bodyDiv w:val="1"/>
      <w:marLeft w:val="0"/>
      <w:marRight w:val="0"/>
      <w:marTop w:val="0"/>
      <w:marBottom w:val="0"/>
      <w:divBdr>
        <w:top w:val="none" w:sz="0" w:space="0" w:color="auto"/>
        <w:left w:val="none" w:sz="0" w:space="0" w:color="auto"/>
        <w:bottom w:val="none" w:sz="0" w:space="0" w:color="auto"/>
        <w:right w:val="none" w:sz="0" w:space="0" w:color="auto"/>
      </w:divBdr>
    </w:div>
    <w:div w:id="322897077">
      <w:bodyDiv w:val="1"/>
      <w:marLeft w:val="0"/>
      <w:marRight w:val="0"/>
      <w:marTop w:val="0"/>
      <w:marBottom w:val="0"/>
      <w:divBdr>
        <w:top w:val="none" w:sz="0" w:space="0" w:color="auto"/>
        <w:left w:val="none" w:sz="0" w:space="0" w:color="auto"/>
        <w:bottom w:val="none" w:sz="0" w:space="0" w:color="auto"/>
        <w:right w:val="none" w:sz="0" w:space="0" w:color="auto"/>
      </w:divBdr>
    </w:div>
    <w:div w:id="364522056">
      <w:bodyDiv w:val="1"/>
      <w:marLeft w:val="0"/>
      <w:marRight w:val="0"/>
      <w:marTop w:val="0"/>
      <w:marBottom w:val="0"/>
      <w:divBdr>
        <w:top w:val="none" w:sz="0" w:space="0" w:color="auto"/>
        <w:left w:val="none" w:sz="0" w:space="0" w:color="auto"/>
        <w:bottom w:val="none" w:sz="0" w:space="0" w:color="auto"/>
        <w:right w:val="none" w:sz="0" w:space="0" w:color="auto"/>
      </w:divBdr>
    </w:div>
    <w:div w:id="369888507">
      <w:bodyDiv w:val="1"/>
      <w:marLeft w:val="0"/>
      <w:marRight w:val="0"/>
      <w:marTop w:val="0"/>
      <w:marBottom w:val="0"/>
      <w:divBdr>
        <w:top w:val="none" w:sz="0" w:space="0" w:color="auto"/>
        <w:left w:val="none" w:sz="0" w:space="0" w:color="auto"/>
        <w:bottom w:val="none" w:sz="0" w:space="0" w:color="auto"/>
        <w:right w:val="none" w:sz="0" w:space="0" w:color="auto"/>
      </w:divBdr>
    </w:div>
    <w:div w:id="375812356">
      <w:bodyDiv w:val="1"/>
      <w:marLeft w:val="0"/>
      <w:marRight w:val="0"/>
      <w:marTop w:val="0"/>
      <w:marBottom w:val="0"/>
      <w:divBdr>
        <w:top w:val="none" w:sz="0" w:space="0" w:color="auto"/>
        <w:left w:val="none" w:sz="0" w:space="0" w:color="auto"/>
        <w:bottom w:val="none" w:sz="0" w:space="0" w:color="auto"/>
        <w:right w:val="none" w:sz="0" w:space="0" w:color="auto"/>
      </w:divBdr>
      <w:divsChild>
        <w:div w:id="394865461">
          <w:marLeft w:val="0"/>
          <w:marRight w:val="0"/>
          <w:marTop w:val="0"/>
          <w:marBottom w:val="0"/>
          <w:divBdr>
            <w:top w:val="none" w:sz="0" w:space="0" w:color="auto"/>
            <w:left w:val="none" w:sz="0" w:space="0" w:color="auto"/>
            <w:bottom w:val="none" w:sz="0" w:space="0" w:color="auto"/>
            <w:right w:val="none" w:sz="0" w:space="0" w:color="auto"/>
          </w:divBdr>
        </w:div>
        <w:div w:id="884951187">
          <w:marLeft w:val="0"/>
          <w:marRight w:val="0"/>
          <w:marTop w:val="0"/>
          <w:marBottom w:val="0"/>
          <w:divBdr>
            <w:top w:val="none" w:sz="0" w:space="0" w:color="auto"/>
            <w:left w:val="none" w:sz="0" w:space="0" w:color="auto"/>
            <w:bottom w:val="none" w:sz="0" w:space="0" w:color="auto"/>
            <w:right w:val="none" w:sz="0" w:space="0" w:color="auto"/>
          </w:divBdr>
        </w:div>
        <w:div w:id="1159954304">
          <w:marLeft w:val="0"/>
          <w:marRight w:val="0"/>
          <w:marTop w:val="0"/>
          <w:marBottom w:val="0"/>
          <w:divBdr>
            <w:top w:val="none" w:sz="0" w:space="0" w:color="auto"/>
            <w:left w:val="none" w:sz="0" w:space="0" w:color="auto"/>
            <w:bottom w:val="none" w:sz="0" w:space="0" w:color="auto"/>
            <w:right w:val="none" w:sz="0" w:space="0" w:color="auto"/>
          </w:divBdr>
        </w:div>
        <w:div w:id="1734935563">
          <w:marLeft w:val="0"/>
          <w:marRight w:val="0"/>
          <w:marTop w:val="0"/>
          <w:marBottom w:val="0"/>
          <w:divBdr>
            <w:top w:val="none" w:sz="0" w:space="0" w:color="auto"/>
            <w:left w:val="none" w:sz="0" w:space="0" w:color="auto"/>
            <w:bottom w:val="none" w:sz="0" w:space="0" w:color="auto"/>
            <w:right w:val="none" w:sz="0" w:space="0" w:color="auto"/>
          </w:divBdr>
        </w:div>
        <w:div w:id="2068676309">
          <w:marLeft w:val="0"/>
          <w:marRight w:val="0"/>
          <w:marTop w:val="0"/>
          <w:marBottom w:val="0"/>
          <w:divBdr>
            <w:top w:val="none" w:sz="0" w:space="0" w:color="auto"/>
            <w:left w:val="none" w:sz="0" w:space="0" w:color="auto"/>
            <w:bottom w:val="none" w:sz="0" w:space="0" w:color="auto"/>
            <w:right w:val="none" w:sz="0" w:space="0" w:color="auto"/>
          </w:divBdr>
        </w:div>
      </w:divsChild>
    </w:div>
    <w:div w:id="386533465">
      <w:bodyDiv w:val="1"/>
      <w:marLeft w:val="0"/>
      <w:marRight w:val="0"/>
      <w:marTop w:val="0"/>
      <w:marBottom w:val="0"/>
      <w:divBdr>
        <w:top w:val="none" w:sz="0" w:space="0" w:color="auto"/>
        <w:left w:val="none" w:sz="0" w:space="0" w:color="auto"/>
        <w:bottom w:val="none" w:sz="0" w:space="0" w:color="auto"/>
        <w:right w:val="none" w:sz="0" w:space="0" w:color="auto"/>
      </w:divBdr>
      <w:divsChild>
        <w:div w:id="183324168">
          <w:marLeft w:val="0"/>
          <w:marRight w:val="0"/>
          <w:marTop w:val="0"/>
          <w:marBottom w:val="0"/>
          <w:divBdr>
            <w:top w:val="none" w:sz="0" w:space="0" w:color="auto"/>
            <w:left w:val="none" w:sz="0" w:space="0" w:color="auto"/>
            <w:bottom w:val="none" w:sz="0" w:space="0" w:color="auto"/>
            <w:right w:val="none" w:sz="0" w:space="0" w:color="auto"/>
          </w:divBdr>
        </w:div>
        <w:div w:id="948202248">
          <w:marLeft w:val="0"/>
          <w:marRight w:val="0"/>
          <w:marTop w:val="0"/>
          <w:marBottom w:val="0"/>
          <w:divBdr>
            <w:top w:val="none" w:sz="0" w:space="0" w:color="auto"/>
            <w:left w:val="none" w:sz="0" w:space="0" w:color="auto"/>
            <w:bottom w:val="none" w:sz="0" w:space="0" w:color="auto"/>
            <w:right w:val="none" w:sz="0" w:space="0" w:color="auto"/>
          </w:divBdr>
        </w:div>
        <w:div w:id="2094088600">
          <w:marLeft w:val="0"/>
          <w:marRight w:val="0"/>
          <w:marTop w:val="0"/>
          <w:marBottom w:val="0"/>
          <w:divBdr>
            <w:top w:val="none" w:sz="0" w:space="0" w:color="auto"/>
            <w:left w:val="none" w:sz="0" w:space="0" w:color="auto"/>
            <w:bottom w:val="none" w:sz="0" w:space="0" w:color="auto"/>
            <w:right w:val="none" w:sz="0" w:space="0" w:color="auto"/>
          </w:divBdr>
          <w:divsChild>
            <w:div w:id="809832309">
              <w:marLeft w:val="-75"/>
              <w:marRight w:val="0"/>
              <w:marTop w:val="30"/>
              <w:marBottom w:val="30"/>
              <w:divBdr>
                <w:top w:val="none" w:sz="0" w:space="0" w:color="auto"/>
                <w:left w:val="none" w:sz="0" w:space="0" w:color="auto"/>
                <w:bottom w:val="none" w:sz="0" w:space="0" w:color="auto"/>
                <w:right w:val="none" w:sz="0" w:space="0" w:color="auto"/>
              </w:divBdr>
              <w:divsChild>
                <w:div w:id="136069656">
                  <w:marLeft w:val="0"/>
                  <w:marRight w:val="0"/>
                  <w:marTop w:val="0"/>
                  <w:marBottom w:val="0"/>
                  <w:divBdr>
                    <w:top w:val="none" w:sz="0" w:space="0" w:color="auto"/>
                    <w:left w:val="none" w:sz="0" w:space="0" w:color="auto"/>
                    <w:bottom w:val="none" w:sz="0" w:space="0" w:color="auto"/>
                    <w:right w:val="none" w:sz="0" w:space="0" w:color="auto"/>
                  </w:divBdr>
                  <w:divsChild>
                    <w:div w:id="1177310254">
                      <w:marLeft w:val="0"/>
                      <w:marRight w:val="0"/>
                      <w:marTop w:val="0"/>
                      <w:marBottom w:val="0"/>
                      <w:divBdr>
                        <w:top w:val="none" w:sz="0" w:space="0" w:color="auto"/>
                        <w:left w:val="none" w:sz="0" w:space="0" w:color="auto"/>
                        <w:bottom w:val="none" w:sz="0" w:space="0" w:color="auto"/>
                        <w:right w:val="none" w:sz="0" w:space="0" w:color="auto"/>
                      </w:divBdr>
                    </w:div>
                  </w:divsChild>
                </w:div>
                <w:div w:id="175778522">
                  <w:marLeft w:val="0"/>
                  <w:marRight w:val="0"/>
                  <w:marTop w:val="0"/>
                  <w:marBottom w:val="0"/>
                  <w:divBdr>
                    <w:top w:val="none" w:sz="0" w:space="0" w:color="auto"/>
                    <w:left w:val="none" w:sz="0" w:space="0" w:color="auto"/>
                    <w:bottom w:val="none" w:sz="0" w:space="0" w:color="auto"/>
                    <w:right w:val="none" w:sz="0" w:space="0" w:color="auto"/>
                  </w:divBdr>
                  <w:divsChild>
                    <w:div w:id="1049643227">
                      <w:marLeft w:val="0"/>
                      <w:marRight w:val="0"/>
                      <w:marTop w:val="0"/>
                      <w:marBottom w:val="0"/>
                      <w:divBdr>
                        <w:top w:val="none" w:sz="0" w:space="0" w:color="auto"/>
                        <w:left w:val="none" w:sz="0" w:space="0" w:color="auto"/>
                        <w:bottom w:val="none" w:sz="0" w:space="0" w:color="auto"/>
                        <w:right w:val="none" w:sz="0" w:space="0" w:color="auto"/>
                      </w:divBdr>
                    </w:div>
                  </w:divsChild>
                </w:div>
                <w:div w:id="210117380">
                  <w:marLeft w:val="0"/>
                  <w:marRight w:val="0"/>
                  <w:marTop w:val="0"/>
                  <w:marBottom w:val="0"/>
                  <w:divBdr>
                    <w:top w:val="none" w:sz="0" w:space="0" w:color="auto"/>
                    <w:left w:val="none" w:sz="0" w:space="0" w:color="auto"/>
                    <w:bottom w:val="none" w:sz="0" w:space="0" w:color="auto"/>
                    <w:right w:val="none" w:sz="0" w:space="0" w:color="auto"/>
                  </w:divBdr>
                  <w:divsChild>
                    <w:div w:id="512693186">
                      <w:marLeft w:val="0"/>
                      <w:marRight w:val="0"/>
                      <w:marTop w:val="0"/>
                      <w:marBottom w:val="0"/>
                      <w:divBdr>
                        <w:top w:val="none" w:sz="0" w:space="0" w:color="auto"/>
                        <w:left w:val="none" w:sz="0" w:space="0" w:color="auto"/>
                        <w:bottom w:val="none" w:sz="0" w:space="0" w:color="auto"/>
                        <w:right w:val="none" w:sz="0" w:space="0" w:color="auto"/>
                      </w:divBdr>
                    </w:div>
                  </w:divsChild>
                </w:div>
                <w:div w:id="240523584">
                  <w:marLeft w:val="0"/>
                  <w:marRight w:val="0"/>
                  <w:marTop w:val="0"/>
                  <w:marBottom w:val="0"/>
                  <w:divBdr>
                    <w:top w:val="none" w:sz="0" w:space="0" w:color="auto"/>
                    <w:left w:val="none" w:sz="0" w:space="0" w:color="auto"/>
                    <w:bottom w:val="none" w:sz="0" w:space="0" w:color="auto"/>
                    <w:right w:val="none" w:sz="0" w:space="0" w:color="auto"/>
                  </w:divBdr>
                  <w:divsChild>
                    <w:div w:id="138691055">
                      <w:marLeft w:val="0"/>
                      <w:marRight w:val="0"/>
                      <w:marTop w:val="0"/>
                      <w:marBottom w:val="0"/>
                      <w:divBdr>
                        <w:top w:val="none" w:sz="0" w:space="0" w:color="auto"/>
                        <w:left w:val="none" w:sz="0" w:space="0" w:color="auto"/>
                        <w:bottom w:val="none" w:sz="0" w:space="0" w:color="auto"/>
                        <w:right w:val="none" w:sz="0" w:space="0" w:color="auto"/>
                      </w:divBdr>
                    </w:div>
                  </w:divsChild>
                </w:div>
                <w:div w:id="612521511">
                  <w:marLeft w:val="0"/>
                  <w:marRight w:val="0"/>
                  <w:marTop w:val="0"/>
                  <w:marBottom w:val="0"/>
                  <w:divBdr>
                    <w:top w:val="none" w:sz="0" w:space="0" w:color="auto"/>
                    <w:left w:val="none" w:sz="0" w:space="0" w:color="auto"/>
                    <w:bottom w:val="none" w:sz="0" w:space="0" w:color="auto"/>
                    <w:right w:val="none" w:sz="0" w:space="0" w:color="auto"/>
                  </w:divBdr>
                  <w:divsChild>
                    <w:div w:id="1492986901">
                      <w:marLeft w:val="0"/>
                      <w:marRight w:val="0"/>
                      <w:marTop w:val="0"/>
                      <w:marBottom w:val="0"/>
                      <w:divBdr>
                        <w:top w:val="none" w:sz="0" w:space="0" w:color="auto"/>
                        <w:left w:val="none" w:sz="0" w:space="0" w:color="auto"/>
                        <w:bottom w:val="none" w:sz="0" w:space="0" w:color="auto"/>
                        <w:right w:val="none" w:sz="0" w:space="0" w:color="auto"/>
                      </w:divBdr>
                    </w:div>
                  </w:divsChild>
                </w:div>
                <w:div w:id="710302755">
                  <w:marLeft w:val="0"/>
                  <w:marRight w:val="0"/>
                  <w:marTop w:val="0"/>
                  <w:marBottom w:val="0"/>
                  <w:divBdr>
                    <w:top w:val="none" w:sz="0" w:space="0" w:color="auto"/>
                    <w:left w:val="none" w:sz="0" w:space="0" w:color="auto"/>
                    <w:bottom w:val="none" w:sz="0" w:space="0" w:color="auto"/>
                    <w:right w:val="none" w:sz="0" w:space="0" w:color="auto"/>
                  </w:divBdr>
                  <w:divsChild>
                    <w:div w:id="980229533">
                      <w:marLeft w:val="0"/>
                      <w:marRight w:val="0"/>
                      <w:marTop w:val="0"/>
                      <w:marBottom w:val="0"/>
                      <w:divBdr>
                        <w:top w:val="none" w:sz="0" w:space="0" w:color="auto"/>
                        <w:left w:val="none" w:sz="0" w:space="0" w:color="auto"/>
                        <w:bottom w:val="none" w:sz="0" w:space="0" w:color="auto"/>
                        <w:right w:val="none" w:sz="0" w:space="0" w:color="auto"/>
                      </w:divBdr>
                    </w:div>
                  </w:divsChild>
                </w:div>
                <w:div w:id="727532341">
                  <w:marLeft w:val="0"/>
                  <w:marRight w:val="0"/>
                  <w:marTop w:val="0"/>
                  <w:marBottom w:val="0"/>
                  <w:divBdr>
                    <w:top w:val="none" w:sz="0" w:space="0" w:color="auto"/>
                    <w:left w:val="none" w:sz="0" w:space="0" w:color="auto"/>
                    <w:bottom w:val="none" w:sz="0" w:space="0" w:color="auto"/>
                    <w:right w:val="none" w:sz="0" w:space="0" w:color="auto"/>
                  </w:divBdr>
                  <w:divsChild>
                    <w:div w:id="1896698480">
                      <w:marLeft w:val="0"/>
                      <w:marRight w:val="0"/>
                      <w:marTop w:val="0"/>
                      <w:marBottom w:val="0"/>
                      <w:divBdr>
                        <w:top w:val="none" w:sz="0" w:space="0" w:color="auto"/>
                        <w:left w:val="none" w:sz="0" w:space="0" w:color="auto"/>
                        <w:bottom w:val="none" w:sz="0" w:space="0" w:color="auto"/>
                        <w:right w:val="none" w:sz="0" w:space="0" w:color="auto"/>
                      </w:divBdr>
                    </w:div>
                  </w:divsChild>
                </w:div>
                <w:div w:id="763719713">
                  <w:marLeft w:val="0"/>
                  <w:marRight w:val="0"/>
                  <w:marTop w:val="0"/>
                  <w:marBottom w:val="0"/>
                  <w:divBdr>
                    <w:top w:val="none" w:sz="0" w:space="0" w:color="auto"/>
                    <w:left w:val="none" w:sz="0" w:space="0" w:color="auto"/>
                    <w:bottom w:val="none" w:sz="0" w:space="0" w:color="auto"/>
                    <w:right w:val="none" w:sz="0" w:space="0" w:color="auto"/>
                  </w:divBdr>
                  <w:divsChild>
                    <w:div w:id="861355537">
                      <w:marLeft w:val="0"/>
                      <w:marRight w:val="0"/>
                      <w:marTop w:val="0"/>
                      <w:marBottom w:val="0"/>
                      <w:divBdr>
                        <w:top w:val="none" w:sz="0" w:space="0" w:color="auto"/>
                        <w:left w:val="none" w:sz="0" w:space="0" w:color="auto"/>
                        <w:bottom w:val="none" w:sz="0" w:space="0" w:color="auto"/>
                        <w:right w:val="none" w:sz="0" w:space="0" w:color="auto"/>
                      </w:divBdr>
                    </w:div>
                  </w:divsChild>
                </w:div>
                <w:div w:id="786512277">
                  <w:marLeft w:val="0"/>
                  <w:marRight w:val="0"/>
                  <w:marTop w:val="0"/>
                  <w:marBottom w:val="0"/>
                  <w:divBdr>
                    <w:top w:val="none" w:sz="0" w:space="0" w:color="auto"/>
                    <w:left w:val="none" w:sz="0" w:space="0" w:color="auto"/>
                    <w:bottom w:val="none" w:sz="0" w:space="0" w:color="auto"/>
                    <w:right w:val="none" w:sz="0" w:space="0" w:color="auto"/>
                  </w:divBdr>
                  <w:divsChild>
                    <w:div w:id="1052386875">
                      <w:marLeft w:val="0"/>
                      <w:marRight w:val="0"/>
                      <w:marTop w:val="0"/>
                      <w:marBottom w:val="0"/>
                      <w:divBdr>
                        <w:top w:val="none" w:sz="0" w:space="0" w:color="auto"/>
                        <w:left w:val="none" w:sz="0" w:space="0" w:color="auto"/>
                        <w:bottom w:val="none" w:sz="0" w:space="0" w:color="auto"/>
                        <w:right w:val="none" w:sz="0" w:space="0" w:color="auto"/>
                      </w:divBdr>
                    </w:div>
                  </w:divsChild>
                </w:div>
                <w:div w:id="849180223">
                  <w:marLeft w:val="0"/>
                  <w:marRight w:val="0"/>
                  <w:marTop w:val="0"/>
                  <w:marBottom w:val="0"/>
                  <w:divBdr>
                    <w:top w:val="none" w:sz="0" w:space="0" w:color="auto"/>
                    <w:left w:val="none" w:sz="0" w:space="0" w:color="auto"/>
                    <w:bottom w:val="none" w:sz="0" w:space="0" w:color="auto"/>
                    <w:right w:val="none" w:sz="0" w:space="0" w:color="auto"/>
                  </w:divBdr>
                  <w:divsChild>
                    <w:div w:id="1229923772">
                      <w:marLeft w:val="0"/>
                      <w:marRight w:val="0"/>
                      <w:marTop w:val="0"/>
                      <w:marBottom w:val="0"/>
                      <w:divBdr>
                        <w:top w:val="none" w:sz="0" w:space="0" w:color="auto"/>
                        <w:left w:val="none" w:sz="0" w:space="0" w:color="auto"/>
                        <w:bottom w:val="none" w:sz="0" w:space="0" w:color="auto"/>
                        <w:right w:val="none" w:sz="0" w:space="0" w:color="auto"/>
                      </w:divBdr>
                    </w:div>
                  </w:divsChild>
                </w:div>
                <w:div w:id="915742270">
                  <w:marLeft w:val="0"/>
                  <w:marRight w:val="0"/>
                  <w:marTop w:val="0"/>
                  <w:marBottom w:val="0"/>
                  <w:divBdr>
                    <w:top w:val="none" w:sz="0" w:space="0" w:color="auto"/>
                    <w:left w:val="none" w:sz="0" w:space="0" w:color="auto"/>
                    <w:bottom w:val="none" w:sz="0" w:space="0" w:color="auto"/>
                    <w:right w:val="none" w:sz="0" w:space="0" w:color="auto"/>
                  </w:divBdr>
                  <w:divsChild>
                    <w:div w:id="1908302886">
                      <w:marLeft w:val="0"/>
                      <w:marRight w:val="0"/>
                      <w:marTop w:val="0"/>
                      <w:marBottom w:val="0"/>
                      <w:divBdr>
                        <w:top w:val="none" w:sz="0" w:space="0" w:color="auto"/>
                        <w:left w:val="none" w:sz="0" w:space="0" w:color="auto"/>
                        <w:bottom w:val="none" w:sz="0" w:space="0" w:color="auto"/>
                        <w:right w:val="none" w:sz="0" w:space="0" w:color="auto"/>
                      </w:divBdr>
                    </w:div>
                  </w:divsChild>
                </w:div>
                <w:div w:id="967128826">
                  <w:marLeft w:val="0"/>
                  <w:marRight w:val="0"/>
                  <w:marTop w:val="0"/>
                  <w:marBottom w:val="0"/>
                  <w:divBdr>
                    <w:top w:val="none" w:sz="0" w:space="0" w:color="auto"/>
                    <w:left w:val="none" w:sz="0" w:space="0" w:color="auto"/>
                    <w:bottom w:val="none" w:sz="0" w:space="0" w:color="auto"/>
                    <w:right w:val="none" w:sz="0" w:space="0" w:color="auto"/>
                  </w:divBdr>
                  <w:divsChild>
                    <w:div w:id="1806578069">
                      <w:marLeft w:val="0"/>
                      <w:marRight w:val="0"/>
                      <w:marTop w:val="0"/>
                      <w:marBottom w:val="0"/>
                      <w:divBdr>
                        <w:top w:val="none" w:sz="0" w:space="0" w:color="auto"/>
                        <w:left w:val="none" w:sz="0" w:space="0" w:color="auto"/>
                        <w:bottom w:val="none" w:sz="0" w:space="0" w:color="auto"/>
                        <w:right w:val="none" w:sz="0" w:space="0" w:color="auto"/>
                      </w:divBdr>
                    </w:div>
                  </w:divsChild>
                </w:div>
                <w:div w:id="1115369005">
                  <w:marLeft w:val="0"/>
                  <w:marRight w:val="0"/>
                  <w:marTop w:val="0"/>
                  <w:marBottom w:val="0"/>
                  <w:divBdr>
                    <w:top w:val="none" w:sz="0" w:space="0" w:color="auto"/>
                    <w:left w:val="none" w:sz="0" w:space="0" w:color="auto"/>
                    <w:bottom w:val="none" w:sz="0" w:space="0" w:color="auto"/>
                    <w:right w:val="none" w:sz="0" w:space="0" w:color="auto"/>
                  </w:divBdr>
                  <w:divsChild>
                    <w:div w:id="809518377">
                      <w:marLeft w:val="0"/>
                      <w:marRight w:val="0"/>
                      <w:marTop w:val="0"/>
                      <w:marBottom w:val="0"/>
                      <w:divBdr>
                        <w:top w:val="none" w:sz="0" w:space="0" w:color="auto"/>
                        <w:left w:val="none" w:sz="0" w:space="0" w:color="auto"/>
                        <w:bottom w:val="none" w:sz="0" w:space="0" w:color="auto"/>
                        <w:right w:val="none" w:sz="0" w:space="0" w:color="auto"/>
                      </w:divBdr>
                    </w:div>
                  </w:divsChild>
                </w:div>
                <w:div w:id="1120032458">
                  <w:marLeft w:val="0"/>
                  <w:marRight w:val="0"/>
                  <w:marTop w:val="0"/>
                  <w:marBottom w:val="0"/>
                  <w:divBdr>
                    <w:top w:val="none" w:sz="0" w:space="0" w:color="auto"/>
                    <w:left w:val="none" w:sz="0" w:space="0" w:color="auto"/>
                    <w:bottom w:val="none" w:sz="0" w:space="0" w:color="auto"/>
                    <w:right w:val="none" w:sz="0" w:space="0" w:color="auto"/>
                  </w:divBdr>
                  <w:divsChild>
                    <w:div w:id="17389392">
                      <w:marLeft w:val="0"/>
                      <w:marRight w:val="0"/>
                      <w:marTop w:val="0"/>
                      <w:marBottom w:val="0"/>
                      <w:divBdr>
                        <w:top w:val="none" w:sz="0" w:space="0" w:color="auto"/>
                        <w:left w:val="none" w:sz="0" w:space="0" w:color="auto"/>
                        <w:bottom w:val="none" w:sz="0" w:space="0" w:color="auto"/>
                        <w:right w:val="none" w:sz="0" w:space="0" w:color="auto"/>
                      </w:divBdr>
                    </w:div>
                  </w:divsChild>
                </w:div>
                <w:div w:id="1398895868">
                  <w:marLeft w:val="0"/>
                  <w:marRight w:val="0"/>
                  <w:marTop w:val="0"/>
                  <w:marBottom w:val="0"/>
                  <w:divBdr>
                    <w:top w:val="none" w:sz="0" w:space="0" w:color="auto"/>
                    <w:left w:val="none" w:sz="0" w:space="0" w:color="auto"/>
                    <w:bottom w:val="none" w:sz="0" w:space="0" w:color="auto"/>
                    <w:right w:val="none" w:sz="0" w:space="0" w:color="auto"/>
                  </w:divBdr>
                  <w:divsChild>
                    <w:div w:id="79446993">
                      <w:marLeft w:val="0"/>
                      <w:marRight w:val="0"/>
                      <w:marTop w:val="0"/>
                      <w:marBottom w:val="0"/>
                      <w:divBdr>
                        <w:top w:val="none" w:sz="0" w:space="0" w:color="auto"/>
                        <w:left w:val="none" w:sz="0" w:space="0" w:color="auto"/>
                        <w:bottom w:val="none" w:sz="0" w:space="0" w:color="auto"/>
                        <w:right w:val="none" w:sz="0" w:space="0" w:color="auto"/>
                      </w:divBdr>
                    </w:div>
                  </w:divsChild>
                </w:div>
                <w:div w:id="1586107275">
                  <w:marLeft w:val="0"/>
                  <w:marRight w:val="0"/>
                  <w:marTop w:val="0"/>
                  <w:marBottom w:val="0"/>
                  <w:divBdr>
                    <w:top w:val="none" w:sz="0" w:space="0" w:color="auto"/>
                    <w:left w:val="none" w:sz="0" w:space="0" w:color="auto"/>
                    <w:bottom w:val="none" w:sz="0" w:space="0" w:color="auto"/>
                    <w:right w:val="none" w:sz="0" w:space="0" w:color="auto"/>
                  </w:divBdr>
                  <w:divsChild>
                    <w:div w:id="1002122142">
                      <w:marLeft w:val="0"/>
                      <w:marRight w:val="0"/>
                      <w:marTop w:val="0"/>
                      <w:marBottom w:val="0"/>
                      <w:divBdr>
                        <w:top w:val="none" w:sz="0" w:space="0" w:color="auto"/>
                        <w:left w:val="none" w:sz="0" w:space="0" w:color="auto"/>
                        <w:bottom w:val="none" w:sz="0" w:space="0" w:color="auto"/>
                        <w:right w:val="none" w:sz="0" w:space="0" w:color="auto"/>
                      </w:divBdr>
                    </w:div>
                  </w:divsChild>
                </w:div>
                <w:div w:id="1709641040">
                  <w:marLeft w:val="0"/>
                  <w:marRight w:val="0"/>
                  <w:marTop w:val="0"/>
                  <w:marBottom w:val="0"/>
                  <w:divBdr>
                    <w:top w:val="none" w:sz="0" w:space="0" w:color="auto"/>
                    <w:left w:val="none" w:sz="0" w:space="0" w:color="auto"/>
                    <w:bottom w:val="none" w:sz="0" w:space="0" w:color="auto"/>
                    <w:right w:val="none" w:sz="0" w:space="0" w:color="auto"/>
                  </w:divBdr>
                  <w:divsChild>
                    <w:div w:id="1273318878">
                      <w:marLeft w:val="0"/>
                      <w:marRight w:val="0"/>
                      <w:marTop w:val="0"/>
                      <w:marBottom w:val="0"/>
                      <w:divBdr>
                        <w:top w:val="none" w:sz="0" w:space="0" w:color="auto"/>
                        <w:left w:val="none" w:sz="0" w:space="0" w:color="auto"/>
                        <w:bottom w:val="none" w:sz="0" w:space="0" w:color="auto"/>
                        <w:right w:val="none" w:sz="0" w:space="0" w:color="auto"/>
                      </w:divBdr>
                    </w:div>
                  </w:divsChild>
                </w:div>
                <w:div w:id="1836456414">
                  <w:marLeft w:val="0"/>
                  <w:marRight w:val="0"/>
                  <w:marTop w:val="0"/>
                  <w:marBottom w:val="0"/>
                  <w:divBdr>
                    <w:top w:val="none" w:sz="0" w:space="0" w:color="auto"/>
                    <w:left w:val="none" w:sz="0" w:space="0" w:color="auto"/>
                    <w:bottom w:val="none" w:sz="0" w:space="0" w:color="auto"/>
                    <w:right w:val="none" w:sz="0" w:space="0" w:color="auto"/>
                  </w:divBdr>
                  <w:divsChild>
                    <w:div w:id="29290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854816">
      <w:bodyDiv w:val="1"/>
      <w:marLeft w:val="0"/>
      <w:marRight w:val="0"/>
      <w:marTop w:val="0"/>
      <w:marBottom w:val="0"/>
      <w:divBdr>
        <w:top w:val="none" w:sz="0" w:space="0" w:color="auto"/>
        <w:left w:val="none" w:sz="0" w:space="0" w:color="auto"/>
        <w:bottom w:val="none" w:sz="0" w:space="0" w:color="auto"/>
        <w:right w:val="none" w:sz="0" w:space="0" w:color="auto"/>
      </w:divBdr>
    </w:div>
    <w:div w:id="425925292">
      <w:bodyDiv w:val="1"/>
      <w:marLeft w:val="0"/>
      <w:marRight w:val="0"/>
      <w:marTop w:val="0"/>
      <w:marBottom w:val="0"/>
      <w:divBdr>
        <w:top w:val="none" w:sz="0" w:space="0" w:color="auto"/>
        <w:left w:val="none" w:sz="0" w:space="0" w:color="auto"/>
        <w:bottom w:val="none" w:sz="0" w:space="0" w:color="auto"/>
        <w:right w:val="none" w:sz="0" w:space="0" w:color="auto"/>
      </w:divBdr>
    </w:div>
    <w:div w:id="432291147">
      <w:bodyDiv w:val="1"/>
      <w:marLeft w:val="0"/>
      <w:marRight w:val="0"/>
      <w:marTop w:val="0"/>
      <w:marBottom w:val="0"/>
      <w:divBdr>
        <w:top w:val="none" w:sz="0" w:space="0" w:color="auto"/>
        <w:left w:val="none" w:sz="0" w:space="0" w:color="auto"/>
        <w:bottom w:val="none" w:sz="0" w:space="0" w:color="auto"/>
        <w:right w:val="none" w:sz="0" w:space="0" w:color="auto"/>
      </w:divBdr>
    </w:div>
    <w:div w:id="436875181">
      <w:bodyDiv w:val="1"/>
      <w:marLeft w:val="0"/>
      <w:marRight w:val="0"/>
      <w:marTop w:val="0"/>
      <w:marBottom w:val="0"/>
      <w:divBdr>
        <w:top w:val="none" w:sz="0" w:space="0" w:color="auto"/>
        <w:left w:val="none" w:sz="0" w:space="0" w:color="auto"/>
        <w:bottom w:val="none" w:sz="0" w:space="0" w:color="auto"/>
        <w:right w:val="none" w:sz="0" w:space="0" w:color="auto"/>
      </w:divBdr>
    </w:div>
    <w:div w:id="443423517">
      <w:bodyDiv w:val="1"/>
      <w:marLeft w:val="0"/>
      <w:marRight w:val="0"/>
      <w:marTop w:val="0"/>
      <w:marBottom w:val="0"/>
      <w:divBdr>
        <w:top w:val="none" w:sz="0" w:space="0" w:color="auto"/>
        <w:left w:val="none" w:sz="0" w:space="0" w:color="auto"/>
        <w:bottom w:val="none" w:sz="0" w:space="0" w:color="auto"/>
        <w:right w:val="none" w:sz="0" w:space="0" w:color="auto"/>
      </w:divBdr>
      <w:divsChild>
        <w:div w:id="22900294">
          <w:marLeft w:val="0"/>
          <w:marRight w:val="0"/>
          <w:marTop w:val="0"/>
          <w:marBottom w:val="0"/>
          <w:divBdr>
            <w:top w:val="none" w:sz="0" w:space="0" w:color="auto"/>
            <w:left w:val="none" w:sz="0" w:space="0" w:color="auto"/>
            <w:bottom w:val="none" w:sz="0" w:space="0" w:color="auto"/>
            <w:right w:val="none" w:sz="0" w:space="0" w:color="auto"/>
          </w:divBdr>
        </w:div>
        <w:div w:id="306781704">
          <w:marLeft w:val="0"/>
          <w:marRight w:val="0"/>
          <w:marTop w:val="0"/>
          <w:marBottom w:val="0"/>
          <w:divBdr>
            <w:top w:val="none" w:sz="0" w:space="0" w:color="auto"/>
            <w:left w:val="none" w:sz="0" w:space="0" w:color="auto"/>
            <w:bottom w:val="none" w:sz="0" w:space="0" w:color="auto"/>
            <w:right w:val="none" w:sz="0" w:space="0" w:color="auto"/>
          </w:divBdr>
        </w:div>
        <w:div w:id="475295935">
          <w:marLeft w:val="0"/>
          <w:marRight w:val="0"/>
          <w:marTop w:val="0"/>
          <w:marBottom w:val="0"/>
          <w:divBdr>
            <w:top w:val="none" w:sz="0" w:space="0" w:color="auto"/>
            <w:left w:val="none" w:sz="0" w:space="0" w:color="auto"/>
            <w:bottom w:val="none" w:sz="0" w:space="0" w:color="auto"/>
            <w:right w:val="none" w:sz="0" w:space="0" w:color="auto"/>
          </w:divBdr>
        </w:div>
        <w:div w:id="888879769">
          <w:marLeft w:val="0"/>
          <w:marRight w:val="0"/>
          <w:marTop w:val="0"/>
          <w:marBottom w:val="0"/>
          <w:divBdr>
            <w:top w:val="none" w:sz="0" w:space="0" w:color="auto"/>
            <w:left w:val="none" w:sz="0" w:space="0" w:color="auto"/>
            <w:bottom w:val="none" w:sz="0" w:space="0" w:color="auto"/>
            <w:right w:val="none" w:sz="0" w:space="0" w:color="auto"/>
          </w:divBdr>
        </w:div>
        <w:div w:id="989410262">
          <w:marLeft w:val="0"/>
          <w:marRight w:val="0"/>
          <w:marTop w:val="0"/>
          <w:marBottom w:val="0"/>
          <w:divBdr>
            <w:top w:val="none" w:sz="0" w:space="0" w:color="auto"/>
            <w:left w:val="none" w:sz="0" w:space="0" w:color="auto"/>
            <w:bottom w:val="none" w:sz="0" w:space="0" w:color="auto"/>
            <w:right w:val="none" w:sz="0" w:space="0" w:color="auto"/>
          </w:divBdr>
        </w:div>
        <w:div w:id="1156341444">
          <w:marLeft w:val="0"/>
          <w:marRight w:val="0"/>
          <w:marTop w:val="0"/>
          <w:marBottom w:val="0"/>
          <w:divBdr>
            <w:top w:val="none" w:sz="0" w:space="0" w:color="auto"/>
            <w:left w:val="none" w:sz="0" w:space="0" w:color="auto"/>
            <w:bottom w:val="none" w:sz="0" w:space="0" w:color="auto"/>
            <w:right w:val="none" w:sz="0" w:space="0" w:color="auto"/>
          </w:divBdr>
        </w:div>
        <w:div w:id="1732920065">
          <w:marLeft w:val="0"/>
          <w:marRight w:val="0"/>
          <w:marTop w:val="0"/>
          <w:marBottom w:val="0"/>
          <w:divBdr>
            <w:top w:val="none" w:sz="0" w:space="0" w:color="auto"/>
            <w:left w:val="none" w:sz="0" w:space="0" w:color="auto"/>
            <w:bottom w:val="none" w:sz="0" w:space="0" w:color="auto"/>
            <w:right w:val="none" w:sz="0" w:space="0" w:color="auto"/>
          </w:divBdr>
        </w:div>
        <w:div w:id="1881279633">
          <w:marLeft w:val="0"/>
          <w:marRight w:val="0"/>
          <w:marTop w:val="0"/>
          <w:marBottom w:val="0"/>
          <w:divBdr>
            <w:top w:val="none" w:sz="0" w:space="0" w:color="auto"/>
            <w:left w:val="none" w:sz="0" w:space="0" w:color="auto"/>
            <w:bottom w:val="none" w:sz="0" w:space="0" w:color="auto"/>
            <w:right w:val="none" w:sz="0" w:space="0" w:color="auto"/>
          </w:divBdr>
        </w:div>
        <w:div w:id="2098596747">
          <w:marLeft w:val="0"/>
          <w:marRight w:val="0"/>
          <w:marTop w:val="0"/>
          <w:marBottom w:val="0"/>
          <w:divBdr>
            <w:top w:val="none" w:sz="0" w:space="0" w:color="auto"/>
            <w:left w:val="none" w:sz="0" w:space="0" w:color="auto"/>
            <w:bottom w:val="none" w:sz="0" w:space="0" w:color="auto"/>
            <w:right w:val="none" w:sz="0" w:space="0" w:color="auto"/>
          </w:divBdr>
        </w:div>
      </w:divsChild>
    </w:div>
    <w:div w:id="484782030">
      <w:bodyDiv w:val="1"/>
      <w:marLeft w:val="0"/>
      <w:marRight w:val="0"/>
      <w:marTop w:val="0"/>
      <w:marBottom w:val="0"/>
      <w:divBdr>
        <w:top w:val="none" w:sz="0" w:space="0" w:color="auto"/>
        <w:left w:val="none" w:sz="0" w:space="0" w:color="auto"/>
        <w:bottom w:val="none" w:sz="0" w:space="0" w:color="auto"/>
        <w:right w:val="none" w:sz="0" w:space="0" w:color="auto"/>
      </w:divBdr>
      <w:divsChild>
        <w:div w:id="2097748878">
          <w:marLeft w:val="0"/>
          <w:marRight w:val="0"/>
          <w:marTop w:val="0"/>
          <w:marBottom w:val="0"/>
          <w:divBdr>
            <w:top w:val="none" w:sz="0" w:space="0" w:color="auto"/>
            <w:left w:val="none" w:sz="0" w:space="0" w:color="auto"/>
            <w:bottom w:val="none" w:sz="0" w:space="0" w:color="auto"/>
            <w:right w:val="none" w:sz="0" w:space="0" w:color="auto"/>
          </w:divBdr>
        </w:div>
      </w:divsChild>
    </w:div>
    <w:div w:id="537935157">
      <w:bodyDiv w:val="1"/>
      <w:marLeft w:val="0"/>
      <w:marRight w:val="0"/>
      <w:marTop w:val="0"/>
      <w:marBottom w:val="0"/>
      <w:divBdr>
        <w:top w:val="none" w:sz="0" w:space="0" w:color="auto"/>
        <w:left w:val="none" w:sz="0" w:space="0" w:color="auto"/>
        <w:bottom w:val="none" w:sz="0" w:space="0" w:color="auto"/>
        <w:right w:val="none" w:sz="0" w:space="0" w:color="auto"/>
      </w:divBdr>
      <w:divsChild>
        <w:div w:id="100300461">
          <w:marLeft w:val="0"/>
          <w:marRight w:val="0"/>
          <w:marTop w:val="0"/>
          <w:marBottom w:val="0"/>
          <w:divBdr>
            <w:top w:val="none" w:sz="0" w:space="0" w:color="auto"/>
            <w:left w:val="none" w:sz="0" w:space="0" w:color="auto"/>
            <w:bottom w:val="none" w:sz="0" w:space="0" w:color="auto"/>
            <w:right w:val="none" w:sz="0" w:space="0" w:color="auto"/>
          </w:divBdr>
        </w:div>
        <w:div w:id="159657079">
          <w:marLeft w:val="0"/>
          <w:marRight w:val="0"/>
          <w:marTop w:val="0"/>
          <w:marBottom w:val="0"/>
          <w:divBdr>
            <w:top w:val="none" w:sz="0" w:space="0" w:color="auto"/>
            <w:left w:val="none" w:sz="0" w:space="0" w:color="auto"/>
            <w:bottom w:val="none" w:sz="0" w:space="0" w:color="auto"/>
            <w:right w:val="none" w:sz="0" w:space="0" w:color="auto"/>
          </w:divBdr>
        </w:div>
        <w:div w:id="620192676">
          <w:marLeft w:val="0"/>
          <w:marRight w:val="0"/>
          <w:marTop w:val="0"/>
          <w:marBottom w:val="0"/>
          <w:divBdr>
            <w:top w:val="none" w:sz="0" w:space="0" w:color="auto"/>
            <w:left w:val="none" w:sz="0" w:space="0" w:color="auto"/>
            <w:bottom w:val="none" w:sz="0" w:space="0" w:color="auto"/>
            <w:right w:val="none" w:sz="0" w:space="0" w:color="auto"/>
          </w:divBdr>
        </w:div>
        <w:div w:id="630014692">
          <w:marLeft w:val="0"/>
          <w:marRight w:val="0"/>
          <w:marTop w:val="0"/>
          <w:marBottom w:val="0"/>
          <w:divBdr>
            <w:top w:val="none" w:sz="0" w:space="0" w:color="auto"/>
            <w:left w:val="none" w:sz="0" w:space="0" w:color="auto"/>
            <w:bottom w:val="none" w:sz="0" w:space="0" w:color="auto"/>
            <w:right w:val="none" w:sz="0" w:space="0" w:color="auto"/>
          </w:divBdr>
        </w:div>
        <w:div w:id="720708318">
          <w:marLeft w:val="0"/>
          <w:marRight w:val="0"/>
          <w:marTop w:val="0"/>
          <w:marBottom w:val="0"/>
          <w:divBdr>
            <w:top w:val="none" w:sz="0" w:space="0" w:color="auto"/>
            <w:left w:val="none" w:sz="0" w:space="0" w:color="auto"/>
            <w:bottom w:val="none" w:sz="0" w:space="0" w:color="auto"/>
            <w:right w:val="none" w:sz="0" w:space="0" w:color="auto"/>
          </w:divBdr>
        </w:div>
        <w:div w:id="883827978">
          <w:marLeft w:val="0"/>
          <w:marRight w:val="0"/>
          <w:marTop w:val="0"/>
          <w:marBottom w:val="0"/>
          <w:divBdr>
            <w:top w:val="none" w:sz="0" w:space="0" w:color="auto"/>
            <w:left w:val="none" w:sz="0" w:space="0" w:color="auto"/>
            <w:bottom w:val="none" w:sz="0" w:space="0" w:color="auto"/>
            <w:right w:val="none" w:sz="0" w:space="0" w:color="auto"/>
          </w:divBdr>
        </w:div>
        <w:div w:id="1042942347">
          <w:marLeft w:val="0"/>
          <w:marRight w:val="0"/>
          <w:marTop w:val="0"/>
          <w:marBottom w:val="0"/>
          <w:divBdr>
            <w:top w:val="none" w:sz="0" w:space="0" w:color="auto"/>
            <w:left w:val="none" w:sz="0" w:space="0" w:color="auto"/>
            <w:bottom w:val="none" w:sz="0" w:space="0" w:color="auto"/>
            <w:right w:val="none" w:sz="0" w:space="0" w:color="auto"/>
          </w:divBdr>
        </w:div>
        <w:div w:id="1384601926">
          <w:marLeft w:val="0"/>
          <w:marRight w:val="0"/>
          <w:marTop w:val="0"/>
          <w:marBottom w:val="0"/>
          <w:divBdr>
            <w:top w:val="none" w:sz="0" w:space="0" w:color="auto"/>
            <w:left w:val="none" w:sz="0" w:space="0" w:color="auto"/>
            <w:bottom w:val="none" w:sz="0" w:space="0" w:color="auto"/>
            <w:right w:val="none" w:sz="0" w:space="0" w:color="auto"/>
          </w:divBdr>
        </w:div>
        <w:div w:id="1537816928">
          <w:marLeft w:val="0"/>
          <w:marRight w:val="0"/>
          <w:marTop w:val="0"/>
          <w:marBottom w:val="0"/>
          <w:divBdr>
            <w:top w:val="none" w:sz="0" w:space="0" w:color="auto"/>
            <w:left w:val="none" w:sz="0" w:space="0" w:color="auto"/>
            <w:bottom w:val="none" w:sz="0" w:space="0" w:color="auto"/>
            <w:right w:val="none" w:sz="0" w:space="0" w:color="auto"/>
          </w:divBdr>
        </w:div>
        <w:div w:id="1569799280">
          <w:marLeft w:val="0"/>
          <w:marRight w:val="0"/>
          <w:marTop w:val="0"/>
          <w:marBottom w:val="0"/>
          <w:divBdr>
            <w:top w:val="none" w:sz="0" w:space="0" w:color="auto"/>
            <w:left w:val="none" w:sz="0" w:space="0" w:color="auto"/>
            <w:bottom w:val="none" w:sz="0" w:space="0" w:color="auto"/>
            <w:right w:val="none" w:sz="0" w:space="0" w:color="auto"/>
          </w:divBdr>
        </w:div>
        <w:div w:id="1873762208">
          <w:marLeft w:val="0"/>
          <w:marRight w:val="0"/>
          <w:marTop w:val="0"/>
          <w:marBottom w:val="0"/>
          <w:divBdr>
            <w:top w:val="none" w:sz="0" w:space="0" w:color="auto"/>
            <w:left w:val="none" w:sz="0" w:space="0" w:color="auto"/>
            <w:bottom w:val="none" w:sz="0" w:space="0" w:color="auto"/>
            <w:right w:val="none" w:sz="0" w:space="0" w:color="auto"/>
          </w:divBdr>
        </w:div>
        <w:div w:id="1971546324">
          <w:marLeft w:val="0"/>
          <w:marRight w:val="0"/>
          <w:marTop w:val="0"/>
          <w:marBottom w:val="0"/>
          <w:divBdr>
            <w:top w:val="none" w:sz="0" w:space="0" w:color="auto"/>
            <w:left w:val="none" w:sz="0" w:space="0" w:color="auto"/>
            <w:bottom w:val="none" w:sz="0" w:space="0" w:color="auto"/>
            <w:right w:val="none" w:sz="0" w:space="0" w:color="auto"/>
          </w:divBdr>
        </w:div>
      </w:divsChild>
    </w:div>
    <w:div w:id="578297538">
      <w:bodyDiv w:val="1"/>
      <w:marLeft w:val="0"/>
      <w:marRight w:val="0"/>
      <w:marTop w:val="0"/>
      <w:marBottom w:val="0"/>
      <w:divBdr>
        <w:top w:val="none" w:sz="0" w:space="0" w:color="auto"/>
        <w:left w:val="none" w:sz="0" w:space="0" w:color="auto"/>
        <w:bottom w:val="none" w:sz="0" w:space="0" w:color="auto"/>
        <w:right w:val="none" w:sz="0" w:space="0" w:color="auto"/>
      </w:divBdr>
    </w:div>
    <w:div w:id="611128573">
      <w:bodyDiv w:val="1"/>
      <w:marLeft w:val="0"/>
      <w:marRight w:val="0"/>
      <w:marTop w:val="0"/>
      <w:marBottom w:val="0"/>
      <w:divBdr>
        <w:top w:val="none" w:sz="0" w:space="0" w:color="auto"/>
        <w:left w:val="none" w:sz="0" w:space="0" w:color="auto"/>
        <w:bottom w:val="none" w:sz="0" w:space="0" w:color="auto"/>
        <w:right w:val="none" w:sz="0" w:space="0" w:color="auto"/>
      </w:divBdr>
    </w:div>
    <w:div w:id="718625753">
      <w:bodyDiv w:val="1"/>
      <w:marLeft w:val="0"/>
      <w:marRight w:val="0"/>
      <w:marTop w:val="0"/>
      <w:marBottom w:val="0"/>
      <w:divBdr>
        <w:top w:val="none" w:sz="0" w:space="0" w:color="auto"/>
        <w:left w:val="none" w:sz="0" w:space="0" w:color="auto"/>
        <w:bottom w:val="none" w:sz="0" w:space="0" w:color="auto"/>
        <w:right w:val="none" w:sz="0" w:space="0" w:color="auto"/>
      </w:divBdr>
      <w:divsChild>
        <w:div w:id="36513219">
          <w:marLeft w:val="0"/>
          <w:marRight w:val="0"/>
          <w:marTop w:val="0"/>
          <w:marBottom w:val="0"/>
          <w:divBdr>
            <w:top w:val="none" w:sz="0" w:space="0" w:color="auto"/>
            <w:left w:val="none" w:sz="0" w:space="0" w:color="auto"/>
            <w:bottom w:val="none" w:sz="0" w:space="0" w:color="auto"/>
            <w:right w:val="none" w:sz="0" w:space="0" w:color="auto"/>
          </w:divBdr>
        </w:div>
        <w:div w:id="119886766">
          <w:marLeft w:val="0"/>
          <w:marRight w:val="0"/>
          <w:marTop w:val="0"/>
          <w:marBottom w:val="0"/>
          <w:divBdr>
            <w:top w:val="none" w:sz="0" w:space="0" w:color="auto"/>
            <w:left w:val="none" w:sz="0" w:space="0" w:color="auto"/>
            <w:bottom w:val="none" w:sz="0" w:space="0" w:color="auto"/>
            <w:right w:val="none" w:sz="0" w:space="0" w:color="auto"/>
          </w:divBdr>
        </w:div>
        <w:div w:id="298732002">
          <w:marLeft w:val="0"/>
          <w:marRight w:val="0"/>
          <w:marTop w:val="0"/>
          <w:marBottom w:val="0"/>
          <w:divBdr>
            <w:top w:val="none" w:sz="0" w:space="0" w:color="auto"/>
            <w:left w:val="none" w:sz="0" w:space="0" w:color="auto"/>
            <w:bottom w:val="none" w:sz="0" w:space="0" w:color="auto"/>
            <w:right w:val="none" w:sz="0" w:space="0" w:color="auto"/>
          </w:divBdr>
        </w:div>
        <w:div w:id="1187984905">
          <w:marLeft w:val="0"/>
          <w:marRight w:val="0"/>
          <w:marTop w:val="0"/>
          <w:marBottom w:val="0"/>
          <w:divBdr>
            <w:top w:val="none" w:sz="0" w:space="0" w:color="auto"/>
            <w:left w:val="none" w:sz="0" w:space="0" w:color="auto"/>
            <w:bottom w:val="none" w:sz="0" w:space="0" w:color="auto"/>
            <w:right w:val="none" w:sz="0" w:space="0" w:color="auto"/>
          </w:divBdr>
        </w:div>
        <w:div w:id="1323244029">
          <w:marLeft w:val="0"/>
          <w:marRight w:val="0"/>
          <w:marTop w:val="0"/>
          <w:marBottom w:val="0"/>
          <w:divBdr>
            <w:top w:val="none" w:sz="0" w:space="0" w:color="auto"/>
            <w:left w:val="none" w:sz="0" w:space="0" w:color="auto"/>
            <w:bottom w:val="none" w:sz="0" w:space="0" w:color="auto"/>
            <w:right w:val="none" w:sz="0" w:space="0" w:color="auto"/>
          </w:divBdr>
        </w:div>
        <w:div w:id="2102139236">
          <w:marLeft w:val="0"/>
          <w:marRight w:val="0"/>
          <w:marTop w:val="0"/>
          <w:marBottom w:val="0"/>
          <w:divBdr>
            <w:top w:val="none" w:sz="0" w:space="0" w:color="auto"/>
            <w:left w:val="none" w:sz="0" w:space="0" w:color="auto"/>
            <w:bottom w:val="none" w:sz="0" w:space="0" w:color="auto"/>
            <w:right w:val="none" w:sz="0" w:space="0" w:color="auto"/>
          </w:divBdr>
        </w:div>
        <w:div w:id="2135757852">
          <w:marLeft w:val="0"/>
          <w:marRight w:val="0"/>
          <w:marTop w:val="0"/>
          <w:marBottom w:val="0"/>
          <w:divBdr>
            <w:top w:val="none" w:sz="0" w:space="0" w:color="auto"/>
            <w:left w:val="none" w:sz="0" w:space="0" w:color="auto"/>
            <w:bottom w:val="none" w:sz="0" w:space="0" w:color="auto"/>
            <w:right w:val="none" w:sz="0" w:space="0" w:color="auto"/>
          </w:divBdr>
        </w:div>
      </w:divsChild>
    </w:div>
    <w:div w:id="750584430">
      <w:bodyDiv w:val="1"/>
      <w:marLeft w:val="0"/>
      <w:marRight w:val="0"/>
      <w:marTop w:val="0"/>
      <w:marBottom w:val="0"/>
      <w:divBdr>
        <w:top w:val="none" w:sz="0" w:space="0" w:color="auto"/>
        <w:left w:val="none" w:sz="0" w:space="0" w:color="auto"/>
        <w:bottom w:val="none" w:sz="0" w:space="0" w:color="auto"/>
        <w:right w:val="none" w:sz="0" w:space="0" w:color="auto"/>
      </w:divBdr>
    </w:div>
    <w:div w:id="771054452">
      <w:bodyDiv w:val="1"/>
      <w:marLeft w:val="0"/>
      <w:marRight w:val="0"/>
      <w:marTop w:val="0"/>
      <w:marBottom w:val="0"/>
      <w:divBdr>
        <w:top w:val="none" w:sz="0" w:space="0" w:color="auto"/>
        <w:left w:val="none" w:sz="0" w:space="0" w:color="auto"/>
        <w:bottom w:val="none" w:sz="0" w:space="0" w:color="auto"/>
        <w:right w:val="none" w:sz="0" w:space="0" w:color="auto"/>
      </w:divBdr>
    </w:div>
    <w:div w:id="793518853">
      <w:bodyDiv w:val="1"/>
      <w:marLeft w:val="0"/>
      <w:marRight w:val="0"/>
      <w:marTop w:val="0"/>
      <w:marBottom w:val="0"/>
      <w:divBdr>
        <w:top w:val="none" w:sz="0" w:space="0" w:color="auto"/>
        <w:left w:val="none" w:sz="0" w:space="0" w:color="auto"/>
        <w:bottom w:val="none" w:sz="0" w:space="0" w:color="auto"/>
        <w:right w:val="none" w:sz="0" w:space="0" w:color="auto"/>
      </w:divBdr>
      <w:divsChild>
        <w:div w:id="519121488">
          <w:marLeft w:val="0"/>
          <w:marRight w:val="0"/>
          <w:marTop w:val="0"/>
          <w:marBottom w:val="0"/>
          <w:divBdr>
            <w:top w:val="none" w:sz="0" w:space="0" w:color="auto"/>
            <w:left w:val="none" w:sz="0" w:space="0" w:color="auto"/>
            <w:bottom w:val="none" w:sz="0" w:space="0" w:color="auto"/>
            <w:right w:val="none" w:sz="0" w:space="0" w:color="auto"/>
          </w:divBdr>
        </w:div>
        <w:div w:id="843712324">
          <w:marLeft w:val="0"/>
          <w:marRight w:val="0"/>
          <w:marTop w:val="0"/>
          <w:marBottom w:val="0"/>
          <w:divBdr>
            <w:top w:val="none" w:sz="0" w:space="0" w:color="auto"/>
            <w:left w:val="none" w:sz="0" w:space="0" w:color="auto"/>
            <w:bottom w:val="none" w:sz="0" w:space="0" w:color="auto"/>
            <w:right w:val="none" w:sz="0" w:space="0" w:color="auto"/>
          </w:divBdr>
        </w:div>
        <w:div w:id="951933129">
          <w:marLeft w:val="0"/>
          <w:marRight w:val="0"/>
          <w:marTop w:val="0"/>
          <w:marBottom w:val="0"/>
          <w:divBdr>
            <w:top w:val="none" w:sz="0" w:space="0" w:color="auto"/>
            <w:left w:val="none" w:sz="0" w:space="0" w:color="auto"/>
            <w:bottom w:val="none" w:sz="0" w:space="0" w:color="auto"/>
            <w:right w:val="none" w:sz="0" w:space="0" w:color="auto"/>
          </w:divBdr>
        </w:div>
        <w:div w:id="1284270979">
          <w:marLeft w:val="0"/>
          <w:marRight w:val="0"/>
          <w:marTop w:val="0"/>
          <w:marBottom w:val="0"/>
          <w:divBdr>
            <w:top w:val="none" w:sz="0" w:space="0" w:color="auto"/>
            <w:left w:val="none" w:sz="0" w:space="0" w:color="auto"/>
            <w:bottom w:val="none" w:sz="0" w:space="0" w:color="auto"/>
            <w:right w:val="none" w:sz="0" w:space="0" w:color="auto"/>
          </w:divBdr>
        </w:div>
      </w:divsChild>
    </w:div>
    <w:div w:id="815031036">
      <w:bodyDiv w:val="1"/>
      <w:marLeft w:val="0"/>
      <w:marRight w:val="0"/>
      <w:marTop w:val="0"/>
      <w:marBottom w:val="0"/>
      <w:divBdr>
        <w:top w:val="none" w:sz="0" w:space="0" w:color="auto"/>
        <w:left w:val="none" w:sz="0" w:space="0" w:color="auto"/>
        <w:bottom w:val="none" w:sz="0" w:space="0" w:color="auto"/>
        <w:right w:val="none" w:sz="0" w:space="0" w:color="auto"/>
      </w:divBdr>
    </w:div>
    <w:div w:id="843667623">
      <w:bodyDiv w:val="1"/>
      <w:marLeft w:val="0"/>
      <w:marRight w:val="0"/>
      <w:marTop w:val="0"/>
      <w:marBottom w:val="0"/>
      <w:divBdr>
        <w:top w:val="none" w:sz="0" w:space="0" w:color="auto"/>
        <w:left w:val="none" w:sz="0" w:space="0" w:color="auto"/>
        <w:bottom w:val="none" w:sz="0" w:space="0" w:color="auto"/>
        <w:right w:val="none" w:sz="0" w:space="0" w:color="auto"/>
      </w:divBdr>
    </w:div>
    <w:div w:id="844511306">
      <w:bodyDiv w:val="1"/>
      <w:marLeft w:val="0"/>
      <w:marRight w:val="0"/>
      <w:marTop w:val="0"/>
      <w:marBottom w:val="0"/>
      <w:divBdr>
        <w:top w:val="none" w:sz="0" w:space="0" w:color="auto"/>
        <w:left w:val="none" w:sz="0" w:space="0" w:color="auto"/>
        <w:bottom w:val="none" w:sz="0" w:space="0" w:color="auto"/>
        <w:right w:val="none" w:sz="0" w:space="0" w:color="auto"/>
      </w:divBdr>
    </w:div>
    <w:div w:id="850149096">
      <w:bodyDiv w:val="1"/>
      <w:marLeft w:val="0"/>
      <w:marRight w:val="0"/>
      <w:marTop w:val="0"/>
      <w:marBottom w:val="0"/>
      <w:divBdr>
        <w:top w:val="none" w:sz="0" w:space="0" w:color="auto"/>
        <w:left w:val="none" w:sz="0" w:space="0" w:color="auto"/>
        <w:bottom w:val="none" w:sz="0" w:space="0" w:color="auto"/>
        <w:right w:val="none" w:sz="0" w:space="0" w:color="auto"/>
      </w:divBdr>
    </w:div>
    <w:div w:id="864488318">
      <w:bodyDiv w:val="1"/>
      <w:marLeft w:val="0"/>
      <w:marRight w:val="0"/>
      <w:marTop w:val="0"/>
      <w:marBottom w:val="0"/>
      <w:divBdr>
        <w:top w:val="none" w:sz="0" w:space="0" w:color="auto"/>
        <w:left w:val="none" w:sz="0" w:space="0" w:color="auto"/>
        <w:bottom w:val="none" w:sz="0" w:space="0" w:color="auto"/>
        <w:right w:val="none" w:sz="0" w:space="0" w:color="auto"/>
      </w:divBdr>
    </w:div>
    <w:div w:id="864639798">
      <w:bodyDiv w:val="1"/>
      <w:marLeft w:val="0"/>
      <w:marRight w:val="0"/>
      <w:marTop w:val="0"/>
      <w:marBottom w:val="0"/>
      <w:divBdr>
        <w:top w:val="none" w:sz="0" w:space="0" w:color="auto"/>
        <w:left w:val="none" w:sz="0" w:space="0" w:color="auto"/>
        <w:bottom w:val="none" w:sz="0" w:space="0" w:color="auto"/>
        <w:right w:val="none" w:sz="0" w:space="0" w:color="auto"/>
      </w:divBdr>
      <w:divsChild>
        <w:div w:id="38676191">
          <w:marLeft w:val="0"/>
          <w:marRight w:val="0"/>
          <w:marTop w:val="0"/>
          <w:marBottom w:val="0"/>
          <w:divBdr>
            <w:top w:val="none" w:sz="0" w:space="0" w:color="auto"/>
            <w:left w:val="none" w:sz="0" w:space="0" w:color="auto"/>
            <w:bottom w:val="none" w:sz="0" w:space="0" w:color="auto"/>
            <w:right w:val="none" w:sz="0" w:space="0" w:color="auto"/>
          </w:divBdr>
        </w:div>
        <w:div w:id="53358633">
          <w:marLeft w:val="0"/>
          <w:marRight w:val="0"/>
          <w:marTop w:val="0"/>
          <w:marBottom w:val="0"/>
          <w:divBdr>
            <w:top w:val="none" w:sz="0" w:space="0" w:color="auto"/>
            <w:left w:val="none" w:sz="0" w:space="0" w:color="auto"/>
            <w:bottom w:val="none" w:sz="0" w:space="0" w:color="auto"/>
            <w:right w:val="none" w:sz="0" w:space="0" w:color="auto"/>
          </w:divBdr>
        </w:div>
        <w:div w:id="156117234">
          <w:marLeft w:val="0"/>
          <w:marRight w:val="0"/>
          <w:marTop w:val="0"/>
          <w:marBottom w:val="0"/>
          <w:divBdr>
            <w:top w:val="none" w:sz="0" w:space="0" w:color="auto"/>
            <w:left w:val="none" w:sz="0" w:space="0" w:color="auto"/>
            <w:bottom w:val="none" w:sz="0" w:space="0" w:color="auto"/>
            <w:right w:val="none" w:sz="0" w:space="0" w:color="auto"/>
          </w:divBdr>
        </w:div>
        <w:div w:id="351273003">
          <w:marLeft w:val="0"/>
          <w:marRight w:val="0"/>
          <w:marTop w:val="0"/>
          <w:marBottom w:val="0"/>
          <w:divBdr>
            <w:top w:val="none" w:sz="0" w:space="0" w:color="auto"/>
            <w:left w:val="none" w:sz="0" w:space="0" w:color="auto"/>
            <w:bottom w:val="none" w:sz="0" w:space="0" w:color="auto"/>
            <w:right w:val="none" w:sz="0" w:space="0" w:color="auto"/>
          </w:divBdr>
        </w:div>
        <w:div w:id="852692807">
          <w:marLeft w:val="0"/>
          <w:marRight w:val="0"/>
          <w:marTop w:val="0"/>
          <w:marBottom w:val="0"/>
          <w:divBdr>
            <w:top w:val="none" w:sz="0" w:space="0" w:color="auto"/>
            <w:left w:val="none" w:sz="0" w:space="0" w:color="auto"/>
            <w:bottom w:val="none" w:sz="0" w:space="0" w:color="auto"/>
            <w:right w:val="none" w:sz="0" w:space="0" w:color="auto"/>
          </w:divBdr>
        </w:div>
        <w:div w:id="920066670">
          <w:marLeft w:val="0"/>
          <w:marRight w:val="0"/>
          <w:marTop w:val="0"/>
          <w:marBottom w:val="0"/>
          <w:divBdr>
            <w:top w:val="none" w:sz="0" w:space="0" w:color="auto"/>
            <w:left w:val="none" w:sz="0" w:space="0" w:color="auto"/>
            <w:bottom w:val="none" w:sz="0" w:space="0" w:color="auto"/>
            <w:right w:val="none" w:sz="0" w:space="0" w:color="auto"/>
          </w:divBdr>
        </w:div>
        <w:div w:id="1117411669">
          <w:marLeft w:val="0"/>
          <w:marRight w:val="0"/>
          <w:marTop w:val="0"/>
          <w:marBottom w:val="0"/>
          <w:divBdr>
            <w:top w:val="none" w:sz="0" w:space="0" w:color="auto"/>
            <w:left w:val="none" w:sz="0" w:space="0" w:color="auto"/>
            <w:bottom w:val="none" w:sz="0" w:space="0" w:color="auto"/>
            <w:right w:val="none" w:sz="0" w:space="0" w:color="auto"/>
          </w:divBdr>
        </w:div>
        <w:div w:id="1415980567">
          <w:marLeft w:val="0"/>
          <w:marRight w:val="0"/>
          <w:marTop w:val="0"/>
          <w:marBottom w:val="0"/>
          <w:divBdr>
            <w:top w:val="none" w:sz="0" w:space="0" w:color="auto"/>
            <w:left w:val="none" w:sz="0" w:space="0" w:color="auto"/>
            <w:bottom w:val="none" w:sz="0" w:space="0" w:color="auto"/>
            <w:right w:val="none" w:sz="0" w:space="0" w:color="auto"/>
          </w:divBdr>
        </w:div>
        <w:div w:id="1424953669">
          <w:marLeft w:val="0"/>
          <w:marRight w:val="0"/>
          <w:marTop w:val="0"/>
          <w:marBottom w:val="0"/>
          <w:divBdr>
            <w:top w:val="none" w:sz="0" w:space="0" w:color="auto"/>
            <w:left w:val="none" w:sz="0" w:space="0" w:color="auto"/>
            <w:bottom w:val="none" w:sz="0" w:space="0" w:color="auto"/>
            <w:right w:val="none" w:sz="0" w:space="0" w:color="auto"/>
          </w:divBdr>
        </w:div>
        <w:div w:id="1568300532">
          <w:marLeft w:val="0"/>
          <w:marRight w:val="0"/>
          <w:marTop w:val="0"/>
          <w:marBottom w:val="0"/>
          <w:divBdr>
            <w:top w:val="none" w:sz="0" w:space="0" w:color="auto"/>
            <w:left w:val="none" w:sz="0" w:space="0" w:color="auto"/>
            <w:bottom w:val="none" w:sz="0" w:space="0" w:color="auto"/>
            <w:right w:val="none" w:sz="0" w:space="0" w:color="auto"/>
          </w:divBdr>
        </w:div>
        <w:div w:id="1588533560">
          <w:marLeft w:val="0"/>
          <w:marRight w:val="0"/>
          <w:marTop w:val="0"/>
          <w:marBottom w:val="0"/>
          <w:divBdr>
            <w:top w:val="none" w:sz="0" w:space="0" w:color="auto"/>
            <w:left w:val="none" w:sz="0" w:space="0" w:color="auto"/>
            <w:bottom w:val="none" w:sz="0" w:space="0" w:color="auto"/>
            <w:right w:val="none" w:sz="0" w:space="0" w:color="auto"/>
          </w:divBdr>
        </w:div>
        <w:div w:id="1779913395">
          <w:marLeft w:val="0"/>
          <w:marRight w:val="0"/>
          <w:marTop w:val="0"/>
          <w:marBottom w:val="0"/>
          <w:divBdr>
            <w:top w:val="none" w:sz="0" w:space="0" w:color="auto"/>
            <w:left w:val="none" w:sz="0" w:space="0" w:color="auto"/>
            <w:bottom w:val="none" w:sz="0" w:space="0" w:color="auto"/>
            <w:right w:val="none" w:sz="0" w:space="0" w:color="auto"/>
          </w:divBdr>
        </w:div>
        <w:div w:id="1916275660">
          <w:marLeft w:val="0"/>
          <w:marRight w:val="0"/>
          <w:marTop w:val="0"/>
          <w:marBottom w:val="0"/>
          <w:divBdr>
            <w:top w:val="none" w:sz="0" w:space="0" w:color="auto"/>
            <w:left w:val="none" w:sz="0" w:space="0" w:color="auto"/>
            <w:bottom w:val="none" w:sz="0" w:space="0" w:color="auto"/>
            <w:right w:val="none" w:sz="0" w:space="0" w:color="auto"/>
          </w:divBdr>
        </w:div>
        <w:div w:id="1991251356">
          <w:marLeft w:val="0"/>
          <w:marRight w:val="0"/>
          <w:marTop w:val="0"/>
          <w:marBottom w:val="0"/>
          <w:divBdr>
            <w:top w:val="none" w:sz="0" w:space="0" w:color="auto"/>
            <w:left w:val="none" w:sz="0" w:space="0" w:color="auto"/>
            <w:bottom w:val="none" w:sz="0" w:space="0" w:color="auto"/>
            <w:right w:val="none" w:sz="0" w:space="0" w:color="auto"/>
          </w:divBdr>
        </w:div>
      </w:divsChild>
    </w:div>
    <w:div w:id="885606477">
      <w:bodyDiv w:val="1"/>
      <w:marLeft w:val="0"/>
      <w:marRight w:val="0"/>
      <w:marTop w:val="0"/>
      <w:marBottom w:val="0"/>
      <w:divBdr>
        <w:top w:val="none" w:sz="0" w:space="0" w:color="auto"/>
        <w:left w:val="none" w:sz="0" w:space="0" w:color="auto"/>
        <w:bottom w:val="none" w:sz="0" w:space="0" w:color="auto"/>
        <w:right w:val="none" w:sz="0" w:space="0" w:color="auto"/>
      </w:divBdr>
      <w:divsChild>
        <w:div w:id="2634453">
          <w:marLeft w:val="0"/>
          <w:marRight w:val="0"/>
          <w:marTop w:val="0"/>
          <w:marBottom w:val="0"/>
          <w:divBdr>
            <w:top w:val="none" w:sz="0" w:space="0" w:color="auto"/>
            <w:left w:val="none" w:sz="0" w:space="0" w:color="auto"/>
            <w:bottom w:val="none" w:sz="0" w:space="0" w:color="auto"/>
            <w:right w:val="none" w:sz="0" w:space="0" w:color="auto"/>
          </w:divBdr>
        </w:div>
        <w:div w:id="39062569">
          <w:marLeft w:val="0"/>
          <w:marRight w:val="0"/>
          <w:marTop w:val="0"/>
          <w:marBottom w:val="0"/>
          <w:divBdr>
            <w:top w:val="none" w:sz="0" w:space="0" w:color="auto"/>
            <w:left w:val="none" w:sz="0" w:space="0" w:color="auto"/>
            <w:bottom w:val="none" w:sz="0" w:space="0" w:color="auto"/>
            <w:right w:val="none" w:sz="0" w:space="0" w:color="auto"/>
          </w:divBdr>
        </w:div>
        <w:div w:id="57562462">
          <w:marLeft w:val="0"/>
          <w:marRight w:val="0"/>
          <w:marTop w:val="0"/>
          <w:marBottom w:val="0"/>
          <w:divBdr>
            <w:top w:val="none" w:sz="0" w:space="0" w:color="auto"/>
            <w:left w:val="none" w:sz="0" w:space="0" w:color="auto"/>
            <w:bottom w:val="none" w:sz="0" w:space="0" w:color="auto"/>
            <w:right w:val="none" w:sz="0" w:space="0" w:color="auto"/>
          </w:divBdr>
        </w:div>
        <w:div w:id="123500032">
          <w:marLeft w:val="0"/>
          <w:marRight w:val="0"/>
          <w:marTop w:val="0"/>
          <w:marBottom w:val="0"/>
          <w:divBdr>
            <w:top w:val="none" w:sz="0" w:space="0" w:color="auto"/>
            <w:left w:val="none" w:sz="0" w:space="0" w:color="auto"/>
            <w:bottom w:val="none" w:sz="0" w:space="0" w:color="auto"/>
            <w:right w:val="none" w:sz="0" w:space="0" w:color="auto"/>
          </w:divBdr>
        </w:div>
        <w:div w:id="124934951">
          <w:marLeft w:val="0"/>
          <w:marRight w:val="0"/>
          <w:marTop w:val="0"/>
          <w:marBottom w:val="0"/>
          <w:divBdr>
            <w:top w:val="none" w:sz="0" w:space="0" w:color="auto"/>
            <w:left w:val="none" w:sz="0" w:space="0" w:color="auto"/>
            <w:bottom w:val="none" w:sz="0" w:space="0" w:color="auto"/>
            <w:right w:val="none" w:sz="0" w:space="0" w:color="auto"/>
          </w:divBdr>
        </w:div>
        <w:div w:id="144014776">
          <w:marLeft w:val="0"/>
          <w:marRight w:val="0"/>
          <w:marTop w:val="0"/>
          <w:marBottom w:val="0"/>
          <w:divBdr>
            <w:top w:val="none" w:sz="0" w:space="0" w:color="auto"/>
            <w:left w:val="none" w:sz="0" w:space="0" w:color="auto"/>
            <w:bottom w:val="none" w:sz="0" w:space="0" w:color="auto"/>
            <w:right w:val="none" w:sz="0" w:space="0" w:color="auto"/>
          </w:divBdr>
        </w:div>
        <w:div w:id="253367658">
          <w:marLeft w:val="0"/>
          <w:marRight w:val="0"/>
          <w:marTop w:val="0"/>
          <w:marBottom w:val="0"/>
          <w:divBdr>
            <w:top w:val="none" w:sz="0" w:space="0" w:color="auto"/>
            <w:left w:val="none" w:sz="0" w:space="0" w:color="auto"/>
            <w:bottom w:val="none" w:sz="0" w:space="0" w:color="auto"/>
            <w:right w:val="none" w:sz="0" w:space="0" w:color="auto"/>
          </w:divBdr>
        </w:div>
        <w:div w:id="313917707">
          <w:marLeft w:val="0"/>
          <w:marRight w:val="0"/>
          <w:marTop w:val="0"/>
          <w:marBottom w:val="0"/>
          <w:divBdr>
            <w:top w:val="none" w:sz="0" w:space="0" w:color="auto"/>
            <w:left w:val="none" w:sz="0" w:space="0" w:color="auto"/>
            <w:bottom w:val="none" w:sz="0" w:space="0" w:color="auto"/>
            <w:right w:val="none" w:sz="0" w:space="0" w:color="auto"/>
          </w:divBdr>
        </w:div>
        <w:div w:id="436752601">
          <w:marLeft w:val="0"/>
          <w:marRight w:val="0"/>
          <w:marTop w:val="0"/>
          <w:marBottom w:val="0"/>
          <w:divBdr>
            <w:top w:val="none" w:sz="0" w:space="0" w:color="auto"/>
            <w:left w:val="none" w:sz="0" w:space="0" w:color="auto"/>
            <w:bottom w:val="none" w:sz="0" w:space="0" w:color="auto"/>
            <w:right w:val="none" w:sz="0" w:space="0" w:color="auto"/>
          </w:divBdr>
        </w:div>
        <w:div w:id="436995366">
          <w:marLeft w:val="0"/>
          <w:marRight w:val="0"/>
          <w:marTop w:val="0"/>
          <w:marBottom w:val="0"/>
          <w:divBdr>
            <w:top w:val="none" w:sz="0" w:space="0" w:color="auto"/>
            <w:left w:val="none" w:sz="0" w:space="0" w:color="auto"/>
            <w:bottom w:val="none" w:sz="0" w:space="0" w:color="auto"/>
            <w:right w:val="none" w:sz="0" w:space="0" w:color="auto"/>
          </w:divBdr>
          <w:divsChild>
            <w:div w:id="373966690">
              <w:marLeft w:val="-75"/>
              <w:marRight w:val="0"/>
              <w:marTop w:val="30"/>
              <w:marBottom w:val="30"/>
              <w:divBdr>
                <w:top w:val="none" w:sz="0" w:space="0" w:color="auto"/>
                <w:left w:val="none" w:sz="0" w:space="0" w:color="auto"/>
                <w:bottom w:val="none" w:sz="0" w:space="0" w:color="auto"/>
                <w:right w:val="none" w:sz="0" w:space="0" w:color="auto"/>
              </w:divBdr>
              <w:divsChild>
                <w:div w:id="338821450">
                  <w:marLeft w:val="0"/>
                  <w:marRight w:val="0"/>
                  <w:marTop w:val="0"/>
                  <w:marBottom w:val="0"/>
                  <w:divBdr>
                    <w:top w:val="none" w:sz="0" w:space="0" w:color="auto"/>
                    <w:left w:val="none" w:sz="0" w:space="0" w:color="auto"/>
                    <w:bottom w:val="none" w:sz="0" w:space="0" w:color="auto"/>
                    <w:right w:val="none" w:sz="0" w:space="0" w:color="auto"/>
                  </w:divBdr>
                  <w:divsChild>
                    <w:div w:id="866528810">
                      <w:marLeft w:val="0"/>
                      <w:marRight w:val="0"/>
                      <w:marTop w:val="0"/>
                      <w:marBottom w:val="0"/>
                      <w:divBdr>
                        <w:top w:val="none" w:sz="0" w:space="0" w:color="auto"/>
                        <w:left w:val="none" w:sz="0" w:space="0" w:color="auto"/>
                        <w:bottom w:val="none" w:sz="0" w:space="0" w:color="auto"/>
                        <w:right w:val="none" w:sz="0" w:space="0" w:color="auto"/>
                      </w:divBdr>
                    </w:div>
                  </w:divsChild>
                </w:div>
                <w:div w:id="445275560">
                  <w:marLeft w:val="0"/>
                  <w:marRight w:val="0"/>
                  <w:marTop w:val="0"/>
                  <w:marBottom w:val="0"/>
                  <w:divBdr>
                    <w:top w:val="none" w:sz="0" w:space="0" w:color="auto"/>
                    <w:left w:val="none" w:sz="0" w:space="0" w:color="auto"/>
                    <w:bottom w:val="none" w:sz="0" w:space="0" w:color="auto"/>
                    <w:right w:val="none" w:sz="0" w:space="0" w:color="auto"/>
                  </w:divBdr>
                  <w:divsChild>
                    <w:div w:id="2080787559">
                      <w:marLeft w:val="0"/>
                      <w:marRight w:val="0"/>
                      <w:marTop w:val="0"/>
                      <w:marBottom w:val="0"/>
                      <w:divBdr>
                        <w:top w:val="none" w:sz="0" w:space="0" w:color="auto"/>
                        <w:left w:val="none" w:sz="0" w:space="0" w:color="auto"/>
                        <w:bottom w:val="none" w:sz="0" w:space="0" w:color="auto"/>
                        <w:right w:val="none" w:sz="0" w:space="0" w:color="auto"/>
                      </w:divBdr>
                    </w:div>
                  </w:divsChild>
                </w:div>
                <w:div w:id="924265913">
                  <w:marLeft w:val="0"/>
                  <w:marRight w:val="0"/>
                  <w:marTop w:val="0"/>
                  <w:marBottom w:val="0"/>
                  <w:divBdr>
                    <w:top w:val="none" w:sz="0" w:space="0" w:color="auto"/>
                    <w:left w:val="none" w:sz="0" w:space="0" w:color="auto"/>
                    <w:bottom w:val="none" w:sz="0" w:space="0" w:color="auto"/>
                    <w:right w:val="none" w:sz="0" w:space="0" w:color="auto"/>
                  </w:divBdr>
                  <w:divsChild>
                    <w:div w:id="749041397">
                      <w:marLeft w:val="0"/>
                      <w:marRight w:val="0"/>
                      <w:marTop w:val="0"/>
                      <w:marBottom w:val="0"/>
                      <w:divBdr>
                        <w:top w:val="none" w:sz="0" w:space="0" w:color="auto"/>
                        <w:left w:val="none" w:sz="0" w:space="0" w:color="auto"/>
                        <w:bottom w:val="none" w:sz="0" w:space="0" w:color="auto"/>
                        <w:right w:val="none" w:sz="0" w:space="0" w:color="auto"/>
                      </w:divBdr>
                    </w:div>
                  </w:divsChild>
                </w:div>
                <w:div w:id="1004669526">
                  <w:marLeft w:val="0"/>
                  <w:marRight w:val="0"/>
                  <w:marTop w:val="0"/>
                  <w:marBottom w:val="0"/>
                  <w:divBdr>
                    <w:top w:val="none" w:sz="0" w:space="0" w:color="auto"/>
                    <w:left w:val="none" w:sz="0" w:space="0" w:color="auto"/>
                    <w:bottom w:val="none" w:sz="0" w:space="0" w:color="auto"/>
                    <w:right w:val="none" w:sz="0" w:space="0" w:color="auto"/>
                  </w:divBdr>
                  <w:divsChild>
                    <w:div w:id="2062096641">
                      <w:marLeft w:val="0"/>
                      <w:marRight w:val="0"/>
                      <w:marTop w:val="0"/>
                      <w:marBottom w:val="0"/>
                      <w:divBdr>
                        <w:top w:val="none" w:sz="0" w:space="0" w:color="auto"/>
                        <w:left w:val="none" w:sz="0" w:space="0" w:color="auto"/>
                        <w:bottom w:val="none" w:sz="0" w:space="0" w:color="auto"/>
                        <w:right w:val="none" w:sz="0" w:space="0" w:color="auto"/>
                      </w:divBdr>
                    </w:div>
                  </w:divsChild>
                </w:div>
                <w:div w:id="1693339143">
                  <w:marLeft w:val="0"/>
                  <w:marRight w:val="0"/>
                  <w:marTop w:val="0"/>
                  <w:marBottom w:val="0"/>
                  <w:divBdr>
                    <w:top w:val="none" w:sz="0" w:space="0" w:color="auto"/>
                    <w:left w:val="none" w:sz="0" w:space="0" w:color="auto"/>
                    <w:bottom w:val="none" w:sz="0" w:space="0" w:color="auto"/>
                    <w:right w:val="none" w:sz="0" w:space="0" w:color="auto"/>
                  </w:divBdr>
                  <w:divsChild>
                    <w:div w:id="754668756">
                      <w:marLeft w:val="0"/>
                      <w:marRight w:val="0"/>
                      <w:marTop w:val="0"/>
                      <w:marBottom w:val="0"/>
                      <w:divBdr>
                        <w:top w:val="none" w:sz="0" w:space="0" w:color="auto"/>
                        <w:left w:val="none" w:sz="0" w:space="0" w:color="auto"/>
                        <w:bottom w:val="none" w:sz="0" w:space="0" w:color="auto"/>
                        <w:right w:val="none" w:sz="0" w:space="0" w:color="auto"/>
                      </w:divBdr>
                    </w:div>
                  </w:divsChild>
                </w:div>
                <w:div w:id="1785615197">
                  <w:marLeft w:val="0"/>
                  <w:marRight w:val="0"/>
                  <w:marTop w:val="0"/>
                  <w:marBottom w:val="0"/>
                  <w:divBdr>
                    <w:top w:val="none" w:sz="0" w:space="0" w:color="auto"/>
                    <w:left w:val="none" w:sz="0" w:space="0" w:color="auto"/>
                    <w:bottom w:val="none" w:sz="0" w:space="0" w:color="auto"/>
                    <w:right w:val="none" w:sz="0" w:space="0" w:color="auto"/>
                  </w:divBdr>
                  <w:divsChild>
                    <w:div w:id="1399401831">
                      <w:marLeft w:val="0"/>
                      <w:marRight w:val="0"/>
                      <w:marTop w:val="0"/>
                      <w:marBottom w:val="0"/>
                      <w:divBdr>
                        <w:top w:val="none" w:sz="0" w:space="0" w:color="auto"/>
                        <w:left w:val="none" w:sz="0" w:space="0" w:color="auto"/>
                        <w:bottom w:val="none" w:sz="0" w:space="0" w:color="auto"/>
                        <w:right w:val="none" w:sz="0" w:space="0" w:color="auto"/>
                      </w:divBdr>
                    </w:div>
                  </w:divsChild>
                </w:div>
                <w:div w:id="1812167970">
                  <w:marLeft w:val="0"/>
                  <w:marRight w:val="0"/>
                  <w:marTop w:val="0"/>
                  <w:marBottom w:val="0"/>
                  <w:divBdr>
                    <w:top w:val="none" w:sz="0" w:space="0" w:color="auto"/>
                    <w:left w:val="none" w:sz="0" w:space="0" w:color="auto"/>
                    <w:bottom w:val="none" w:sz="0" w:space="0" w:color="auto"/>
                    <w:right w:val="none" w:sz="0" w:space="0" w:color="auto"/>
                  </w:divBdr>
                  <w:divsChild>
                    <w:div w:id="1005937207">
                      <w:marLeft w:val="0"/>
                      <w:marRight w:val="0"/>
                      <w:marTop w:val="0"/>
                      <w:marBottom w:val="0"/>
                      <w:divBdr>
                        <w:top w:val="none" w:sz="0" w:space="0" w:color="auto"/>
                        <w:left w:val="none" w:sz="0" w:space="0" w:color="auto"/>
                        <w:bottom w:val="none" w:sz="0" w:space="0" w:color="auto"/>
                        <w:right w:val="none" w:sz="0" w:space="0" w:color="auto"/>
                      </w:divBdr>
                    </w:div>
                  </w:divsChild>
                </w:div>
                <w:div w:id="1916622848">
                  <w:marLeft w:val="0"/>
                  <w:marRight w:val="0"/>
                  <w:marTop w:val="0"/>
                  <w:marBottom w:val="0"/>
                  <w:divBdr>
                    <w:top w:val="none" w:sz="0" w:space="0" w:color="auto"/>
                    <w:left w:val="none" w:sz="0" w:space="0" w:color="auto"/>
                    <w:bottom w:val="none" w:sz="0" w:space="0" w:color="auto"/>
                    <w:right w:val="none" w:sz="0" w:space="0" w:color="auto"/>
                  </w:divBdr>
                  <w:divsChild>
                    <w:div w:id="2426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800683">
          <w:marLeft w:val="0"/>
          <w:marRight w:val="0"/>
          <w:marTop w:val="0"/>
          <w:marBottom w:val="0"/>
          <w:divBdr>
            <w:top w:val="none" w:sz="0" w:space="0" w:color="auto"/>
            <w:left w:val="none" w:sz="0" w:space="0" w:color="auto"/>
            <w:bottom w:val="none" w:sz="0" w:space="0" w:color="auto"/>
            <w:right w:val="none" w:sz="0" w:space="0" w:color="auto"/>
          </w:divBdr>
        </w:div>
        <w:div w:id="489716097">
          <w:marLeft w:val="0"/>
          <w:marRight w:val="0"/>
          <w:marTop w:val="0"/>
          <w:marBottom w:val="0"/>
          <w:divBdr>
            <w:top w:val="none" w:sz="0" w:space="0" w:color="auto"/>
            <w:left w:val="none" w:sz="0" w:space="0" w:color="auto"/>
            <w:bottom w:val="none" w:sz="0" w:space="0" w:color="auto"/>
            <w:right w:val="none" w:sz="0" w:space="0" w:color="auto"/>
          </w:divBdr>
          <w:divsChild>
            <w:div w:id="2028942831">
              <w:marLeft w:val="-75"/>
              <w:marRight w:val="0"/>
              <w:marTop w:val="30"/>
              <w:marBottom w:val="30"/>
              <w:divBdr>
                <w:top w:val="none" w:sz="0" w:space="0" w:color="auto"/>
                <w:left w:val="none" w:sz="0" w:space="0" w:color="auto"/>
                <w:bottom w:val="none" w:sz="0" w:space="0" w:color="auto"/>
                <w:right w:val="none" w:sz="0" w:space="0" w:color="auto"/>
              </w:divBdr>
              <w:divsChild>
                <w:div w:id="44305397">
                  <w:marLeft w:val="0"/>
                  <w:marRight w:val="0"/>
                  <w:marTop w:val="0"/>
                  <w:marBottom w:val="0"/>
                  <w:divBdr>
                    <w:top w:val="none" w:sz="0" w:space="0" w:color="auto"/>
                    <w:left w:val="none" w:sz="0" w:space="0" w:color="auto"/>
                    <w:bottom w:val="none" w:sz="0" w:space="0" w:color="auto"/>
                    <w:right w:val="none" w:sz="0" w:space="0" w:color="auto"/>
                  </w:divBdr>
                  <w:divsChild>
                    <w:div w:id="404374176">
                      <w:marLeft w:val="0"/>
                      <w:marRight w:val="0"/>
                      <w:marTop w:val="0"/>
                      <w:marBottom w:val="0"/>
                      <w:divBdr>
                        <w:top w:val="none" w:sz="0" w:space="0" w:color="auto"/>
                        <w:left w:val="none" w:sz="0" w:space="0" w:color="auto"/>
                        <w:bottom w:val="none" w:sz="0" w:space="0" w:color="auto"/>
                        <w:right w:val="none" w:sz="0" w:space="0" w:color="auto"/>
                      </w:divBdr>
                    </w:div>
                  </w:divsChild>
                </w:div>
                <w:div w:id="204607667">
                  <w:marLeft w:val="0"/>
                  <w:marRight w:val="0"/>
                  <w:marTop w:val="0"/>
                  <w:marBottom w:val="0"/>
                  <w:divBdr>
                    <w:top w:val="none" w:sz="0" w:space="0" w:color="auto"/>
                    <w:left w:val="none" w:sz="0" w:space="0" w:color="auto"/>
                    <w:bottom w:val="none" w:sz="0" w:space="0" w:color="auto"/>
                    <w:right w:val="none" w:sz="0" w:space="0" w:color="auto"/>
                  </w:divBdr>
                  <w:divsChild>
                    <w:div w:id="485971424">
                      <w:marLeft w:val="0"/>
                      <w:marRight w:val="0"/>
                      <w:marTop w:val="0"/>
                      <w:marBottom w:val="0"/>
                      <w:divBdr>
                        <w:top w:val="none" w:sz="0" w:space="0" w:color="auto"/>
                        <w:left w:val="none" w:sz="0" w:space="0" w:color="auto"/>
                        <w:bottom w:val="none" w:sz="0" w:space="0" w:color="auto"/>
                        <w:right w:val="none" w:sz="0" w:space="0" w:color="auto"/>
                      </w:divBdr>
                    </w:div>
                  </w:divsChild>
                </w:div>
                <w:div w:id="371807346">
                  <w:marLeft w:val="0"/>
                  <w:marRight w:val="0"/>
                  <w:marTop w:val="0"/>
                  <w:marBottom w:val="0"/>
                  <w:divBdr>
                    <w:top w:val="none" w:sz="0" w:space="0" w:color="auto"/>
                    <w:left w:val="none" w:sz="0" w:space="0" w:color="auto"/>
                    <w:bottom w:val="none" w:sz="0" w:space="0" w:color="auto"/>
                    <w:right w:val="none" w:sz="0" w:space="0" w:color="auto"/>
                  </w:divBdr>
                  <w:divsChild>
                    <w:div w:id="757873679">
                      <w:marLeft w:val="0"/>
                      <w:marRight w:val="0"/>
                      <w:marTop w:val="0"/>
                      <w:marBottom w:val="0"/>
                      <w:divBdr>
                        <w:top w:val="none" w:sz="0" w:space="0" w:color="auto"/>
                        <w:left w:val="none" w:sz="0" w:space="0" w:color="auto"/>
                        <w:bottom w:val="none" w:sz="0" w:space="0" w:color="auto"/>
                        <w:right w:val="none" w:sz="0" w:space="0" w:color="auto"/>
                      </w:divBdr>
                    </w:div>
                  </w:divsChild>
                </w:div>
                <w:div w:id="803081405">
                  <w:marLeft w:val="0"/>
                  <w:marRight w:val="0"/>
                  <w:marTop w:val="0"/>
                  <w:marBottom w:val="0"/>
                  <w:divBdr>
                    <w:top w:val="none" w:sz="0" w:space="0" w:color="auto"/>
                    <w:left w:val="none" w:sz="0" w:space="0" w:color="auto"/>
                    <w:bottom w:val="none" w:sz="0" w:space="0" w:color="auto"/>
                    <w:right w:val="none" w:sz="0" w:space="0" w:color="auto"/>
                  </w:divBdr>
                  <w:divsChild>
                    <w:div w:id="850264612">
                      <w:marLeft w:val="0"/>
                      <w:marRight w:val="0"/>
                      <w:marTop w:val="0"/>
                      <w:marBottom w:val="0"/>
                      <w:divBdr>
                        <w:top w:val="none" w:sz="0" w:space="0" w:color="auto"/>
                        <w:left w:val="none" w:sz="0" w:space="0" w:color="auto"/>
                        <w:bottom w:val="none" w:sz="0" w:space="0" w:color="auto"/>
                        <w:right w:val="none" w:sz="0" w:space="0" w:color="auto"/>
                      </w:divBdr>
                    </w:div>
                  </w:divsChild>
                </w:div>
                <w:div w:id="806437849">
                  <w:marLeft w:val="0"/>
                  <w:marRight w:val="0"/>
                  <w:marTop w:val="0"/>
                  <w:marBottom w:val="0"/>
                  <w:divBdr>
                    <w:top w:val="none" w:sz="0" w:space="0" w:color="auto"/>
                    <w:left w:val="none" w:sz="0" w:space="0" w:color="auto"/>
                    <w:bottom w:val="none" w:sz="0" w:space="0" w:color="auto"/>
                    <w:right w:val="none" w:sz="0" w:space="0" w:color="auto"/>
                  </w:divBdr>
                  <w:divsChild>
                    <w:div w:id="789207631">
                      <w:marLeft w:val="0"/>
                      <w:marRight w:val="0"/>
                      <w:marTop w:val="0"/>
                      <w:marBottom w:val="0"/>
                      <w:divBdr>
                        <w:top w:val="none" w:sz="0" w:space="0" w:color="auto"/>
                        <w:left w:val="none" w:sz="0" w:space="0" w:color="auto"/>
                        <w:bottom w:val="none" w:sz="0" w:space="0" w:color="auto"/>
                        <w:right w:val="none" w:sz="0" w:space="0" w:color="auto"/>
                      </w:divBdr>
                    </w:div>
                  </w:divsChild>
                </w:div>
                <w:div w:id="933823539">
                  <w:marLeft w:val="0"/>
                  <w:marRight w:val="0"/>
                  <w:marTop w:val="0"/>
                  <w:marBottom w:val="0"/>
                  <w:divBdr>
                    <w:top w:val="none" w:sz="0" w:space="0" w:color="auto"/>
                    <w:left w:val="none" w:sz="0" w:space="0" w:color="auto"/>
                    <w:bottom w:val="none" w:sz="0" w:space="0" w:color="auto"/>
                    <w:right w:val="none" w:sz="0" w:space="0" w:color="auto"/>
                  </w:divBdr>
                  <w:divsChild>
                    <w:div w:id="1710109027">
                      <w:marLeft w:val="0"/>
                      <w:marRight w:val="0"/>
                      <w:marTop w:val="0"/>
                      <w:marBottom w:val="0"/>
                      <w:divBdr>
                        <w:top w:val="none" w:sz="0" w:space="0" w:color="auto"/>
                        <w:left w:val="none" w:sz="0" w:space="0" w:color="auto"/>
                        <w:bottom w:val="none" w:sz="0" w:space="0" w:color="auto"/>
                        <w:right w:val="none" w:sz="0" w:space="0" w:color="auto"/>
                      </w:divBdr>
                    </w:div>
                  </w:divsChild>
                </w:div>
                <w:div w:id="1008680001">
                  <w:marLeft w:val="0"/>
                  <w:marRight w:val="0"/>
                  <w:marTop w:val="0"/>
                  <w:marBottom w:val="0"/>
                  <w:divBdr>
                    <w:top w:val="none" w:sz="0" w:space="0" w:color="auto"/>
                    <w:left w:val="none" w:sz="0" w:space="0" w:color="auto"/>
                    <w:bottom w:val="none" w:sz="0" w:space="0" w:color="auto"/>
                    <w:right w:val="none" w:sz="0" w:space="0" w:color="auto"/>
                  </w:divBdr>
                  <w:divsChild>
                    <w:div w:id="368915321">
                      <w:marLeft w:val="0"/>
                      <w:marRight w:val="0"/>
                      <w:marTop w:val="0"/>
                      <w:marBottom w:val="0"/>
                      <w:divBdr>
                        <w:top w:val="none" w:sz="0" w:space="0" w:color="auto"/>
                        <w:left w:val="none" w:sz="0" w:space="0" w:color="auto"/>
                        <w:bottom w:val="none" w:sz="0" w:space="0" w:color="auto"/>
                        <w:right w:val="none" w:sz="0" w:space="0" w:color="auto"/>
                      </w:divBdr>
                    </w:div>
                  </w:divsChild>
                </w:div>
                <w:div w:id="1060130295">
                  <w:marLeft w:val="0"/>
                  <w:marRight w:val="0"/>
                  <w:marTop w:val="0"/>
                  <w:marBottom w:val="0"/>
                  <w:divBdr>
                    <w:top w:val="none" w:sz="0" w:space="0" w:color="auto"/>
                    <w:left w:val="none" w:sz="0" w:space="0" w:color="auto"/>
                    <w:bottom w:val="none" w:sz="0" w:space="0" w:color="auto"/>
                    <w:right w:val="none" w:sz="0" w:space="0" w:color="auto"/>
                  </w:divBdr>
                  <w:divsChild>
                    <w:div w:id="1699812662">
                      <w:marLeft w:val="0"/>
                      <w:marRight w:val="0"/>
                      <w:marTop w:val="0"/>
                      <w:marBottom w:val="0"/>
                      <w:divBdr>
                        <w:top w:val="none" w:sz="0" w:space="0" w:color="auto"/>
                        <w:left w:val="none" w:sz="0" w:space="0" w:color="auto"/>
                        <w:bottom w:val="none" w:sz="0" w:space="0" w:color="auto"/>
                        <w:right w:val="none" w:sz="0" w:space="0" w:color="auto"/>
                      </w:divBdr>
                    </w:div>
                  </w:divsChild>
                </w:div>
                <w:div w:id="1073697996">
                  <w:marLeft w:val="0"/>
                  <w:marRight w:val="0"/>
                  <w:marTop w:val="0"/>
                  <w:marBottom w:val="0"/>
                  <w:divBdr>
                    <w:top w:val="none" w:sz="0" w:space="0" w:color="auto"/>
                    <w:left w:val="none" w:sz="0" w:space="0" w:color="auto"/>
                    <w:bottom w:val="none" w:sz="0" w:space="0" w:color="auto"/>
                    <w:right w:val="none" w:sz="0" w:space="0" w:color="auto"/>
                  </w:divBdr>
                  <w:divsChild>
                    <w:div w:id="1940983991">
                      <w:marLeft w:val="0"/>
                      <w:marRight w:val="0"/>
                      <w:marTop w:val="0"/>
                      <w:marBottom w:val="0"/>
                      <w:divBdr>
                        <w:top w:val="none" w:sz="0" w:space="0" w:color="auto"/>
                        <w:left w:val="none" w:sz="0" w:space="0" w:color="auto"/>
                        <w:bottom w:val="none" w:sz="0" w:space="0" w:color="auto"/>
                        <w:right w:val="none" w:sz="0" w:space="0" w:color="auto"/>
                      </w:divBdr>
                    </w:div>
                  </w:divsChild>
                </w:div>
                <w:div w:id="1158184162">
                  <w:marLeft w:val="0"/>
                  <w:marRight w:val="0"/>
                  <w:marTop w:val="0"/>
                  <w:marBottom w:val="0"/>
                  <w:divBdr>
                    <w:top w:val="none" w:sz="0" w:space="0" w:color="auto"/>
                    <w:left w:val="none" w:sz="0" w:space="0" w:color="auto"/>
                    <w:bottom w:val="none" w:sz="0" w:space="0" w:color="auto"/>
                    <w:right w:val="none" w:sz="0" w:space="0" w:color="auto"/>
                  </w:divBdr>
                  <w:divsChild>
                    <w:div w:id="708458545">
                      <w:marLeft w:val="0"/>
                      <w:marRight w:val="0"/>
                      <w:marTop w:val="0"/>
                      <w:marBottom w:val="0"/>
                      <w:divBdr>
                        <w:top w:val="none" w:sz="0" w:space="0" w:color="auto"/>
                        <w:left w:val="none" w:sz="0" w:space="0" w:color="auto"/>
                        <w:bottom w:val="none" w:sz="0" w:space="0" w:color="auto"/>
                        <w:right w:val="none" w:sz="0" w:space="0" w:color="auto"/>
                      </w:divBdr>
                    </w:div>
                  </w:divsChild>
                </w:div>
                <w:div w:id="1247031651">
                  <w:marLeft w:val="0"/>
                  <w:marRight w:val="0"/>
                  <w:marTop w:val="0"/>
                  <w:marBottom w:val="0"/>
                  <w:divBdr>
                    <w:top w:val="none" w:sz="0" w:space="0" w:color="auto"/>
                    <w:left w:val="none" w:sz="0" w:space="0" w:color="auto"/>
                    <w:bottom w:val="none" w:sz="0" w:space="0" w:color="auto"/>
                    <w:right w:val="none" w:sz="0" w:space="0" w:color="auto"/>
                  </w:divBdr>
                  <w:divsChild>
                    <w:div w:id="1946377848">
                      <w:marLeft w:val="0"/>
                      <w:marRight w:val="0"/>
                      <w:marTop w:val="0"/>
                      <w:marBottom w:val="0"/>
                      <w:divBdr>
                        <w:top w:val="none" w:sz="0" w:space="0" w:color="auto"/>
                        <w:left w:val="none" w:sz="0" w:space="0" w:color="auto"/>
                        <w:bottom w:val="none" w:sz="0" w:space="0" w:color="auto"/>
                        <w:right w:val="none" w:sz="0" w:space="0" w:color="auto"/>
                      </w:divBdr>
                    </w:div>
                  </w:divsChild>
                </w:div>
                <w:div w:id="1311206070">
                  <w:marLeft w:val="0"/>
                  <w:marRight w:val="0"/>
                  <w:marTop w:val="0"/>
                  <w:marBottom w:val="0"/>
                  <w:divBdr>
                    <w:top w:val="none" w:sz="0" w:space="0" w:color="auto"/>
                    <w:left w:val="none" w:sz="0" w:space="0" w:color="auto"/>
                    <w:bottom w:val="none" w:sz="0" w:space="0" w:color="auto"/>
                    <w:right w:val="none" w:sz="0" w:space="0" w:color="auto"/>
                  </w:divBdr>
                  <w:divsChild>
                    <w:div w:id="1083184795">
                      <w:marLeft w:val="0"/>
                      <w:marRight w:val="0"/>
                      <w:marTop w:val="0"/>
                      <w:marBottom w:val="0"/>
                      <w:divBdr>
                        <w:top w:val="none" w:sz="0" w:space="0" w:color="auto"/>
                        <w:left w:val="none" w:sz="0" w:space="0" w:color="auto"/>
                        <w:bottom w:val="none" w:sz="0" w:space="0" w:color="auto"/>
                        <w:right w:val="none" w:sz="0" w:space="0" w:color="auto"/>
                      </w:divBdr>
                    </w:div>
                  </w:divsChild>
                </w:div>
                <w:div w:id="1315375316">
                  <w:marLeft w:val="0"/>
                  <w:marRight w:val="0"/>
                  <w:marTop w:val="0"/>
                  <w:marBottom w:val="0"/>
                  <w:divBdr>
                    <w:top w:val="none" w:sz="0" w:space="0" w:color="auto"/>
                    <w:left w:val="none" w:sz="0" w:space="0" w:color="auto"/>
                    <w:bottom w:val="none" w:sz="0" w:space="0" w:color="auto"/>
                    <w:right w:val="none" w:sz="0" w:space="0" w:color="auto"/>
                  </w:divBdr>
                  <w:divsChild>
                    <w:div w:id="1011374518">
                      <w:marLeft w:val="0"/>
                      <w:marRight w:val="0"/>
                      <w:marTop w:val="0"/>
                      <w:marBottom w:val="0"/>
                      <w:divBdr>
                        <w:top w:val="none" w:sz="0" w:space="0" w:color="auto"/>
                        <w:left w:val="none" w:sz="0" w:space="0" w:color="auto"/>
                        <w:bottom w:val="none" w:sz="0" w:space="0" w:color="auto"/>
                        <w:right w:val="none" w:sz="0" w:space="0" w:color="auto"/>
                      </w:divBdr>
                    </w:div>
                  </w:divsChild>
                </w:div>
                <w:div w:id="1322193811">
                  <w:marLeft w:val="0"/>
                  <w:marRight w:val="0"/>
                  <w:marTop w:val="0"/>
                  <w:marBottom w:val="0"/>
                  <w:divBdr>
                    <w:top w:val="none" w:sz="0" w:space="0" w:color="auto"/>
                    <w:left w:val="none" w:sz="0" w:space="0" w:color="auto"/>
                    <w:bottom w:val="none" w:sz="0" w:space="0" w:color="auto"/>
                    <w:right w:val="none" w:sz="0" w:space="0" w:color="auto"/>
                  </w:divBdr>
                  <w:divsChild>
                    <w:div w:id="1113599114">
                      <w:marLeft w:val="0"/>
                      <w:marRight w:val="0"/>
                      <w:marTop w:val="0"/>
                      <w:marBottom w:val="0"/>
                      <w:divBdr>
                        <w:top w:val="none" w:sz="0" w:space="0" w:color="auto"/>
                        <w:left w:val="none" w:sz="0" w:space="0" w:color="auto"/>
                        <w:bottom w:val="none" w:sz="0" w:space="0" w:color="auto"/>
                        <w:right w:val="none" w:sz="0" w:space="0" w:color="auto"/>
                      </w:divBdr>
                    </w:div>
                  </w:divsChild>
                </w:div>
                <w:div w:id="1569683144">
                  <w:marLeft w:val="0"/>
                  <w:marRight w:val="0"/>
                  <w:marTop w:val="0"/>
                  <w:marBottom w:val="0"/>
                  <w:divBdr>
                    <w:top w:val="none" w:sz="0" w:space="0" w:color="auto"/>
                    <w:left w:val="none" w:sz="0" w:space="0" w:color="auto"/>
                    <w:bottom w:val="none" w:sz="0" w:space="0" w:color="auto"/>
                    <w:right w:val="none" w:sz="0" w:space="0" w:color="auto"/>
                  </w:divBdr>
                  <w:divsChild>
                    <w:div w:id="1893926561">
                      <w:marLeft w:val="0"/>
                      <w:marRight w:val="0"/>
                      <w:marTop w:val="0"/>
                      <w:marBottom w:val="0"/>
                      <w:divBdr>
                        <w:top w:val="none" w:sz="0" w:space="0" w:color="auto"/>
                        <w:left w:val="none" w:sz="0" w:space="0" w:color="auto"/>
                        <w:bottom w:val="none" w:sz="0" w:space="0" w:color="auto"/>
                        <w:right w:val="none" w:sz="0" w:space="0" w:color="auto"/>
                      </w:divBdr>
                    </w:div>
                  </w:divsChild>
                </w:div>
                <w:div w:id="1707637775">
                  <w:marLeft w:val="0"/>
                  <w:marRight w:val="0"/>
                  <w:marTop w:val="0"/>
                  <w:marBottom w:val="0"/>
                  <w:divBdr>
                    <w:top w:val="none" w:sz="0" w:space="0" w:color="auto"/>
                    <w:left w:val="none" w:sz="0" w:space="0" w:color="auto"/>
                    <w:bottom w:val="none" w:sz="0" w:space="0" w:color="auto"/>
                    <w:right w:val="none" w:sz="0" w:space="0" w:color="auto"/>
                  </w:divBdr>
                  <w:divsChild>
                    <w:div w:id="1150443819">
                      <w:marLeft w:val="0"/>
                      <w:marRight w:val="0"/>
                      <w:marTop w:val="0"/>
                      <w:marBottom w:val="0"/>
                      <w:divBdr>
                        <w:top w:val="none" w:sz="0" w:space="0" w:color="auto"/>
                        <w:left w:val="none" w:sz="0" w:space="0" w:color="auto"/>
                        <w:bottom w:val="none" w:sz="0" w:space="0" w:color="auto"/>
                        <w:right w:val="none" w:sz="0" w:space="0" w:color="auto"/>
                      </w:divBdr>
                    </w:div>
                  </w:divsChild>
                </w:div>
                <w:div w:id="1769306436">
                  <w:marLeft w:val="0"/>
                  <w:marRight w:val="0"/>
                  <w:marTop w:val="0"/>
                  <w:marBottom w:val="0"/>
                  <w:divBdr>
                    <w:top w:val="none" w:sz="0" w:space="0" w:color="auto"/>
                    <w:left w:val="none" w:sz="0" w:space="0" w:color="auto"/>
                    <w:bottom w:val="none" w:sz="0" w:space="0" w:color="auto"/>
                    <w:right w:val="none" w:sz="0" w:space="0" w:color="auto"/>
                  </w:divBdr>
                  <w:divsChild>
                    <w:div w:id="137110740">
                      <w:marLeft w:val="0"/>
                      <w:marRight w:val="0"/>
                      <w:marTop w:val="0"/>
                      <w:marBottom w:val="0"/>
                      <w:divBdr>
                        <w:top w:val="none" w:sz="0" w:space="0" w:color="auto"/>
                        <w:left w:val="none" w:sz="0" w:space="0" w:color="auto"/>
                        <w:bottom w:val="none" w:sz="0" w:space="0" w:color="auto"/>
                        <w:right w:val="none" w:sz="0" w:space="0" w:color="auto"/>
                      </w:divBdr>
                    </w:div>
                  </w:divsChild>
                </w:div>
                <w:div w:id="1812747586">
                  <w:marLeft w:val="0"/>
                  <w:marRight w:val="0"/>
                  <w:marTop w:val="0"/>
                  <w:marBottom w:val="0"/>
                  <w:divBdr>
                    <w:top w:val="none" w:sz="0" w:space="0" w:color="auto"/>
                    <w:left w:val="none" w:sz="0" w:space="0" w:color="auto"/>
                    <w:bottom w:val="none" w:sz="0" w:space="0" w:color="auto"/>
                    <w:right w:val="none" w:sz="0" w:space="0" w:color="auto"/>
                  </w:divBdr>
                  <w:divsChild>
                    <w:div w:id="10018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2066">
          <w:marLeft w:val="0"/>
          <w:marRight w:val="0"/>
          <w:marTop w:val="0"/>
          <w:marBottom w:val="0"/>
          <w:divBdr>
            <w:top w:val="none" w:sz="0" w:space="0" w:color="auto"/>
            <w:left w:val="none" w:sz="0" w:space="0" w:color="auto"/>
            <w:bottom w:val="none" w:sz="0" w:space="0" w:color="auto"/>
            <w:right w:val="none" w:sz="0" w:space="0" w:color="auto"/>
          </w:divBdr>
        </w:div>
        <w:div w:id="638729370">
          <w:marLeft w:val="0"/>
          <w:marRight w:val="0"/>
          <w:marTop w:val="0"/>
          <w:marBottom w:val="0"/>
          <w:divBdr>
            <w:top w:val="none" w:sz="0" w:space="0" w:color="auto"/>
            <w:left w:val="none" w:sz="0" w:space="0" w:color="auto"/>
            <w:bottom w:val="none" w:sz="0" w:space="0" w:color="auto"/>
            <w:right w:val="none" w:sz="0" w:space="0" w:color="auto"/>
          </w:divBdr>
        </w:div>
        <w:div w:id="660425536">
          <w:marLeft w:val="0"/>
          <w:marRight w:val="0"/>
          <w:marTop w:val="0"/>
          <w:marBottom w:val="0"/>
          <w:divBdr>
            <w:top w:val="none" w:sz="0" w:space="0" w:color="auto"/>
            <w:left w:val="none" w:sz="0" w:space="0" w:color="auto"/>
            <w:bottom w:val="none" w:sz="0" w:space="0" w:color="auto"/>
            <w:right w:val="none" w:sz="0" w:space="0" w:color="auto"/>
          </w:divBdr>
        </w:div>
        <w:div w:id="678238821">
          <w:marLeft w:val="0"/>
          <w:marRight w:val="0"/>
          <w:marTop w:val="0"/>
          <w:marBottom w:val="0"/>
          <w:divBdr>
            <w:top w:val="none" w:sz="0" w:space="0" w:color="auto"/>
            <w:left w:val="none" w:sz="0" w:space="0" w:color="auto"/>
            <w:bottom w:val="none" w:sz="0" w:space="0" w:color="auto"/>
            <w:right w:val="none" w:sz="0" w:space="0" w:color="auto"/>
          </w:divBdr>
        </w:div>
        <w:div w:id="683243259">
          <w:marLeft w:val="0"/>
          <w:marRight w:val="0"/>
          <w:marTop w:val="0"/>
          <w:marBottom w:val="0"/>
          <w:divBdr>
            <w:top w:val="none" w:sz="0" w:space="0" w:color="auto"/>
            <w:left w:val="none" w:sz="0" w:space="0" w:color="auto"/>
            <w:bottom w:val="none" w:sz="0" w:space="0" w:color="auto"/>
            <w:right w:val="none" w:sz="0" w:space="0" w:color="auto"/>
          </w:divBdr>
        </w:div>
        <w:div w:id="686635470">
          <w:marLeft w:val="0"/>
          <w:marRight w:val="0"/>
          <w:marTop w:val="0"/>
          <w:marBottom w:val="0"/>
          <w:divBdr>
            <w:top w:val="none" w:sz="0" w:space="0" w:color="auto"/>
            <w:left w:val="none" w:sz="0" w:space="0" w:color="auto"/>
            <w:bottom w:val="none" w:sz="0" w:space="0" w:color="auto"/>
            <w:right w:val="none" w:sz="0" w:space="0" w:color="auto"/>
          </w:divBdr>
        </w:div>
        <w:div w:id="733165641">
          <w:marLeft w:val="0"/>
          <w:marRight w:val="0"/>
          <w:marTop w:val="0"/>
          <w:marBottom w:val="0"/>
          <w:divBdr>
            <w:top w:val="none" w:sz="0" w:space="0" w:color="auto"/>
            <w:left w:val="none" w:sz="0" w:space="0" w:color="auto"/>
            <w:bottom w:val="none" w:sz="0" w:space="0" w:color="auto"/>
            <w:right w:val="none" w:sz="0" w:space="0" w:color="auto"/>
          </w:divBdr>
        </w:div>
        <w:div w:id="794643550">
          <w:marLeft w:val="0"/>
          <w:marRight w:val="0"/>
          <w:marTop w:val="0"/>
          <w:marBottom w:val="0"/>
          <w:divBdr>
            <w:top w:val="none" w:sz="0" w:space="0" w:color="auto"/>
            <w:left w:val="none" w:sz="0" w:space="0" w:color="auto"/>
            <w:bottom w:val="none" w:sz="0" w:space="0" w:color="auto"/>
            <w:right w:val="none" w:sz="0" w:space="0" w:color="auto"/>
          </w:divBdr>
          <w:divsChild>
            <w:div w:id="1433208373">
              <w:marLeft w:val="-75"/>
              <w:marRight w:val="0"/>
              <w:marTop w:val="30"/>
              <w:marBottom w:val="30"/>
              <w:divBdr>
                <w:top w:val="none" w:sz="0" w:space="0" w:color="auto"/>
                <w:left w:val="none" w:sz="0" w:space="0" w:color="auto"/>
                <w:bottom w:val="none" w:sz="0" w:space="0" w:color="auto"/>
                <w:right w:val="none" w:sz="0" w:space="0" w:color="auto"/>
              </w:divBdr>
              <w:divsChild>
                <w:div w:id="111948683">
                  <w:marLeft w:val="0"/>
                  <w:marRight w:val="0"/>
                  <w:marTop w:val="0"/>
                  <w:marBottom w:val="0"/>
                  <w:divBdr>
                    <w:top w:val="none" w:sz="0" w:space="0" w:color="auto"/>
                    <w:left w:val="none" w:sz="0" w:space="0" w:color="auto"/>
                    <w:bottom w:val="none" w:sz="0" w:space="0" w:color="auto"/>
                    <w:right w:val="none" w:sz="0" w:space="0" w:color="auto"/>
                  </w:divBdr>
                  <w:divsChild>
                    <w:div w:id="369769153">
                      <w:marLeft w:val="0"/>
                      <w:marRight w:val="0"/>
                      <w:marTop w:val="0"/>
                      <w:marBottom w:val="0"/>
                      <w:divBdr>
                        <w:top w:val="none" w:sz="0" w:space="0" w:color="auto"/>
                        <w:left w:val="none" w:sz="0" w:space="0" w:color="auto"/>
                        <w:bottom w:val="none" w:sz="0" w:space="0" w:color="auto"/>
                        <w:right w:val="none" w:sz="0" w:space="0" w:color="auto"/>
                      </w:divBdr>
                    </w:div>
                  </w:divsChild>
                </w:div>
                <w:div w:id="176583423">
                  <w:marLeft w:val="0"/>
                  <w:marRight w:val="0"/>
                  <w:marTop w:val="0"/>
                  <w:marBottom w:val="0"/>
                  <w:divBdr>
                    <w:top w:val="none" w:sz="0" w:space="0" w:color="auto"/>
                    <w:left w:val="none" w:sz="0" w:space="0" w:color="auto"/>
                    <w:bottom w:val="none" w:sz="0" w:space="0" w:color="auto"/>
                    <w:right w:val="none" w:sz="0" w:space="0" w:color="auto"/>
                  </w:divBdr>
                  <w:divsChild>
                    <w:div w:id="370737476">
                      <w:marLeft w:val="0"/>
                      <w:marRight w:val="0"/>
                      <w:marTop w:val="0"/>
                      <w:marBottom w:val="0"/>
                      <w:divBdr>
                        <w:top w:val="none" w:sz="0" w:space="0" w:color="auto"/>
                        <w:left w:val="none" w:sz="0" w:space="0" w:color="auto"/>
                        <w:bottom w:val="none" w:sz="0" w:space="0" w:color="auto"/>
                        <w:right w:val="none" w:sz="0" w:space="0" w:color="auto"/>
                      </w:divBdr>
                    </w:div>
                  </w:divsChild>
                </w:div>
                <w:div w:id="376440751">
                  <w:marLeft w:val="0"/>
                  <w:marRight w:val="0"/>
                  <w:marTop w:val="0"/>
                  <w:marBottom w:val="0"/>
                  <w:divBdr>
                    <w:top w:val="none" w:sz="0" w:space="0" w:color="auto"/>
                    <w:left w:val="none" w:sz="0" w:space="0" w:color="auto"/>
                    <w:bottom w:val="none" w:sz="0" w:space="0" w:color="auto"/>
                    <w:right w:val="none" w:sz="0" w:space="0" w:color="auto"/>
                  </w:divBdr>
                  <w:divsChild>
                    <w:div w:id="1074088258">
                      <w:marLeft w:val="0"/>
                      <w:marRight w:val="0"/>
                      <w:marTop w:val="0"/>
                      <w:marBottom w:val="0"/>
                      <w:divBdr>
                        <w:top w:val="none" w:sz="0" w:space="0" w:color="auto"/>
                        <w:left w:val="none" w:sz="0" w:space="0" w:color="auto"/>
                        <w:bottom w:val="none" w:sz="0" w:space="0" w:color="auto"/>
                        <w:right w:val="none" w:sz="0" w:space="0" w:color="auto"/>
                      </w:divBdr>
                    </w:div>
                  </w:divsChild>
                </w:div>
                <w:div w:id="675034613">
                  <w:marLeft w:val="0"/>
                  <w:marRight w:val="0"/>
                  <w:marTop w:val="0"/>
                  <w:marBottom w:val="0"/>
                  <w:divBdr>
                    <w:top w:val="none" w:sz="0" w:space="0" w:color="auto"/>
                    <w:left w:val="none" w:sz="0" w:space="0" w:color="auto"/>
                    <w:bottom w:val="none" w:sz="0" w:space="0" w:color="auto"/>
                    <w:right w:val="none" w:sz="0" w:space="0" w:color="auto"/>
                  </w:divBdr>
                  <w:divsChild>
                    <w:div w:id="1734428348">
                      <w:marLeft w:val="0"/>
                      <w:marRight w:val="0"/>
                      <w:marTop w:val="0"/>
                      <w:marBottom w:val="0"/>
                      <w:divBdr>
                        <w:top w:val="none" w:sz="0" w:space="0" w:color="auto"/>
                        <w:left w:val="none" w:sz="0" w:space="0" w:color="auto"/>
                        <w:bottom w:val="none" w:sz="0" w:space="0" w:color="auto"/>
                        <w:right w:val="none" w:sz="0" w:space="0" w:color="auto"/>
                      </w:divBdr>
                    </w:div>
                  </w:divsChild>
                </w:div>
                <w:div w:id="1188328574">
                  <w:marLeft w:val="0"/>
                  <w:marRight w:val="0"/>
                  <w:marTop w:val="0"/>
                  <w:marBottom w:val="0"/>
                  <w:divBdr>
                    <w:top w:val="none" w:sz="0" w:space="0" w:color="auto"/>
                    <w:left w:val="none" w:sz="0" w:space="0" w:color="auto"/>
                    <w:bottom w:val="none" w:sz="0" w:space="0" w:color="auto"/>
                    <w:right w:val="none" w:sz="0" w:space="0" w:color="auto"/>
                  </w:divBdr>
                  <w:divsChild>
                    <w:div w:id="324944525">
                      <w:marLeft w:val="0"/>
                      <w:marRight w:val="0"/>
                      <w:marTop w:val="0"/>
                      <w:marBottom w:val="0"/>
                      <w:divBdr>
                        <w:top w:val="none" w:sz="0" w:space="0" w:color="auto"/>
                        <w:left w:val="none" w:sz="0" w:space="0" w:color="auto"/>
                        <w:bottom w:val="none" w:sz="0" w:space="0" w:color="auto"/>
                        <w:right w:val="none" w:sz="0" w:space="0" w:color="auto"/>
                      </w:divBdr>
                    </w:div>
                  </w:divsChild>
                </w:div>
                <w:div w:id="1798405576">
                  <w:marLeft w:val="0"/>
                  <w:marRight w:val="0"/>
                  <w:marTop w:val="0"/>
                  <w:marBottom w:val="0"/>
                  <w:divBdr>
                    <w:top w:val="none" w:sz="0" w:space="0" w:color="auto"/>
                    <w:left w:val="none" w:sz="0" w:space="0" w:color="auto"/>
                    <w:bottom w:val="none" w:sz="0" w:space="0" w:color="auto"/>
                    <w:right w:val="none" w:sz="0" w:space="0" w:color="auto"/>
                  </w:divBdr>
                  <w:divsChild>
                    <w:div w:id="1222712295">
                      <w:marLeft w:val="0"/>
                      <w:marRight w:val="0"/>
                      <w:marTop w:val="0"/>
                      <w:marBottom w:val="0"/>
                      <w:divBdr>
                        <w:top w:val="none" w:sz="0" w:space="0" w:color="auto"/>
                        <w:left w:val="none" w:sz="0" w:space="0" w:color="auto"/>
                        <w:bottom w:val="none" w:sz="0" w:space="0" w:color="auto"/>
                        <w:right w:val="none" w:sz="0" w:space="0" w:color="auto"/>
                      </w:divBdr>
                    </w:div>
                  </w:divsChild>
                </w:div>
                <w:div w:id="1915237054">
                  <w:marLeft w:val="0"/>
                  <w:marRight w:val="0"/>
                  <w:marTop w:val="0"/>
                  <w:marBottom w:val="0"/>
                  <w:divBdr>
                    <w:top w:val="none" w:sz="0" w:space="0" w:color="auto"/>
                    <w:left w:val="none" w:sz="0" w:space="0" w:color="auto"/>
                    <w:bottom w:val="none" w:sz="0" w:space="0" w:color="auto"/>
                    <w:right w:val="none" w:sz="0" w:space="0" w:color="auto"/>
                  </w:divBdr>
                  <w:divsChild>
                    <w:div w:id="53503123">
                      <w:marLeft w:val="0"/>
                      <w:marRight w:val="0"/>
                      <w:marTop w:val="0"/>
                      <w:marBottom w:val="0"/>
                      <w:divBdr>
                        <w:top w:val="none" w:sz="0" w:space="0" w:color="auto"/>
                        <w:left w:val="none" w:sz="0" w:space="0" w:color="auto"/>
                        <w:bottom w:val="none" w:sz="0" w:space="0" w:color="auto"/>
                        <w:right w:val="none" w:sz="0" w:space="0" w:color="auto"/>
                      </w:divBdr>
                    </w:div>
                  </w:divsChild>
                </w:div>
                <w:div w:id="2122722027">
                  <w:marLeft w:val="0"/>
                  <w:marRight w:val="0"/>
                  <w:marTop w:val="0"/>
                  <w:marBottom w:val="0"/>
                  <w:divBdr>
                    <w:top w:val="none" w:sz="0" w:space="0" w:color="auto"/>
                    <w:left w:val="none" w:sz="0" w:space="0" w:color="auto"/>
                    <w:bottom w:val="none" w:sz="0" w:space="0" w:color="auto"/>
                    <w:right w:val="none" w:sz="0" w:space="0" w:color="auto"/>
                  </w:divBdr>
                  <w:divsChild>
                    <w:div w:id="9470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835563">
          <w:marLeft w:val="0"/>
          <w:marRight w:val="0"/>
          <w:marTop w:val="0"/>
          <w:marBottom w:val="0"/>
          <w:divBdr>
            <w:top w:val="none" w:sz="0" w:space="0" w:color="auto"/>
            <w:left w:val="none" w:sz="0" w:space="0" w:color="auto"/>
            <w:bottom w:val="none" w:sz="0" w:space="0" w:color="auto"/>
            <w:right w:val="none" w:sz="0" w:space="0" w:color="auto"/>
          </w:divBdr>
        </w:div>
        <w:div w:id="929897608">
          <w:marLeft w:val="0"/>
          <w:marRight w:val="0"/>
          <w:marTop w:val="0"/>
          <w:marBottom w:val="0"/>
          <w:divBdr>
            <w:top w:val="none" w:sz="0" w:space="0" w:color="auto"/>
            <w:left w:val="none" w:sz="0" w:space="0" w:color="auto"/>
            <w:bottom w:val="none" w:sz="0" w:space="0" w:color="auto"/>
            <w:right w:val="none" w:sz="0" w:space="0" w:color="auto"/>
          </w:divBdr>
        </w:div>
        <w:div w:id="966198566">
          <w:marLeft w:val="0"/>
          <w:marRight w:val="0"/>
          <w:marTop w:val="0"/>
          <w:marBottom w:val="0"/>
          <w:divBdr>
            <w:top w:val="none" w:sz="0" w:space="0" w:color="auto"/>
            <w:left w:val="none" w:sz="0" w:space="0" w:color="auto"/>
            <w:bottom w:val="none" w:sz="0" w:space="0" w:color="auto"/>
            <w:right w:val="none" w:sz="0" w:space="0" w:color="auto"/>
          </w:divBdr>
        </w:div>
        <w:div w:id="1030034396">
          <w:marLeft w:val="0"/>
          <w:marRight w:val="0"/>
          <w:marTop w:val="0"/>
          <w:marBottom w:val="0"/>
          <w:divBdr>
            <w:top w:val="none" w:sz="0" w:space="0" w:color="auto"/>
            <w:left w:val="none" w:sz="0" w:space="0" w:color="auto"/>
            <w:bottom w:val="none" w:sz="0" w:space="0" w:color="auto"/>
            <w:right w:val="none" w:sz="0" w:space="0" w:color="auto"/>
          </w:divBdr>
        </w:div>
        <w:div w:id="1055861268">
          <w:marLeft w:val="0"/>
          <w:marRight w:val="0"/>
          <w:marTop w:val="0"/>
          <w:marBottom w:val="0"/>
          <w:divBdr>
            <w:top w:val="none" w:sz="0" w:space="0" w:color="auto"/>
            <w:left w:val="none" w:sz="0" w:space="0" w:color="auto"/>
            <w:bottom w:val="none" w:sz="0" w:space="0" w:color="auto"/>
            <w:right w:val="none" w:sz="0" w:space="0" w:color="auto"/>
          </w:divBdr>
          <w:divsChild>
            <w:div w:id="1849833774">
              <w:marLeft w:val="-75"/>
              <w:marRight w:val="0"/>
              <w:marTop w:val="30"/>
              <w:marBottom w:val="30"/>
              <w:divBdr>
                <w:top w:val="none" w:sz="0" w:space="0" w:color="auto"/>
                <w:left w:val="none" w:sz="0" w:space="0" w:color="auto"/>
                <w:bottom w:val="none" w:sz="0" w:space="0" w:color="auto"/>
                <w:right w:val="none" w:sz="0" w:space="0" w:color="auto"/>
              </w:divBdr>
              <w:divsChild>
                <w:div w:id="8533072">
                  <w:marLeft w:val="0"/>
                  <w:marRight w:val="0"/>
                  <w:marTop w:val="0"/>
                  <w:marBottom w:val="0"/>
                  <w:divBdr>
                    <w:top w:val="none" w:sz="0" w:space="0" w:color="auto"/>
                    <w:left w:val="none" w:sz="0" w:space="0" w:color="auto"/>
                    <w:bottom w:val="none" w:sz="0" w:space="0" w:color="auto"/>
                    <w:right w:val="none" w:sz="0" w:space="0" w:color="auto"/>
                  </w:divBdr>
                  <w:divsChild>
                    <w:div w:id="1006706990">
                      <w:marLeft w:val="0"/>
                      <w:marRight w:val="0"/>
                      <w:marTop w:val="0"/>
                      <w:marBottom w:val="0"/>
                      <w:divBdr>
                        <w:top w:val="none" w:sz="0" w:space="0" w:color="auto"/>
                        <w:left w:val="none" w:sz="0" w:space="0" w:color="auto"/>
                        <w:bottom w:val="none" w:sz="0" w:space="0" w:color="auto"/>
                        <w:right w:val="none" w:sz="0" w:space="0" w:color="auto"/>
                      </w:divBdr>
                    </w:div>
                  </w:divsChild>
                </w:div>
                <w:div w:id="155649930">
                  <w:marLeft w:val="0"/>
                  <w:marRight w:val="0"/>
                  <w:marTop w:val="0"/>
                  <w:marBottom w:val="0"/>
                  <w:divBdr>
                    <w:top w:val="none" w:sz="0" w:space="0" w:color="auto"/>
                    <w:left w:val="none" w:sz="0" w:space="0" w:color="auto"/>
                    <w:bottom w:val="none" w:sz="0" w:space="0" w:color="auto"/>
                    <w:right w:val="none" w:sz="0" w:space="0" w:color="auto"/>
                  </w:divBdr>
                  <w:divsChild>
                    <w:div w:id="1219440850">
                      <w:marLeft w:val="0"/>
                      <w:marRight w:val="0"/>
                      <w:marTop w:val="0"/>
                      <w:marBottom w:val="0"/>
                      <w:divBdr>
                        <w:top w:val="none" w:sz="0" w:space="0" w:color="auto"/>
                        <w:left w:val="none" w:sz="0" w:space="0" w:color="auto"/>
                        <w:bottom w:val="none" w:sz="0" w:space="0" w:color="auto"/>
                        <w:right w:val="none" w:sz="0" w:space="0" w:color="auto"/>
                      </w:divBdr>
                    </w:div>
                  </w:divsChild>
                </w:div>
                <w:div w:id="288171078">
                  <w:marLeft w:val="0"/>
                  <w:marRight w:val="0"/>
                  <w:marTop w:val="0"/>
                  <w:marBottom w:val="0"/>
                  <w:divBdr>
                    <w:top w:val="none" w:sz="0" w:space="0" w:color="auto"/>
                    <w:left w:val="none" w:sz="0" w:space="0" w:color="auto"/>
                    <w:bottom w:val="none" w:sz="0" w:space="0" w:color="auto"/>
                    <w:right w:val="none" w:sz="0" w:space="0" w:color="auto"/>
                  </w:divBdr>
                  <w:divsChild>
                    <w:div w:id="1647005872">
                      <w:marLeft w:val="0"/>
                      <w:marRight w:val="0"/>
                      <w:marTop w:val="0"/>
                      <w:marBottom w:val="0"/>
                      <w:divBdr>
                        <w:top w:val="none" w:sz="0" w:space="0" w:color="auto"/>
                        <w:left w:val="none" w:sz="0" w:space="0" w:color="auto"/>
                        <w:bottom w:val="none" w:sz="0" w:space="0" w:color="auto"/>
                        <w:right w:val="none" w:sz="0" w:space="0" w:color="auto"/>
                      </w:divBdr>
                    </w:div>
                  </w:divsChild>
                </w:div>
                <w:div w:id="404105159">
                  <w:marLeft w:val="0"/>
                  <w:marRight w:val="0"/>
                  <w:marTop w:val="0"/>
                  <w:marBottom w:val="0"/>
                  <w:divBdr>
                    <w:top w:val="none" w:sz="0" w:space="0" w:color="auto"/>
                    <w:left w:val="none" w:sz="0" w:space="0" w:color="auto"/>
                    <w:bottom w:val="none" w:sz="0" w:space="0" w:color="auto"/>
                    <w:right w:val="none" w:sz="0" w:space="0" w:color="auto"/>
                  </w:divBdr>
                  <w:divsChild>
                    <w:div w:id="2016494230">
                      <w:marLeft w:val="0"/>
                      <w:marRight w:val="0"/>
                      <w:marTop w:val="0"/>
                      <w:marBottom w:val="0"/>
                      <w:divBdr>
                        <w:top w:val="none" w:sz="0" w:space="0" w:color="auto"/>
                        <w:left w:val="none" w:sz="0" w:space="0" w:color="auto"/>
                        <w:bottom w:val="none" w:sz="0" w:space="0" w:color="auto"/>
                        <w:right w:val="none" w:sz="0" w:space="0" w:color="auto"/>
                      </w:divBdr>
                    </w:div>
                  </w:divsChild>
                </w:div>
                <w:div w:id="465927632">
                  <w:marLeft w:val="0"/>
                  <w:marRight w:val="0"/>
                  <w:marTop w:val="0"/>
                  <w:marBottom w:val="0"/>
                  <w:divBdr>
                    <w:top w:val="none" w:sz="0" w:space="0" w:color="auto"/>
                    <w:left w:val="none" w:sz="0" w:space="0" w:color="auto"/>
                    <w:bottom w:val="none" w:sz="0" w:space="0" w:color="auto"/>
                    <w:right w:val="none" w:sz="0" w:space="0" w:color="auto"/>
                  </w:divBdr>
                  <w:divsChild>
                    <w:div w:id="853807840">
                      <w:marLeft w:val="0"/>
                      <w:marRight w:val="0"/>
                      <w:marTop w:val="0"/>
                      <w:marBottom w:val="0"/>
                      <w:divBdr>
                        <w:top w:val="none" w:sz="0" w:space="0" w:color="auto"/>
                        <w:left w:val="none" w:sz="0" w:space="0" w:color="auto"/>
                        <w:bottom w:val="none" w:sz="0" w:space="0" w:color="auto"/>
                        <w:right w:val="none" w:sz="0" w:space="0" w:color="auto"/>
                      </w:divBdr>
                    </w:div>
                  </w:divsChild>
                </w:div>
                <w:div w:id="559173320">
                  <w:marLeft w:val="0"/>
                  <w:marRight w:val="0"/>
                  <w:marTop w:val="0"/>
                  <w:marBottom w:val="0"/>
                  <w:divBdr>
                    <w:top w:val="none" w:sz="0" w:space="0" w:color="auto"/>
                    <w:left w:val="none" w:sz="0" w:space="0" w:color="auto"/>
                    <w:bottom w:val="none" w:sz="0" w:space="0" w:color="auto"/>
                    <w:right w:val="none" w:sz="0" w:space="0" w:color="auto"/>
                  </w:divBdr>
                  <w:divsChild>
                    <w:div w:id="1168449025">
                      <w:marLeft w:val="0"/>
                      <w:marRight w:val="0"/>
                      <w:marTop w:val="0"/>
                      <w:marBottom w:val="0"/>
                      <w:divBdr>
                        <w:top w:val="none" w:sz="0" w:space="0" w:color="auto"/>
                        <w:left w:val="none" w:sz="0" w:space="0" w:color="auto"/>
                        <w:bottom w:val="none" w:sz="0" w:space="0" w:color="auto"/>
                        <w:right w:val="none" w:sz="0" w:space="0" w:color="auto"/>
                      </w:divBdr>
                    </w:div>
                  </w:divsChild>
                </w:div>
                <w:div w:id="575356239">
                  <w:marLeft w:val="0"/>
                  <w:marRight w:val="0"/>
                  <w:marTop w:val="0"/>
                  <w:marBottom w:val="0"/>
                  <w:divBdr>
                    <w:top w:val="none" w:sz="0" w:space="0" w:color="auto"/>
                    <w:left w:val="none" w:sz="0" w:space="0" w:color="auto"/>
                    <w:bottom w:val="none" w:sz="0" w:space="0" w:color="auto"/>
                    <w:right w:val="none" w:sz="0" w:space="0" w:color="auto"/>
                  </w:divBdr>
                  <w:divsChild>
                    <w:div w:id="66154354">
                      <w:marLeft w:val="0"/>
                      <w:marRight w:val="0"/>
                      <w:marTop w:val="0"/>
                      <w:marBottom w:val="0"/>
                      <w:divBdr>
                        <w:top w:val="none" w:sz="0" w:space="0" w:color="auto"/>
                        <w:left w:val="none" w:sz="0" w:space="0" w:color="auto"/>
                        <w:bottom w:val="none" w:sz="0" w:space="0" w:color="auto"/>
                        <w:right w:val="none" w:sz="0" w:space="0" w:color="auto"/>
                      </w:divBdr>
                    </w:div>
                  </w:divsChild>
                </w:div>
                <w:div w:id="585647915">
                  <w:marLeft w:val="0"/>
                  <w:marRight w:val="0"/>
                  <w:marTop w:val="0"/>
                  <w:marBottom w:val="0"/>
                  <w:divBdr>
                    <w:top w:val="none" w:sz="0" w:space="0" w:color="auto"/>
                    <w:left w:val="none" w:sz="0" w:space="0" w:color="auto"/>
                    <w:bottom w:val="none" w:sz="0" w:space="0" w:color="auto"/>
                    <w:right w:val="none" w:sz="0" w:space="0" w:color="auto"/>
                  </w:divBdr>
                  <w:divsChild>
                    <w:div w:id="525221286">
                      <w:marLeft w:val="0"/>
                      <w:marRight w:val="0"/>
                      <w:marTop w:val="0"/>
                      <w:marBottom w:val="0"/>
                      <w:divBdr>
                        <w:top w:val="none" w:sz="0" w:space="0" w:color="auto"/>
                        <w:left w:val="none" w:sz="0" w:space="0" w:color="auto"/>
                        <w:bottom w:val="none" w:sz="0" w:space="0" w:color="auto"/>
                        <w:right w:val="none" w:sz="0" w:space="0" w:color="auto"/>
                      </w:divBdr>
                    </w:div>
                  </w:divsChild>
                </w:div>
                <w:div w:id="595023613">
                  <w:marLeft w:val="0"/>
                  <w:marRight w:val="0"/>
                  <w:marTop w:val="0"/>
                  <w:marBottom w:val="0"/>
                  <w:divBdr>
                    <w:top w:val="none" w:sz="0" w:space="0" w:color="auto"/>
                    <w:left w:val="none" w:sz="0" w:space="0" w:color="auto"/>
                    <w:bottom w:val="none" w:sz="0" w:space="0" w:color="auto"/>
                    <w:right w:val="none" w:sz="0" w:space="0" w:color="auto"/>
                  </w:divBdr>
                  <w:divsChild>
                    <w:div w:id="436409329">
                      <w:marLeft w:val="0"/>
                      <w:marRight w:val="0"/>
                      <w:marTop w:val="0"/>
                      <w:marBottom w:val="0"/>
                      <w:divBdr>
                        <w:top w:val="none" w:sz="0" w:space="0" w:color="auto"/>
                        <w:left w:val="none" w:sz="0" w:space="0" w:color="auto"/>
                        <w:bottom w:val="none" w:sz="0" w:space="0" w:color="auto"/>
                        <w:right w:val="none" w:sz="0" w:space="0" w:color="auto"/>
                      </w:divBdr>
                    </w:div>
                  </w:divsChild>
                </w:div>
                <w:div w:id="624506288">
                  <w:marLeft w:val="0"/>
                  <w:marRight w:val="0"/>
                  <w:marTop w:val="0"/>
                  <w:marBottom w:val="0"/>
                  <w:divBdr>
                    <w:top w:val="none" w:sz="0" w:space="0" w:color="auto"/>
                    <w:left w:val="none" w:sz="0" w:space="0" w:color="auto"/>
                    <w:bottom w:val="none" w:sz="0" w:space="0" w:color="auto"/>
                    <w:right w:val="none" w:sz="0" w:space="0" w:color="auto"/>
                  </w:divBdr>
                  <w:divsChild>
                    <w:div w:id="1105803916">
                      <w:marLeft w:val="0"/>
                      <w:marRight w:val="0"/>
                      <w:marTop w:val="0"/>
                      <w:marBottom w:val="0"/>
                      <w:divBdr>
                        <w:top w:val="none" w:sz="0" w:space="0" w:color="auto"/>
                        <w:left w:val="none" w:sz="0" w:space="0" w:color="auto"/>
                        <w:bottom w:val="none" w:sz="0" w:space="0" w:color="auto"/>
                        <w:right w:val="none" w:sz="0" w:space="0" w:color="auto"/>
                      </w:divBdr>
                    </w:div>
                  </w:divsChild>
                </w:div>
                <w:div w:id="666901305">
                  <w:marLeft w:val="0"/>
                  <w:marRight w:val="0"/>
                  <w:marTop w:val="0"/>
                  <w:marBottom w:val="0"/>
                  <w:divBdr>
                    <w:top w:val="none" w:sz="0" w:space="0" w:color="auto"/>
                    <w:left w:val="none" w:sz="0" w:space="0" w:color="auto"/>
                    <w:bottom w:val="none" w:sz="0" w:space="0" w:color="auto"/>
                    <w:right w:val="none" w:sz="0" w:space="0" w:color="auto"/>
                  </w:divBdr>
                  <w:divsChild>
                    <w:div w:id="1450123414">
                      <w:marLeft w:val="0"/>
                      <w:marRight w:val="0"/>
                      <w:marTop w:val="0"/>
                      <w:marBottom w:val="0"/>
                      <w:divBdr>
                        <w:top w:val="none" w:sz="0" w:space="0" w:color="auto"/>
                        <w:left w:val="none" w:sz="0" w:space="0" w:color="auto"/>
                        <w:bottom w:val="none" w:sz="0" w:space="0" w:color="auto"/>
                        <w:right w:val="none" w:sz="0" w:space="0" w:color="auto"/>
                      </w:divBdr>
                    </w:div>
                  </w:divsChild>
                </w:div>
                <w:div w:id="701982709">
                  <w:marLeft w:val="0"/>
                  <w:marRight w:val="0"/>
                  <w:marTop w:val="0"/>
                  <w:marBottom w:val="0"/>
                  <w:divBdr>
                    <w:top w:val="none" w:sz="0" w:space="0" w:color="auto"/>
                    <w:left w:val="none" w:sz="0" w:space="0" w:color="auto"/>
                    <w:bottom w:val="none" w:sz="0" w:space="0" w:color="auto"/>
                    <w:right w:val="none" w:sz="0" w:space="0" w:color="auto"/>
                  </w:divBdr>
                  <w:divsChild>
                    <w:div w:id="396981324">
                      <w:marLeft w:val="0"/>
                      <w:marRight w:val="0"/>
                      <w:marTop w:val="0"/>
                      <w:marBottom w:val="0"/>
                      <w:divBdr>
                        <w:top w:val="none" w:sz="0" w:space="0" w:color="auto"/>
                        <w:left w:val="none" w:sz="0" w:space="0" w:color="auto"/>
                        <w:bottom w:val="none" w:sz="0" w:space="0" w:color="auto"/>
                        <w:right w:val="none" w:sz="0" w:space="0" w:color="auto"/>
                      </w:divBdr>
                    </w:div>
                  </w:divsChild>
                </w:div>
                <w:div w:id="775058203">
                  <w:marLeft w:val="0"/>
                  <w:marRight w:val="0"/>
                  <w:marTop w:val="0"/>
                  <w:marBottom w:val="0"/>
                  <w:divBdr>
                    <w:top w:val="none" w:sz="0" w:space="0" w:color="auto"/>
                    <w:left w:val="none" w:sz="0" w:space="0" w:color="auto"/>
                    <w:bottom w:val="none" w:sz="0" w:space="0" w:color="auto"/>
                    <w:right w:val="none" w:sz="0" w:space="0" w:color="auto"/>
                  </w:divBdr>
                  <w:divsChild>
                    <w:div w:id="1147088523">
                      <w:marLeft w:val="0"/>
                      <w:marRight w:val="0"/>
                      <w:marTop w:val="0"/>
                      <w:marBottom w:val="0"/>
                      <w:divBdr>
                        <w:top w:val="none" w:sz="0" w:space="0" w:color="auto"/>
                        <w:left w:val="none" w:sz="0" w:space="0" w:color="auto"/>
                        <w:bottom w:val="none" w:sz="0" w:space="0" w:color="auto"/>
                        <w:right w:val="none" w:sz="0" w:space="0" w:color="auto"/>
                      </w:divBdr>
                    </w:div>
                  </w:divsChild>
                </w:div>
                <w:div w:id="872577190">
                  <w:marLeft w:val="0"/>
                  <w:marRight w:val="0"/>
                  <w:marTop w:val="0"/>
                  <w:marBottom w:val="0"/>
                  <w:divBdr>
                    <w:top w:val="none" w:sz="0" w:space="0" w:color="auto"/>
                    <w:left w:val="none" w:sz="0" w:space="0" w:color="auto"/>
                    <w:bottom w:val="none" w:sz="0" w:space="0" w:color="auto"/>
                    <w:right w:val="none" w:sz="0" w:space="0" w:color="auto"/>
                  </w:divBdr>
                  <w:divsChild>
                    <w:div w:id="424614585">
                      <w:marLeft w:val="0"/>
                      <w:marRight w:val="0"/>
                      <w:marTop w:val="0"/>
                      <w:marBottom w:val="0"/>
                      <w:divBdr>
                        <w:top w:val="none" w:sz="0" w:space="0" w:color="auto"/>
                        <w:left w:val="none" w:sz="0" w:space="0" w:color="auto"/>
                        <w:bottom w:val="none" w:sz="0" w:space="0" w:color="auto"/>
                        <w:right w:val="none" w:sz="0" w:space="0" w:color="auto"/>
                      </w:divBdr>
                    </w:div>
                  </w:divsChild>
                </w:div>
                <w:div w:id="879971884">
                  <w:marLeft w:val="0"/>
                  <w:marRight w:val="0"/>
                  <w:marTop w:val="0"/>
                  <w:marBottom w:val="0"/>
                  <w:divBdr>
                    <w:top w:val="none" w:sz="0" w:space="0" w:color="auto"/>
                    <w:left w:val="none" w:sz="0" w:space="0" w:color="auto"/>
                    <w:bottom w:val="none" w:sz="0" w:space="0" w:color="auto"/>
                    <w:right w:val="none" w:sz="0" w:space="0" w:color="auto"/>
                  </w:divBdr>
                  <w:divsChild>
                    <w:div w:id="851844780">
                      <w:marLeft w:val="0"/>
                      <w:marRight w:val="0"/>
                      <w:marTop w:val="0"/>
                      <w:marBottom w:val="0"/>
                      <w:divBdr>
                        <w:top w:val="none" w:sz="0" w:space="0" w:color="auto"/>
                        <w:left w:val="none" w:sz="0" w:space="0" w:color="auto"/>
                        <w:bottom w:val="none" w:sz="0" w:space="0" w:color="auto"/>
                        <w:right w:val="none" w:sz="0" w:space="0" w:color="auto"/>
                      </w:divBdr>
                    </w:div>
                  </w:divsChild>
                </w:div>
                <w:div w:id="930046982">
                  <w:marLeft w:val="0"/>
                  <w:marRight w:val="0"/>
                  <w:marTop w:val="0"/>
                  <w:marBottom w:val="0"/>
                  <w:divBdr>
                    <w:top w:val="none" w:sz="0" w:space="0" w:color="auto"/>
                    <w:left w:val="none" w:sz="0" w:space="0" w:color="auto"/>
                    <w:bottom w:val="none" w:sz="0" w:space="0" w:color="auto"/>
                    <w:right w:val="none" w:sz="0" w:space="0" w:color="auto"/>
                  </w:divBdr>
                  <w:divsChild>
                    <w:div w:id="489103273">
                      <w:marLeft w:val="0"/>
                      <w:marRight w:val="0"/>
                      <w:marTop w:val="0"/>
                      <w:marBottom w:val="0"/>
                      <w:divBdr>
                        <w:top w:val="none" w:sz="0" w:space="0" w:color="auto"/>
                        <w:left w:val="none" w:sz="0" w:space="0" w:color="auto"/>
                        <w:bottom w:val="none" w:sz="0" w:space="0" w:color="auto"/>
                        <w:right w:val="none" w:sz="0" w:space="0" w:color="auto"/>
                      </w:divBdr>
                    </w:div>
                  </w:divsChild>
                </w:div>
                <w:div w:id="1147433173">
                  <w:marLeft w:val="0"/>
                  <w:marRight w:val="0"/>
                  <w:marTop w:val="0"/>
                  <w:marBottom w:val="0"/>
                  <w:divBdr>
                    <w:top w:val="none" w:sz="0" w:space="0" w:color="auto"/>
                    <w:left w:val="none" w:sz="0" w:space="0" w:color="auto"/>
                    <w:bottom w:val="none" w:sz="0" w:space="0" w:color="auto"/>
                    <w:right w:val="none" w:sz="0" w:space="0" w:color="auto"/>
                  </w:divBdr>
                  <w:divsChild>
                    <w:div w:id="1248608986">
                      <w:marLeft w:val="0"/>
                      <w:marRight w:val="0"/>
                      <w:marTop w:val="0"/>
                      <w:marBottom w:val="0"/>
                      <w:divBdr>
                        <w:top w:val="none" w:sz="0" w:space="0" w:color="auto"/>
                        <w:left w:val="none" w:sz="0" w:space="0" w:color="auto"/>
                        <w:bottom w:val="none" w:sz="0" w:space="0" w:color="auto"/>
                        <w:right w:val="none" w:sz="0" w:space="0" w:color="auto"/>
                      </w:divBdr>
                    </w:div>
                  </w:divsChild>
                </w:div>
                <w:div w:id="1153254659">
                  <w:marLeft w:val="0"/>
                  <w:marRight w:val="0"/>
                  <w:marTop w:val="0"/>
                  <w:marBottom w:val="0"/>
                  <w:divBdr>
                    <w:top w:val="none" w:sz="0" w:space="0" w:color="auto"/>
                    <w:left w:val="none" w:sz="0" w:space="0" w:color="auto"/>
                    <w:bottom w:val="none" w:sz="0" w:space="0" w:color="auto"/>
                    <w:right w:val="none" w:sz="0" w:space="0" w:color="auto"/>
                  </w:divBdr>
                  <w:divsChild>
                    <w:div w:id="1238706554">
                      <w:marLeft w:val="0"/>
                      <w:marRight w:val="0"/>
                      <w:marTop w:val="0"/>
                      <w:marBottom w:val="0"/>
                      <w:divBdr>
                        <w:top w:val="none" w:sz="0" w:space="0" w:color="auto"/>
                        <w:left w:val="none" w:sz="0" w:space="0" w:color="auto"/>
                        <w:bottom w:val="none" w:sz="0" w:space="0" w:color="auto"/>
                        <w:right w:val="none" w:sz="0" w:space="0" w:color="auto"/>
                      </w:divBdr>
                    </w:div>
                  </w:divsChild>
                </w:div>
                <w:div w:id="1203246220">
                  <w:marLeft w:val="0"/>
                  <w:marRight w:val="0"/>
                  <w:marTop w:val="0"/>
                  <w:marBottom w:val="0"/>
                  <w:divBdr>
                    <w:top w:val="none" w:sz="0" w:space="0" w:color="auto"/>
                    <w:left w:val="none" w:sz="0" w:space="0" w:color="auto"/>
                    <w:bottom w:val="none" w:sz="0" w:space="0" w:color="auto"/>
                    <w:right w:val="none" w:sz="0" w:space="0" w:color="auto"/>
                  </w:divBdr>
                  <w:divsChild>
                    <w:div w:id="1702125296">
                      <w:marLeft w:val="0"/>
                      <w:marRight w:val="0"/>
                      <w:marTop w:val="0"/>
                      <w:marBottom w:val="0"/>
                      <w:divBdr>
                        <w:top w:val="none" w:sz="0" w:space="0" w:color="auto"/>
                        <w:left w:val="none" w:sz="0" w:space="0" w:color="auto"/>
                        <w:bottom w:val="none" w:sz="0" w:space="0" w:color="auto"/>
                        <w:right w:val="none" w:sz="0" w:space="0" w:color="auto"/>
                      </w:divBdr>
                    </w:div>
                  </w:divsChild>
                </w:div>
                <w:div w:id="1244801494">
                  <w:marLeft w:val="0"/>
                  <w:marRight w:val="0"/>
                  <w:marTop w:val="0"/>
                  <w:marBottom w:val="0"/>
                  <w:divBdr>
                    <w:top w:val="none" w:sz="0" w:space="0" w:color="auto"/>
                    <w:left w:val="none" w:sz="0" w:space="0" w:color="auto"/>
                    <w:bottom w:val="none" w:sz="0" w:space="0" w:color="auto"/>
                    <w:right w:val="none" w:sz="0" w:space="0" w:color="auto"/>
                  </w:divBdr>
                  <w:divsChild>
                    <w:div w:id="1477062171">
                      <w:marLeft w:val="0"/>
                      <w:marRight w:val="0"/>
                      <w:marTop w:val="0"/>
                      <w:marBottom w:val="0"/>
                      <w:divBdr>
                        <w:top w:val="none" w:sz="0" w:space="0" w:color="auto"/>
                        <w:left w:val="none" w:sz="0" w:space="0" w:color="auto"/>
                        <w:bottom w:val="none" w:sz="0" w:space="0" w:color="auto"/>
                        <w:right w:val="none" w:sz="0" w:space="0" w:color="auto"/>
                      </w:divBdr>
                    </w:div>
                  </w:divsChild>
                </w:div>
                <w:div w:id="1494027452">
                  <w:marLeft w:val="0"/>
                  <w:marRight w:val="0"/>
                  <w:marTop w:val="0"/>
                  <w:marBottom w:val="0"/>
                  <w:divBdr>
                    <w:top w:val="none" w:sz="0" w:space="0" w:color="auto"/>
                    <w:left w:val="none" w:sz="0" w:space="0" w:color="auto"/>
                    <w:bottom w:val="none" w:sz="0" w:space="0" w:color="auto"/>
                    <w:right w:val="none" w:sz="0" w:space="0" w:color="auto"/>
                  </w:divBdr>
                  <w:divsChild>
                    <w:div w:id="1914967407">
                      <w:marLeft w:val="0"/>
                      <w:marRight w:val="0"/>
                      <w:marTop w:val="0"/>
                      <w:marBottom w:val="0"/>
                      <w:divBdr>
                        <w:top w:val="none" w:sz="0" w:space="0" w:color="auto"/>
                        <w:left w:val="none" w:sz="0" w:space="0" w:color="auto"/>
                        <w:bottom w:val="none" w:sz="0" w:space="0" w:color="auto"/>
                        <w:right w:val="none" w:sz="0" w:space="0" w:color="auto"/>
                      </w:divBdr>
                    </w:div>
                    <w:div w:id="2102866994">
                      <w:marLeft w:val="0"/>
                      <w:marRight w:val="0"/>
                      <w:marTop w:val="0"/>
                      <w:marBottom w:val="0"/>
                      <w:divBdr>
                        <w:top w:val="none" w:sz="0" w:space="0" w:color="auto"/>
                        <w:left w:val="none" w:sz="0" w:space="0" w:color="auto"/>
                        <w:bottom w:val="none" w:sz="0" w:space="0" w:color="auto"/>
                        <w:right w:val="none" w:sz="0" w:space="0" w:color="auto"/>
                      </w:divBdr>
                    </w:div>
                  </w:divsChild>
                </w:div>
                <w:div w:id="1514033450">
                  <w:marLeft w:val="0"/>
                  <w:marRight w:val="0"/>
                  <w:marTop w:val="0"/>
                  <w:marBottom w:val="0"/>
                  <w:divBdr>
                    <w:top w:val="none" w:sz="0" w:space="0" w:color="auto"/>
                    <w:left w:val="none" w:sz="0" w:space="0" w:color="auto"/>
                    <w:bottom w:val="none" w:sz="0" w:space="0" w:color="auto"/>
                    <w:right w:val="none" w:sz="0" w:space="0" w:color="auto"/>
                  </w:divBdr>
                  <w:divsChild>
                    <w:div w:id="731806190">
                      <w:marLeft w:val="0"/>
                      <w:marRight w:val="0"/>
                      <w:marTop w:val="0"/>
                      <w:marBottom w:val="0"/>
                      <w:divBdr>
                        <w:top w:val="none" w:sz="0" w:space="0" w:color="auto"/>
                        <w:left w:val="none" w:sz="0" w:space="0" w:color="auto"/>
                        <w:bottom w:val="none" w:sz="0" w:space="0" w:color="auto"/>
                        <w:right w:val="none" w:sz="0" w:space="0" w:color="auto"/>
                      </w:divBdr>
                    </w:div>
                  </w:divsChild>
                </w:div>
                <w:div w:id="1546065291">
                  <w:marLeft w:val="0"/>
                  <w:marRight w:val="0"/>
                  <w:marTop w:val="0"/>
                  <w:marBottom w:val="0"/>
                  <w:divBdr>
                    <w:top w:val="none" w:sz="0" w:space="0" w:color="auto"/>
                    <w:left w:val="none" w:sz="0" w:space="0" w:color="auto"/>
                    <w:bottom w:val="none" w:sz="0" w:space="0" w:color="auto"/>
                    <w:right w:val="none" w:sz="0" w:space="0" w:color="auto"/>
                  </w:divBdr>
                  <w:divsChild>
                    <w:div w:id="1980375538">
                      <w:marLeft w:val="0"/>
                      <w:marRight w:val="0"/>
                      <w:marTop w:val="0"/>
                      <w:marBottom w:val="0"/>
                      <w:divBdr>
                        <w:top w:val="none" w:sz="0" w:space="0" w:color="auto"/>
                        <w:left w:val="none" w:sz="0" w:space="0" w:color="auto"/>
                        <w:bottom w:val="none" w:sz="0" w:space="0" w:color="auto"/>
                        <w:right w:val="none" w:sz="0" w:space="0" w:color="auto"/>
                      </w:divBdr>
                    </w:div>
                  </w:divsChild>
                </w:div>
                <w:div w:id="1964192596">
                  <w:marLeft w:val="0"/>
                  <w:marRight w:val="0"/>
                  <w:marTop w:val="0"/>
                  <w:marBottom w:val="0"/>
                  <w:divBdr>
                    <w:top w:val="none" w:sz="0" w:space="0" w:color="auto"/>
                    <w:left w:val="none" w:sz="0" w:space="0" w:color="auto"/>
                    <w:bottom w:val="none" w:sz="0" w:space="0" w:color="auto"/>
                    <w:right w:val="none" w:sz="0" w:space="0" w:color="auto"/>
                  </w:divBdr>
                  <w:divsChild>
                    <w:div w:id="1766613202">
                      <w:marLeft w:val="0"/>
                      <w:marRight w:val="0"/>
                      <w:marTop w:val="0"/>
                      <w:marBottom w:val="0"/>
                      <w:divBdr>
                        <w:top w:val="none" w:sz="0" w:space="0" w:color="auto"/>
                        <w:left w:val="none" w:sz="0" w:space="0" w:color="auto"/>
                        <w:bottom w:val="none" w:sz="0" w:space="0" w:color="auto"/>
                        <w:right w:val="none" w:sz="0" w:space="0" w:color="auto"/>
                      </w:divBdr>
                    </w:div>
                  </w:divsChild>
                </w:div>
                <w:div w:id="2113159087">
                  <w:marLeft w:val="0"/>
                  <w:marRight w:val="0"/>
                  <w:marTop w:val="0"/>
                  <w:marBottom w:val="0"/>
                  <w:divBdr>
                    <w:top w:val="none" w:sz="0" w:space="0" w:color="auto"/>
                    <w:left w:val="none" w:sz="0" w:space="0" w:color="auto"/>
                    <w:bottom w:val="none" w:sz="0" w:space="0" w:color="auto"/>
                    <w:right w:val="none" w:sz="0" w:space="0" w:color="auto"/>
                  </w:divBdr>
                  <w:divsChild>
                    <w:div w:id="141755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8043">
          <w:marLeft w:val="0"/>
          <w:marRight w:val="0"/>
          <w:marTop w:val="0"/>
          <w:marBottom w:val="0"/>
          <w:divBdr>
            <w:top w:val="none" w:sz="0" w:space="0" w:color="auto"/>
            <w:left w:val="none" w:sz="0" w:space="0" w:color="auto"/>
            <w:bottom w:val="none" w:sz="0" w:space="0" w:color="auto"/>
            <w:right w:val="none" w:sz="0" w:space="0" w:color="auto"/>
          </w:divBdr>
          <w:divsChild>
            <w:div w:id="183061787">
              <w:marLeft w:val="0"/>
              <w:marRight w:val="0"/>
              <w:marTop w:val="0"/>
              <w:marBottom w:val="0"/>
              <w:divBdr>
                <w:top w:val="none" w:sz="0" w:space="0" w:color="auto"/>
                <w:left w:val="none" w:sz="0" w:space="0" w:color="auto"/>
                <w:bottom w:val="none" w:sz="0" w:space="0" w:color="auto"/>
                <w:right w:val="none" w:sz="0" w:space="0" w:color="auto"/>
              </w:divBdr>
            </w:div>
            <w:div w:id="301740522">
              <w:marLeft w:val="0"/>
              <w:marRight w:val="0"/>
              <w:marTop w:val="0"/>
              <w:marBottom w:val="0"/>
              <w:divBdr>
                <w:top w:val="none" w:sz="0" w:space="0" w:color="auto"/>
                <w:left w:val="none" w:sz="0" w:space="0" w:color="auto"/>
                <w:bottom w:val="none" w:sz="0" w:space="0" w:color="auto"/>
                <w:right w:val="none" w:sz="0" w:space="0" w:color="auto"/>
              </w:divBdr>
            </w:div>
            <w:div w:id="370886875">
              <w:marLeft w:val="0"/>
              <w:marRight w:val="0"/>
              <w:marTop w:val="0"/>
              <w:marBottom w:val="0"/>
              <w:divBdr>
                <w:top w:val="none" w:sz="0" w:space="0" w:color="auto"/>
                <w:left w:val="none" w:sz="0" w:space="0" w:color="auto"/>
                <w:bottom w:val="none" w:sz="0" w:space="0" w:color="auto"/>
                <w:right w:val="none" w:sz="0" w:space="0" w:color="auto"/>
              </w:divBdr>
            </w:div>
            <w:div w:id="641926350">
              <w:marLeft w:val="0"/>
              <w:marRight w:val="0"/>
              <w:marTop w:val="0"/>
              <w:marBottom w:val="0"/>
              <w:divBdr>
                <w:top w:val="none" w:sz="0" w:space="0" w:color="auto"/>
                <w:left w:val="none" w:sz="0" w:space="0" w:color="auto"/>
                <w:bottom w:val="none" w:sz="0" w:space="0" w:color="auto"/>
                <w:right w:val="none" w:sz="0" w:space="0" w:color="auto"/>
              </w:divBdr>
            </w:div>
            <w:div w:id="730613753">
              <w:marLeft w:val="0"/>
              <w:marRight w:val="0"/>
              <w:marTop w:val="0"/>
              <w:marBottom w:val="0"/>
              <w:divBdr>
                <w:top w:val="none" w:sz="0" w:space="0" w:color="auto"/>
                <w:left w:val="none" w:sz="0" w:space="0" w:color="auto"/>
                <w:bottom w:val="none" w:sz="0" w:space="0" w:color="auto"/>
                <w:right w:val="none" w:sz="0" w:space="0" w:color="auto"/>
              </w:divBdr>
            </w:div>
            <w:div w:id="852109393">
              <w:marLeft w:val="0"/>
              <w:marRight w:val="0"/>
              <w:marTop w:val="0"/>
              <w:marBottom w:val="0"/>
              <w:divBdr>
                <w:top w:val="none" w:sz="0" w:space="0" w:color="auto"/>
                <w:left w:val="none" w:sz="0" w:space="0" w:color="auto"/>
                <w:bottom w:val="none" w:sz="0" w:space="0" w:color="auto"/>
                <w:right w:val="none" w:sz="0" w:space="0" w:color="auto"/>
              </w:divBdr>
            </w:div>
            <w:div w:id="929392506">
              <w:marLeft w:val="0"/>
              <w:marRight w:val="0"/>
              <w:marTop w:val="0"/>
              <w:marBottom w:val="0"/>
              <w:divBdr>
                <w:top w:val="none" w:sz="0" w:space="0" w:color="auto"/>
                <w:left w:val="none" w:sz="0" w:space="0" w:color="auto"/>
                <w:bottom w:val="none" w:sz="0" w:space="0" w:color="auto"/>
                <w:right w:val="none" w:sz="0" w:space="0" w:color="auto"/>
              </w:divBdr>
            </w:div>
            <w:div w:id="1115061277">
              <w:marLeft w:val="0"/>
              <w:marRight w:val="0"/>
              <w:marTop w:val="0"/>
              <w:marBottom w:val="0"/>
              <w:divBdr>
                <w:top w:val="none" w:sz="0" w:space="0" w:color="auto"/>
                <w:left w:val="none" w:sz="0" w:space="0" w:color="auto"/>
                <w:bottom w:val="none" w:sz="0" w:space="0" w:color="auto"/>
                <w:right w:val="none" w:sz="0" w:space="0" w:color="auto"/>
              </w:divBdr>
            </w:div>
            <w:div w:id="1136409581">
              <w:marLeft w:val="0"/>
              <w:marRight w:val="0"/>
              <w:marTop w:val="0"/>
              <w:marBottom w:val="0"/>
              <w:divBdr>
                <w:top w:val="none" w:sz="0" w:space="0" w:color="auto"/>
                <w:left w:val="none" w:sz="0" w:space="0" w:color="auto"/>
                <w:bottom w:val="none" w:sz="0" w:space="0" w:color="auto"/>
                <w:right w:val="none" w:sz="0" w:space="0" w:color="auto"/>
              </w:divBdr>
            </w:div>
            <w:div w:id="1154756108">
              <w:marLeft w:val="0"/>
              <w:marRight w:val="0"/>
              <w:marTop w:val="0"/>
              <w:marBottom w:val="0"/>
              <w:divBdr>
                <w:top w:val="none" w:sz="0" w:space="0" w:color="auto"/>
                <w:left w:val="none" w:sz="0" w:space="0" w:color="auto"/>
                <w:bottom w:val="none" w:sz="0" w:space="0" w:color="auto"/>
                <w:right w:val="none" w:sz="0" w:space="0" w:color="auto"/>
              </w:divBdr>
            </w:div>
            <w:div w:id="1277906916">
              <w:marLeft w:val="0"/>
              <w:marRight w:val="0"/>
              <w:marTop w:val="0"/>
              <w:marBottom w:val="0"/>
              <w:divBdr>
                <w:top w:val="none" w:sz="0" w:space="0" w:color="auto"/>
                <w:left w:val="none" w:sz="0" w:space="0" w:color="auto"/>
                <w:bottom w:val="none" w:sz="0" w:space="0" w:color="auto"/>
                <w:right w:val="none" w:sz="0" w:space="0" w:color="auto"/>
              </w:divBdr>
            </w:div>
            <w:div w:id="1283658855">
              <w:marLeft w:val="0"/>
              <w:marRight w:val="0"/>
              <w:marTop w:val="0"/>
              <w:marBottom w:val="0"/>
              <w:divBdr>
                <w:top w:val="none" w:sz="0" w:space="0" w:color="auto"/>
                <w:left w:val="none" w:sz="0" w:space="0" w:color="auto"/>
                <w:bottom w:val="none" w:sz="0" w:space="0" w:color="auto"/>
                <w:right w:val="none" w:sz="0" w:space="0" w:color="auto"/>
              </w:divBdr>
            </w:div>
            <w:div w:id="1289972393">
              <w:marLeft w:val="0"/>
              <w:marRight w:val="0"/>
              <w:marTop w:val="0"/>
              <w:marBottom w:val="0"/>
              <w:divBdr>
                <w:top w:val="none" w:sz="0" w:space="0" w:color="auto"/>
                <w:left w:val="none" w:sz="0" w:space="0" w:color="auto"/>
                <w:bottom w:val="none" w:sz="0" w:space="0" w:color="auto"/>
                <w:right w:val="none" w:sz="0" w:space="0" w:color="auto"/>
              </w:divBdr>
            </w:div>
            <w:div w:id="1394425495">
              <w:marLeft w:val="0"/>
              <w:marRight w:val="0"/>
              <w:marTop w:val="0"/>
              <w:marBottom w:val="0"/>
              <w:divBdr>
                <w:top w:val="none" w:sz="0" w:space="0" w:color="auto"/>
                <w:left w:val="none" w:sz="0" w:space="0" w:color="auto"/>
                <w:bottom w:val="none" w:sz="0" w:space="0" w:color="auto"/>
                <w:right w:val="none" w:sz="0" w:space="0" w:color="auto"/>
              </w:divBdr>
            </w:div>
            <w:div w:id="1487015694">
              <w:marLeft w:val="0"/>
              <w:marRight w:val="0"/>
              <w:marTop w:val="0"/>
              <w:marBottom w:val="0"/>
              <w:divBdr>
                <w:top w:val="none" w:sz="0" w:space="0" w:color="auto"/>
                <w:left w:val="none" w:sz="0" w:space="0" w:color="auto"/>
                <w:bottom w:val="none" w:sz="0" w:space="0" w:color="auto"/>
                <w:right w:val="none" w:sz="0" w:space="0" w:color="auto"/>
              </w:divBdr>
            </w:div>
            <w:div w:id="1653832143">
              <w:marLeft w:val="0"/>
              <w:marRight w:val="0"/>
              <w:marTop w:val="0"/>
              <w:marBottom w:val="0"/>
              <w:divBdr>
                <w:top w:val="none" w:sz="0" w:space="0" w:color="auto"/>
                <w:left w:val="none" w:sz="0" w:space="0" w:color="auto"/>
                <w:bottom w:val="none" w:sz="0" w:space="0" w:color="auto"/>
                <w:right w:val="none" w:sz="0" w:space="0" w:color="auto"/>
              </w:divBdr>
            </w:div>
            <w:div w:id="1668093099">
              <w:marLeft w:val="0"/>
              <w:marRight w:val="0"/>
              <w:marTop w:val="0"/>
              <w:marBottom w:val="0"/>
              <w:divBdr>
                <w:top w:val="none" w:sz="0" w:space="0" w:color="auto"/>
                <w:left w:val="none" w:sz="0" w:space="0" w:color="auto"/>
                <w:bottom w:val="none" w:sz="0" w:space="0" w:color="auto"/>
                <w:right w:val="none" w:sz="0" w:space="0" w:color="auto"/>
              </w:divBdr>
            </w:div>
            <w:div w:id="1798912097">
              <w:marLeft w:val="0"/>
              <w:marRight w:val="0"/>
              <w:marTop w:val="0"/>
              <w:marBottom w:val="0"/>
              <w:divBdr>
                <w:top w:val="none" w:sz="0" w:space="0" w:color="auto"/>
                <w:left w:val="none" w:sz="0" w:space="0" w:color="auto"/>
                <w:bottom w:val="none" w:sz="0" w:space="0" w:color="auto"/>
                <w:right w:val="none" w:sz="0" w:space="0" w:color="auto"/>
              </w:divBdr>
            </w:div>
            <w:div w:id="2044673223">
              <w:marLeft w:val="0"/>
              <w:marRight w:val="0"/>
              <w:marTop w:val="0"/>
              <w:marBottom w:val="0"/>
              <w:divBdr>
                <w:top w:val="none" w:sz="0" w:space="0" w:color="auto"/>
                <w:left w:val="none" w:sz="0" w:space="0" w:color="auto"/>
                <w:bottom w:val="none" w:sz="0" w:space="0" w:color="auto"/>
                <w:right w:val="none" w:sz="0" w:space="0" w:color="auto"/>
              </w:divBdr>
            </w:div>
            <w:div w:id="2117868008">
              <w:marLeft w:val="0"/>
              <w:marRight w:val="0"/>
              <w:marTop w:val="0"/>
              <w:marBottom w:val="0"/>
              <w:divBdr>
                <w:top w:val="none" w:sz="0" w:space="0" w:color="auto"/>
                <w:left w:val="none" w:sz="0" w:space="0" w:color="auto"/>
                <w:bottom w:val="none" w:sz="0" w:space="0" w:color="auto"/>
                <w:right w:val="none" w:sz="0" w:space="0" w:color="auto"/>
              </w:divBdr>
            </w:div>
          </w:divsChild>
        </w:div>
        <w:div w:id="1078669617">
          <w:marLeft w:val="0"/>
          <w:marRight w:val="0"/>
          <w:marTop w:val="0"/>
          <w:marBottom w:val="0"/>
          <w:divBdr>
            <w:top w:val="none" w:sz="0" w:space="0" w:color="auto"/>
            <w:left w:val="none" w:sz="0" w:space="0" w:color="auto"/>
            <w:bottom w:val="none" w:sz="0" w:space="0" w:color="auto"/>
            <w:right w:val="none" w:sz="0" w:space="0" w:color="auto"/>
          </w:divBdr>
        </w:div>
        <w:div w:id="1163005133">
          <w:marLeft w:val="0"/>
          <w:marRight w:val="0"/>
          <w:marTop w:val="0"/>
          <w:marBottom w:val="0"/>
          <w:divBdr>
            <w:top w:val="none" w:sz="0" w:space="0" w:color="auto"/>
            <w:left w:val="none" w:sz="0" w:space="0" w:color="auto"/>
            <w:bottom w:val="none" w:sz="0" w:space="0" w:color="auto"/>
            <w:right w:val="none" w:sz="0" w:space="0" w:color="auto"/>
          </w:divBdr>
        </w:div>
        <w:div w:id="1276448400">
          <w:marLeft w:val="0"/>
          <w:marRight w:val="0"/>
          <w:marTop w:val="0"/>
          <w:marBottom w:val="0"/>
          <w:divBdr>
            <w:top w:val="none" w:sz="0" w:space="0" w:color="auto"/>
            <w:left w:val="none" w:sz="0" w:space="0" w:color="auto"/>
            <w:bottom w:val="none" w:sz="0" w:space="0" w:color="auto"/>
            <w:right w:val="none" w:sz="0" w:space="0" w:color="auto"/>
          </w:divBdr>
          <w:divsChild>
            <w:div w:id="68354802">
              <w:marLeft w:val="0"/>
              <w:marRight w:val="0"/>
              <w:marTop w:val="0"/>
              <w:marBottom w:val="0"/>
              <w:divBdr>
                <w:top w:val="none" w:sz="0" w:space="0" w:color="auto"/>
                <w:left w:val="none" w:sz="0" w:space="0" w:color="auto"/>
                <w:bottom w:val="none" w:sz="0" w:space="0" w:color="auto"/>
                <w:right w:val="none" w:sz="0" w:space="0" w:color="auto"/>
              </w:divBdr>
            </w:div>
            <w:div w:id="246233152">
              <w:marLeft w:val="0"/>
              <w:marRight w:val="0"/>
              <w:marTop w:val="0"/>
              <w:marBottom w:val="0"/>
              <w:divBdr>
                <w:top w:val="none" w:sz="0" w:space="0" w:color="auto"/>
                <w:left w:val="none" w:sz="0" w:space="0" w:color="auto"/>
                <w:bottom w:val="none" w:sz="0" w:space="0" w:color="auto"/>
                <w:right w:val="none" w:sz="0" w:space="0" w:color="auto"/>
              </w:divBdr>
            </w:div>
            <w:div w:id="353767800">
              <w:marLeft w:val="0"/>
              <w:marRight w:val="0"/>
              <w:marTop w:val="0"/>
              <w:marBottom w:val="0"/>
              <w:divBdr>
                <w:top w:val="none" w:sz="0" w:space="0" w:color="auto"/>
                <w:left w:val="none" w:sz="0" w:space="0" w:color="auto"/>
                <w:bottom w:val="none" w:sz="0" w:space="0" w:color="auto"/>
                <w:right w:val="none" w:sz="0" w:space="0" w:color="auto"/>
              </w:divBdr>
            </w:div>
            <w:div w:id="493910330">
              <w:marLeft w:val="0"/>
              <w:marRight w:val="0"/>
              <w:marTop w:val="0"/>
              <w:marBottom w:val="0"/>
              <w:divBdr>
                <w:top w:val="none" w:sz="0" w:space="0" w:color="auto"/>
                <w:left w:val="none" w:sz="0" w:space="0" w:color="auto"/>
                <w:bottom w:val="none" w:sz="0" w:space="0" w:color="auto"/>
                <w:right w:val="none" w:sz="0" w:space="0" w:color="auto"/>
              </w:divBdr>
            </w:div>
            <w:div w:id="690178862">
              <w:marLeft w:val="0"/>
              <w:marRight w:val="0"/>
              <w:marTop w:val="0"/>
              <w:marBottom w:val="0"/>
              <w:divBdr>
                <w:top w:val="none" w:sz="0" w:space="0" w:color="auto"/>
                <w:left w:val="none" w:sz="0" w:space="0" w:color="auto"/>
                <w:bottom w:val="none" w:sz="0" w:space="0" w:color="auto"/>
                <w:right w:val="none" w:sz="0" w:space="0" w:color="auto"/>
              </w:divBdr>
            </w:div>
            <w:div w:id="737098194">
              <w:marLeft w:val="0"/>
              <w:marRight w:val="0"/>
              <w:marTop w:val="0"/>
              <w:marBottom w:val="0"/>
              <w:divBdr>
                <w:top w:val="none" w:sz="0" w:space="0" w:color="auto"/>
                <w:left w:val="none" w:sz="0" w:space="0" w:color="auto"/>
                <w:bottom w:val="none" w:sz="0" w:space="0" w:color="auto"/>
                <w:right w:val="none" w:sz="0" w:space="0" w:color="auto"/>
              </w:divBdr>
            </w:div>
            <w:div w:id="810907912">
              <w:marLeft w:val="0"/>
              <w:marRight w:val="0"/>
              <w:marTop w:val="0"/>
              <w:marBottom w:val="0"/>
              <w:divBdr>
                <w:top w:val="none" w:sz="0" w:space="0" w:color="auto"/>
                <w:left w:val="none" w:sz="0" w:space="0" w:color="auto"/>
                <w:bottom w:val="none" w:sz="0" w:space="0" w:color="auto"/>
                <w:right w:val="none" w:sz="0" w:space="0" w:color="auto"/>
              </w:divBdr>
            </w:div>
            <w:div w:id="1048914375">
              <w:marLeft w:val="0"/>
              <w:marRight w:val="0"/>
              <w:marTop w:val="0"/>
              <w:marBottom w:val="0"/>
              <w:divBdr>
                <w:top w:val="none" w:sz="0" w:space="0" w:color="auto"/>
                <w:left w:val="none" w:sz="0" w:space="0" w:color="auto"/>
                <w:bottom w:val="none" w:sz="0" w:space="0" w:color="auto"/>
                <w:right w:val="none" w:sz="0" w:space="0" w:color="auto"/>
              </w:divBdr>
            </w:div>
            <w:div w:id="1203589400">
              <w:marLeft w:val="0"/>
              <w:marRight w:val="0"/>
              <w:marTop w:val="0"/>
              <w:marBottom w:val="0"/>
              <w:divBdr>
                <w:top w:val="none" w:sz="0" w:space="0" w:color="auto"/>
                <w:left w:val="none" w:sz="0" w:space="0" w:color="auto"/>
                <w:bottom w:val="none" w:sz="0" w:space="0" w:color="auto"/>
                <w:right w:val="none" w:sz="0" w:space="0" w:color="auto"/>
              </w:divBdr>
            </w:div>
            <w:div w:id="1447386065">
              <w:marLeft w:val="0"/>
              <w:marRight w:val="0"/>
              <w:marTop w:val="0"/>
              <w:marBottom w:val="0"/>
              <w:divBdr>
                <w:top w:val="none" w:sz="0" w:space="0" w:color="auto"/>
                <w:left w:val="none" w:sz="0" w:space="0" w:color="auto"/>
                <w:bottom w:val="none" w:sz="0" w:space="0" w:color="auto"/>
                <w:right w:val="none" w:sz="0" w:space="0" w:color="auto"/>
              </w:divBdr>
            </w:div>
            <w:div w:id="1452899133">
              <w:marLeft w:val="0"/>
              <w:marRight w:val="0"/>
              <w:marTop w:val="0"/>
              <w:marBottom w:val="0"/>
              <w:divBdr>
                <w:top w:val="none" w:sz="0" w:space="0" w:color="auto"/>
                <w:left w:val="none" w:sz="0" w:space="0" w:color="auto"/>
                <w:bottom w:val="none" w:sz="0" w:space="0" w:color="auto"/>
                <w:right w:val="none" w:sz="0" w:space="0" w:color="auto"/>
              </w:divBdr>
            </w:div>
            <w:div w:id="1521160901">
              <w:marLeft w:val="0"/>
              <w:marRight w:val="0"/>
              <w:marTop w:val="0"/>
              <w:marBottom w:val="0"/>
              <w:divBdr>
                <w:top w:val="none" w:sz="0" w:space="0" w:color="auto"/>
                <w:left w:val="none" w:sz="0" w:space="0" w:color="auto"/>
                <w:bottom w:val="none" w:sz="0" w:space="0" w:color="auto"/>
                <w:right w:val="none" w:sz="0" w:space="0" w:color="auto"/>
              </w:divBdr>
            </w:div>
            <w:div w:id="1564871399">
              <w:marLeft w:val="0"/>
              <w:marRight w:val="0"/>
              <w:marTop w:val="0"/>
              <w:marBottom w:val="0"/>
              <w:divBdr>
                <w:top w:val="none" w:sz="0" w:space="0" w:color="auto"/>
                <w:left w:val="none" w:sz="0" w:space="0" w:color="auto"/>
                <w:bottom w:val="none" w:sz="0" w:space="0" w:color="auto"/>
                <w:right w:val="none" w:sz="0" w:space="0" w:color="auto"/>
              </w:divBdr>
            </w:div>
            <w:div w:id="1592620002">
              <w:marLeft w:val="0"/>
              <w:marRight w:val="0"/>
              <w:marTop w:val="0"/>
              <w:marBottom w:val="0"/>
              <w:divBdr>
                <w:top w:val="none" w:sz="0" w:space="0" w:color="auto"/>
                <w:left w:val="none" w:sz="0" w:space="0" w:color="auto"/>
                <w:bottom w:val="none" w:sz="0" w:space="0" w:color="auto"/>
                <w:right w:val="none" w:sz="0" w:space="0" w:color="auto"/>
              </w:divBdr>
            </w:div>
            <w:div w:id="1768193425">
              <w:marLeft w:val="0"/>
              <w:marRight w:val="0"/>
              <w:marTop w:val="0"/>
              <w:marBottom w:val="0"/>
              <w:divBdr>
                <w:top w:val="none" w:sz="0" w:space="0" w:color="auto"/>
                <w:left w:val="none" w:sz="0" w:space="0" w:color="auto"/>
                <w:bottom w:val="none" w:sz="0" w:space="0" w:color="auto"/>
                <w:right w:val="none" w:sz="0" w:space="0" w:color="auto"/>
              </w:divBdr>
            </w:div>
            <w:div w:id="1786384741">
              <w:marLeft w:val="0"/>
              <w:marRight w:val="0"/>
              <w:marTop w:val="0"/>
              <w:marBottom w:val="0"/>
              <w:divBdr>
                <w:top w:val="none" w:sz="0" w:space="0" w:color="auto"/>
                <w:left w:val="none" w:sz="0" w:space="0" w:color="auto"/>
                <w:bottom w:val="none" w:sz="0" w:space="0" w:color="auto"/>
                <w:right w:val="none" w:sz="0" w:space="0" w:color="auto"/>
              </w:divBdr>
            </w:div>
            <w:div w:id="1898662311">
              <w:marLeft w:val="0"/>
              <w:marRight w:val="0"/>
              <w:marTop w:val="0"/>
              <w:marBottom w:val="0"/>
              <w:divBdr>
                <w:top w:val="none" w:sz="0" w:space="0" w:color="auto"/>
                <w:left w:val="none" w:sz="0" w:space="0" w:color="auto"/>
                <w:bottom w:val="none" w:sz="0" w:space="0" w:color="auto"/>
                <w:right w:val="none" w:sz="0" w:space="0" w:color="auto"/>
              </w:divBdr>
            </w:div>
            <w:div w:id="2009599028">
              <w:marLeft w:val="0"/>
              <w:marRight w:val="0"/>
              <w:marTop w:val="0"/>
              <w:marBottom w:val="0"/>
              <w:divBdr>
                <w:top w:val="none" w:sz="0" w:space="0" w:color="auto"/>
                <w:left w:val="none" w:sz="0" w:space="0" w:color="auto"/>
                <w:bottom w:val="none" w:sz="0" w:space="0" w:color="auto"/>
                <w:right w:val="none" w:sz="0" w:space="0" w:color="auto"/>
              </w:divBdr>
            </w:div>
            <w:div w:id="2035880370">
              <w:marLeft w:val="0"/>
              <w:marRight w:val="0"/>
              <w:marTop w:val="0"/>
              <w:marBottom w:val="0"/>
              <w:divBdr>
                <w:top w:val="none" w:sz="0" w:space="0" w:color="auto"/>
                <w:left w:val="none" w:sz="0" w:space="0" w:color="auto"/>
                <w:bottom w:val="none" w:sz="0" w:space="0" w:color="auto"/>
                <w:right w:val="none" w:sz="0" w:space="0" w:color="auto"/>
              </w:divBdr>
            </w:div>
            <w:div w:id="2115129093">
              <w:marLeft w:val="0"/>
              <w:marRight w:val="0"/>
              <w:marTop w:val="0"/>
              <w:marBottom w:val="0"/>
              <w:divBdr>
                <w:top w:val="none" w:sz="0" w:space="0" w:color="auto"/>
                <w:left w:val="none" w:sz="0" w:space="0" w:color="auto"/>
                <w:bottom w:val="none" w:sz="0" w:space="0" w:color="auto"/>
                <w:right w:val="none" w:sz="0" w:space="0" w:color="auto"/>
              </w:divBdr>
            </w:div>
          </w:divsChild>
        </w:div>
        <w:div w:id="1485118588">
          <w:marLeft w:val="0"/>
          <w:marRight w:val="0"/>
          <w:marTop w:val="0"/>
          <w:marBottom w:val="0"/>
          <w:divBdr>
            <w:top w:val="none" w:sz="0" w:space="0" w:color="auto"/>
            <w:left w:val="none" w:sz="0" w:space="0" w:color="auto"/>
            <w:bottom w:val="none" w:sz="0" w:space="0" w:color="auto"/>
            <w:right w:val="none" w:sz="0" w:space="0" w:color="auto"/>
          </w:divBdr>
          <w:divsChild>
            <w:div w:id="130486444">
              <w:marLeft w:val="0"/>
              <w:marRight w:val="0"/>
              <w:marTop w:val="0"/>
              <w:marBottom w:val="0"/>
              <w:divBdr>
                <w:top w:val="none" w:sz="0" w:space="0" w:color="auto"/>
                <w:left w:val="none" w:sz="0" w:space="0" w:color="auto"/>
                <w:bottom w:val="none" w:sz="0" w:space="0" w:color="auto"/>
                <w:right w:val="none" w:sz="0" w:space="0" w:color="auto"/>
              </w:divBdr>
            </w:div>
            <w:div w:id="220215932">
              <w:marLeft w:val="0"/>
              <w:marRight w:val="0"/>
              <w:marTop w:val="0"/>
              <w:marBottom w:val="0"/>
              <w:divBdr>
                <w:top w:val="none" w:sz="0" w:space="0" w:color="auto"/>
                <w:left w:val="none" w:sz="0" w:space="0" w:color="auto"/>
                <w:bottom w:val="none" w:sz="0" w:space="0" w:color="auto"/>
                <w:right w:val="none" w:sz="0" w:space="0" w:color="auto"/>
              </w:divBdr>
            </w:div>
            <w:div w:id="230846816">
              <w:marLeft w:val="0"/>
              <w:marRight w:val="0"/>
              <w:marTop w:val="0"/>
              <w:marBottom w:val="0"/>
              <w:divBdr>
                <w:top w:val="none" w:sz="0" w:space="0" w:color="auto"/>
                <w:left w:val="none" w:sz="0" w:space="0" w:color="auto"/>
                <w:bottom w:val="none" w:sz="0" w:space="0" w:color="auto"/>
                <w:right w:val="none" w:sz="0" w:space="0" w:color="auto"/>
              </w:divBdr>
            </w:div>
            <w:div w:id="312835479">
              <w:marLeft w:val="0"/>
              <w:marRight w:val="0"/>
              <w:marTop w:val="0"/>
              <w:marBottom w:val="0"/>
              <w:divBdr>
                <w:top w:val="none" w:sz="0" w:space="0" w:color="auto"/>
                <w:left w:val="none" w:sz="0" w:space="0" w:color="auto"/>
                <w:bottom w:val="none" w:sz="0" w:space="0" w:color="auto"/>
                <w:right w:val="none" w:sz="0" w:space="0" w:color="auto"/>
              </w:divBdr>
            </w:div>
            <w:div w:id="318996030">
              <w:marLeft w:val="0"/>
              <w:marRight w:val="0"/>
              <w:marTop w:val="0"/>
              <w:marBottom w:val="0"/>
              <w:divBdr>
                <w:top w:val="none" w:sz="0" w:space="0" w:color="auto"/>
                <w:left w:val="none" w:sz="0" w:space="0" w:color="auto"/>
                <w:bottom w:val="none" w:sz="0" w:space="0" w:color="auto"/>
                <w:right w:val="none" w:sz="0" w:space="0" w:color="auto"/>
              </w:divBdr>
            </w:div>
            <w:div w:id="368648439">
              <w:marLeft w:val="0"/>
              <w:marRight w:val="0"/>
              <w:marTop w:val="0"/>
              <w:marBottom w:val="0"/>
              <w:divBdr>
                <w:top w:val="none" w:sz="0" w:space="0" w:color="auto"/>
                <w:left w:val="none" w:sz="0" w:space="0" w:color="auto"/>
                <w:bottom w:val="none" w:sz="0" w:space="0" w:color="auto"/>
                <w:right w:val="none" w:sz="0" w:space="0" w:color="auto"/>
              </w:divBdr>
            </w:div>
            <w:div w:id="515584334">
              <w:marLeft w:val="0"/>
              <w:marRight w:val="0"/>
              <w:marTop w:val="0"/>
              <w:marBottom w:val="0"/>
              <w:divBdr>
                <w:top w:val="none" w:sz="0" w:space="0" w:color="auto"/>
                <w:left w:val="none" w:sz="0" w:space="0" w:color="auto"/>
                <w:bottom w:val="none" w:sz="0" w:space="0" w:color="auto"/>
                <w:right w:val="none" w:sz="0" w:space="0" w:color="auto"/>
              </w:divBdr>
            </w:div>
            <w:div w:id="657610550">
              <w:marLeft w:val="0"/>
              <w:marRight w:val="0"/>
              <w:marTop w:val="0"/>
              <w:marBottom w:val="0"/>
              <w:divBdr>
                <w:top w:val="none" w:sz="0" w:space="0" w:color="auto"/>
                <w:left w:val="none" w:sz="0" w:space="0" w:color="auto"/>
                <w:bottom w:val="none" w:sz="0" w:space="0" w:color="auto"/>
                <w:right w:val="none" w:sz="0" w:space="0" w:color="auto"/>
              </w:divBdr>
            </w:div>
            <w:div w:id="670571377">
              <w:marLeft w:val="0"/>
              <w:marRight w:val="0"/>
              <w:marTop w:val="0"/>
              <w:marBottom w:val="0"/>
              <w:divBdr>
                <w:top w:val="none" w:sz="0" w:space="0" w:color="auto"/>
                <w:left w:val="none" w:sz="0" w:space="0" w:color="auto"/>
                <w:bottom w:val="none" w:sz="0" w:space="0" w:color="auto"/>
                <w:right w:val="none" w:sz="0" w:space="0" w:color="auto"/>
              </w:divBdr>
            </w:div>
            <w:div w:id="1046367351">
              <w:marLeft w:val="0"/>
              <w:marRight w:val="0"/>
              <w:marTop w:val="0"/>
              <w:marBottom w:val="0"/>
              <w:divBdr>
                <w:top w:val="none" w:sz="0" w:space="0" w:color="auto"/>
                <w:left w:val="none" w:sz="0" w:space="0" w:color="auto"/>
                <w:bottom w:val="none" w:sz="0" w:space="0" w:color="auto"/>
                <w:right w:val="none" w:sz="0" w:space="0" w:color="auto"/>
              </w:divBdr>
            </w:div>
            <w:div w:id="1053701284">
              <w:marLeft w:val="0"/>
              <w:marRight w:val="0"/>
              <w:marTop w:val="0"/>
              <w:marBottom w:val="0"/>
              <w:divBdr>
                <w:top w:val="none" w:sz="0" w:space="0" w:color="auto"/>
                <w:left w:val="none" w:sz="0" w:space="0" w:color="auto"/>
                <w:bottom w:val="none" w:sz="0" w:space="0" w:color="auto"/>
                <w:right w:val="none" w:sz="0" w:space="0" w:color="auto"/>
              </w:divBdr>
            </w:div>
            <w:div w:id="1056508736">
              <w:marLeft w:val="0"/>
              <w:marRight w:val="0"/>
              <w:marTop w:val="0"/>
              <w:marBottom w:val="0"/>
              <w:divBdr>
                <w:top w:val="none" w:sz="0" w:space="0" w:color="auto"/>
                <w:left w:val="none" w:sz="0" w:space="0" w:color="auto"/>
                <w:bottom w:val="none" w:sz="0" w:space="0" w:color="auto"/>
                <w:right w:val="none" w:sz="0" w:space="0" w:color="auto"/>
              </w:divBdr>
            </w:div>
            <w:div w:id="1066879870">
              <w:marLeft w:val="0"/>
              <w:marRight w:val="0"/>
              <w:marTop w:val="0"/>
              <w:marBottom w:val="0"/>
              <w:divBdr>
                <w:top w:val="none" w:sz="0" w:space="0" w:color="auto"/>
                <w:left w:val="none" w:sz="0" w:space="0" w:color="auto"/>
                <w:bottom w:val="none" w:sz="0" w:space="0" w:color="auto"/>
                <w:right w:val="none" w:sz="0" w:space="0" w:color="auto"/>
              </w:divBdr>
            </w:div>
            <w:div w:id="1121993002">
              <w:marLeft w:val="0"/>
              <w:marRight w:val="0"/>
              <w:marTop w:val="0"/>
              <w:marBottom w:val="0"/>
              <w:divBdr>
                <w:top w:val="none" w:sz="0" w:space="0" w:color="auto"/>
                <w:left w:val="none" w:sz="0" w:space="0" w:color="auto"/>
                <w:bottom w:val="none" w:sz="0" w:space="0" w:color="auto"/>
                <w:right w:val="none" w:sz="0" w:space="0" w:color="auto"/>
              </w:divBdr>
            </w:div>
            <w:div w:id="1216741513">
              <w:marLeft w:val="0"/>
              <w:marRight w:val="0"/>
              <w:marTop w:val="0"/>
              <w:marBottom w:val="0"/>
              <w:divBdr>
                <w:top w:val="none" w:sz="0" w:space="0" w:color="auto"/>
                <w:left w:val="none" w:sz="0" w:space="0" w:color="auto"/>
                <w:bottom w:val="none" w:sz="0" w:space="0" w:color="auto"/>
                <w:right w:val="none" w:sz="0" w:space="0" w:color="auto"/>
              </w:divBdr>
            </w:div>
            <w:div w:id="1327322608">
              <w:marLeft w:val="0"/>
              <w:marRight w:val="0"/>
              <w:marTop w:val="0"/>
              <w:marBottom w:val="0"/>
              <w:divBdr>
                <w:top w:val="none" w:sz="0" w:space="0" w:color="auto"/>
                <w:left w:val="none" w:sz="0" w:space="0" w:color="auto"/>
                <w:bottom w:val="none" w:sz="0" w:space="0" w:color="auto"/>
                <w:right w:val="none" w:sz="0" w:space="0" w:color="auto"/>
              </w:divBdr>
            </w:div>
            <w:div w:id="1565096672">
              <w:marLeft w:val="0"/>
              <w:marRight w:val="0"/>
              <w:marTop w:val="0"/>
              <w:marBottom w:val="0"/>
              <w:divBdr>
                <w:top w:val="none" w:sz="0" w:space="0" w:color="auto"/>
                <w:left w:val="none" w:sz="0" w:space="0" w:color="auto"/>
                <w:bottom w:val="none" w:sz="0" w:space="0" w:color="auto"/>
                <w:right w:val="none" w:sz="0" w:space="0" w:color="auto"/>
              </w:divBdr>
            </w:div>
            <w:div w:id="1931886353">
              <w:marLeft w:val="0"/>
              <w:marRight w:val="0"/>
              <w:marTop w:val="0"/>
              <w:marBottom w:val="0"/>
              <w:divBdr>
                <w:top w:val="none" w:sz="0" w:space="0" w:color="auto"/>
                <w:left w:val="none" w:sz="0" w:space="0" w:color="auto"/>
                <w:bottom w:val="none" w:sz="0" w:space="0" w:color="auto"/>
                <w:right w:val="none" w:sz="0" w:space="0" w:color="auto"/>
              </w:divBdr>
            </w:div>
            <w:div w:id="2001419552">
              <w:marLeft w:val="0"/>
              <w:marRight w:val="0"/>
              <w:marTop w:val="0"/>
              <w:marBottom w:val="0"/>
              <w:divBdr>
                <w:top w:val="none" w:sz="0" w:space="0" w:color="auto"/>
                <w:left w:val="none" w:sz="0" w:space="0" w:color="auto"/>
                <w:bottom w:val="none" w:sz="0" w:space="0" w:color="auto"/>
                <w:right w:val="none" w:sz="0" w:space="0" w:color="auto"/>
              </w:divBdr>
            </w:div>
            <w:div w:id="2025089505">
              <w:marLeft w:val="0"/>
              <w:marRight w:val="0"/>
              <w:marTop w:val="0"/>
              <w:marBottom w:val="0"/>
              <w:divBdr>
                <w:top w:val="none" w:sz="0" w:space="0" w:color="auto"/>
                <w:left w:val="none" w:sz="0" w:space="0" w:color="auto"/>
                <w:bottom w:val="none" w:sz="0" w:space="0" w:color="auto"/>
                <w:right w:val="none" w:sz="0" w:space="0" w:color="auto"/>
              </w:divBdr>
            </w:div>
          </w:divsChild>
        </w:div>
        <w:div w:id="1542744733">
          <w:marLeft w:val="0"/>
          <w:marRight w:val="0"/>
          <w:marTop w:val="0"/>
          <w:marBottom w:val="0"/>
          <w:divBdr>
            <w:top w:val="none" w:sz="0" w:space="0" w:color="auto"/>
            <w:left w:val="none" w:sz="0" w:space="0" w:color="auto"/>
            <w:bottom w:val="none" w:sz="0" w:space="0" w:color="auto"/>
            <w:right w:val="none" w:sz="0" w:space="0" w:color="auto"/>
          </w:divBdr>
          <w:divsChild>
            <w:div w:id="3827045">
              <w:marLeft w:val="0"/>
              <w:marRight w:val="0"/>
              <w:marTop w:val="0"/>
              <w:marBottom w:val="0"/>
              <w:divBdr>
                <w:top w:val="none" w:sz="0" w:space="0" w:color="auto"/>
                <w:left w:val="none" w:sz="0" w:space="0" w:color="auto"/>
                <w:bottom w:val="none" w:sz="0" w:space="0" w:color="auto"/>
                <w:right w:val="none" w:sz="0" w:space="0" w:color="auto"/>
              </w:divBdr>
            </w:div>
            <w:div w:id="318122445">
              <w:marLeft w:val="0"/>
              <w:marRight w:val="0"/>
              <w:marTop w:val="0"/>
              <w:marBottom w:val="0"/>
              <w:divBdr>
                <w:top w:val="none" w:sz="0" w:space="0" w:color="auto"/>
                <w:left w:val="none" w:sz="0" w:space="0" w:color="auto"/>
                <w:bottom w:val="none" w:sz="0" w:space="0" w:color="auto"/>
                <w:right w:val="none" w:sz="0" w:space="0" w:color="auto"/>
              </w:divBdr>
            </w:div>
            <w:div w:id="466973140">
              <w:marLeft w:val="0"/>
              <w:marRight w:val="0"/>
              <w:marTop w:val="0"/>
              <w:marBottom w:val="0"/>
              <w:divBdr>
                <w:top w:val="none" w:sz="0" w:space="0" w:color="auto"/>
                <w:left w:val="none" w:sz="0" w:space="0" w:color="auto"/>
                <w:bottom w:val="none" w:sz="0" w:space="0" w:color="auto"/>
                <w:right w:val="none" w:sz="0" w:space="0" w:color="auto"/>
              </w:divBdr>
            </w:div>
            <w:div w:id="488326567">
              <w:marLeft w:val="0"/>
              <w:marRight w:val="0"/>
              <w:marTop w:val="0"/>
              <w:marBottom w:val="0"/>
              <w:divBdr>
                <w:top w:val="none" w:sz="0" w:space="0" w:color="auto"/>
                <w:left w:val="none" w:sz="0" w:space="0" w:color="auto"/>
                <w:bottom w:val="none" w:sz="0" w:space="0" w:color="auto"/>
                <w:right w:val="none" w:sz="0" w:space="0" w:color="auto"/>
              </w:divBdr>
            </w:div>
            <w:div w:id="622610798">
              <w:marLeft w:val="0"/>
              <w:marRight w:val="0"/>
              <w:marTop w:val="0"/>
              <w:marBottom w:val="0"/>
              <w:divBdr>
                <w:top w:val="none" w:sz="0" w:space="0" w:color="auto"/>
                <w:left w:val="none" w:sz="0" w:space="0" w:color="auto"/>
                <w:bottom w:val="none" w:sz="0" w:space="0" w:color="auto"/>
                <w:right w:val="none" w:sz="0" w:space="0" w:color="auto"/>
              </w:divBdr>
            </w:div>
            <w:div w:id="1198153657">
              <w:marLeft w:val="0"/>
              <w:marRight w:val="0"/>
              <w:marTop w:val="0"/>
              <w:marBottom w:val="0"/>
              <w:divBdr>
                <w:top w:val="none" w:sz="0" w:space="0" w:color="auto"/>
                <w:left w:val="none" w:sz="0" w:space="0" w:color="auto"/>
                <w:bottom w:val="none" w:sz="0" w:space="0" w:color="auto"/>
                <w:right w:val="none" w:sz="0" w:space="0" w:color="auto"/>
              </w:divBdr>
            </w:div>
            <w:div w:id="1211577799">
              <w:marLeft w:val="0"/>
              <w:marRight w:val="0"/>
              <w:marTop w:val="0"/>
              <w:marBottom w:val="0"/>
              <w:divBdr>
                <w:top w:val="none" w:sz="0" w:space="0" w:color="auto"/>
                <w:left w:val="none" w:sz="0" w:space="0" w:color="auto"/>
                <w:bottom w:val="none" w:sz="0" w:space="0" w:color="auto"/>
                <w:right w:val="none" w:sz="0" w:space="0" w:color="auto"/>
              </w:divBdr>
            </w:div>
            <w:div w:id="1405487112">
              <w:marLeft w:val="0"/>
              <w:marRight w:val="0"/>
              <w:marTop w:val="0"/>
              <w:marBottom w:val="0"/>
              <w:divBdr>
                <w:top w:val="none" w:sz="0" w:space="0" w:color="auto"/>
                <w:left w:val="none" w:sz="0" w:space="0" w:color="auto"/>
                <w:bottom w:val="none" w:sz="0" w:space="0" w:color="auto"/>
                <w:right w:val="none" w:sz="0" w:space="0" w:color="auto"/>
              </w:divBdr>
            </w:div>
            <w:div w:id="1645044887">
              <w:marLeft w:val="0"/>
              <w:marRight w:val="0"/>
              <w:marTop w:val="0"/>
              <w:marBottom w:val="0"/>
              <w:divBdr>
                <w:top w:val="none" w:sz="0" w:space="0" w:color="auto"/>
                <w:left w:val="none" w:sz="0" w:space="0" w:color="auto"/>
                <w:bottom w:val="none" w:sz="0" w:space="0" w:color="auto"/>
                <w:right w:val="none" w:sz="0" w:space="0" w:color="auto"/>
              </w:divBdr>
            </w:div>
            <w:div w:id="1798403151">
              <w:marLeft w:val="0"/>
              <w:marRight w:val="0"/>
              <w:marTop w:val="0"/>
              <w:marBottom w:val="0"/>
              <w:divBdr>
                <w:top w:val="none" w:sz="0" w:space="0" w:color="auto"/>
                <w:left w:val="none" w:sz="0" w:space="0" w:color="auto"/>
                <w:bottom w:val="none" w:sz="0" w:space="0" w:color="auto"/>
                <w:right w:val="none" w:sz="0" w:space="0" w:color="auto"/>
              </w:divBdr>
            </w:div>
            <w:div w:id="2058820903">
              <w:marLeft w:val="0"/>
              <w:marRight w:val="0"/>
              <w:marTop w:val="0"/>
              <w:marBottom w:val="0"/>
              <w:divBdr>
                <w:top w:val="none" w:sz="0" w:space="0" w:color="auto"/>
                <w:left w:val="none" w:sz="0" w:space="0" w:color="auto"/>
                <w:bottom w:val="none" w:sz="0" w:space="0" w:color="auto"/>
                <w:right w:val="none" w:sz="0" w:space="0" w:color="auto"/>
              </w:divBdr>
            </w:div>
          </w:divsChild>
        </w:div>
        <w:div w:id="1560482648">
          <w:marLeft w:val="0"/>
          <w:marRight w:val="0"/>
          <w:marTop w:val="0"/>
          <w:marBottom w:val="0"/>
          <w:divBdr>
            <w:top w:val="none" w:sz="0" w:space="0" w:color="auto"/>
            <w:left w:val="none" w:sz="0" w:space="0" w:color="auto"/>
            <w:bottom w:val="none" w:sz="0" w:space="0" w:color="auto"/>
            <w:right w:val="none" w:sz="0" w:space="0" w:color="auto"/>
          </w:divBdr>
          <w:divsChild>
            <w:div w:id="1376000955">
              <w:marLeft w:val="-75"/>
              <w:marRight w:val="0"/>
              <w:marTop w:val="30"/>
              <w:marBottom w:val="30"/>
              <w:divBdr>
                <w:top w:val="none" w:sz="0" w:space="0" w:color="auto"/>
                <w:left w:val="none" w:sz="0" w:space="0" w:color="auto"/>
                <w:bottom w:val="none" w:sz="0" w:space="0" w:color="auto"/>
                <w:right w:val="none" w:sz="0" w:space="0" w:color="auto"/>
              </w:divBdr>
              <w:divsChild>
                <w:div w:id="114832593">
                  <w:marLeft w:val="0"/>
                  <w:marRight w:val="0"/>
                  <w:marTop w:val="0"/>
                  <w:marBottom w:val="0"/>
                  <w:divBdr>
                    <w:top w:val="none" w:sz="0" w:space="0" w:color="auto"/>
                    <w:left w:val="none" w:sz="0" w:space="0" w:color="auto"/>
                    <w:bottom w:val="none" w:sz="0" w:space="0" w:color="auto"/>
                    <w:right w:val="none" w:sz="0" w:space="0" w:color="auto"/>
                  </w:divBdr>
                  <w:divsChild>
                    <w:div w:id="1187600233">
                      <w:marLeft w:val="0"/>
                      <w:marRight w:val="0"/>
                      <w:marTop w:val="0"/>
                      <w:marBottom w:val="0"/>
                      <w:divBdr>
                        <w:top w:val="none" w:sz="0" w:space="0" w:color="auto"/>
                        <w:left w:val="none" w:sz="0" w:space="0" w:color="auto"/>
                        <w:bottom w:val="none" w:sz="0" w:space="0" w:color="auto"/>
                        <w:right w:val="none" w:sz="0" w:space="0" w:color="auto"/>
                      </w:divBdr>
                    </w:div>
                  </w:divsChild>
                </w:div>
                <w:div w:id="286012152">
                  <w:marLeft w:val="0"/>
                  <w:marRight w:val="0"/>
                  <w:marTop w:val="0"/>
                  <w:marBottom w:val="0"/>
                  <w:divBdr>
                    <w:top w:val="none" w:sz="0" w:space="0" w:color="auto"/>
                    <w:left w:val="none" w:sz="0" w:space="0" w:color="auto"/>
                    <w:bottom w:val="none" w:sz="0" w:space="0" w:color="auto"/>
                    <w:right w:val="none" w:sz="0" w:space="0" w:color="auto"/>
                  </w:divBdr>
                  <w:divsChild>
                    <w:div w:id="309099656">
                      <w:marLeft w:val="0"/>
                      <w:marRight w:val="0"/>
                      <w:marTop w:val="0"/>
                      <w:marBottom w:val="0"/>
                      <w:divBdr>
                        <w:top w:val="none" w:sz="0" w:space="0" w:color="auto"/>
                        <w:left w:val="none" w:sz="0" w:space="0" w:color="auto"/>
                        <w:bottom w:val="none" w:sz="0" w:space="0" w:color="auto"/>
                        <w:right w:val="none" w:sz="0" w:space="0" w:color="auto"/>
                      </w:divBdr>
                    </w:div>
                  </w:divsChild>
                </w:div>
                <w:div w:id="323318824">
                  <w:marLeft w:val="0"/>
                  <w:marRight w:val="0"/>
                  <w:marTop w:val="0"/>
                  <w:marBottom w:val="0"/>
                  <w:divBdr>
                    <w:top w:val="none" w:sz="0" w:space="0" w:color="auto"/>
                    <w:left w:val="none" w:sz="0" w:space="0" w:color="auto"/>
                    <w:bottom w:val="none" w:sz="0" w:space="0" w:color="auto"/>
                    <w:right w:val="none" w:sz="0" w:space="0" w:color="auto"/>
                  </w:divBdr>
                  <w:divsChild>
                    <w:div w:id="1759905419">
                      <w:marLeft w:val="0"/>
                      <w:marRight w:val="0"/>
                      <w:marTop w:val="0"/>
                      <w:marBottom w:val="0"/>
                      <w:divBdr>
                        <w:top w:val="none" w:sz="0" w:space="0" w:color="auto"/>
                        <w:left w:val="none" w:sz="0" w:space="0" w:color="auto"/>
                        <w:bottom w:val="none" w:sz="0" w:space="0" w:color="auto"/>
                        <w:right w:val="none" w:sz="0" w:space="0" w:color="auto"/>
                      </w:divBdr>
                    </w:div>
                  </w:divsChild>
                </w:div>
                <w:div w:id="654846576">
                  <w:marLeft w:val="0"/>
                  <w:marRight w:val="0"/>
                  <w:marTop w:val="0"/>
                  <w:marBottom w:val="0"/>
                  <w:divBdr>
                    <w:top w:val="none" w:sz="0" w:space="0" w:color="auto"/>
                    <w:left w:val="none" w:sz="0" w:space="0" w:color="auto"/>
                    <w:bottom w:val="none" w:sz="0" w:space="0" w:color="auto"/>
                    <w:right w:val="none" w:sz="0" w:space="0" w:color="auto"/>
                  </w:divBdr>
                  <w:divsChild>
                    <w:div w:id="590548180">
                      <w:marLeft w:val="0"/>
                      <w:marRight w:val="0"/>
                      <w:marTop w:val="0"/>
                      <w:marBottom w:val="0"/>
                      <w:divBdr>
                        <w:top w:val="none" w:sz="0" w:space="0" w:color="auto"/>
                        <w:left w:val="none" w:sz="0" w:space="0" w:color="auto"/>
                        <w:bottom w:val="none" w:sz="0" w:space="0" w:color="auto"/>
                        <w:right w:val="none" w:sz="0" w:space="0" w:color="auto"/>
                      </w:divBdr>
                    </w:div>
                  </w:divsChild>
                </w:div>
                <w:div w:id="702246564">
                  <w:marLeft w:val="0"/>
                  <w:marRight w:val="0"/>
                  <w:marTop w:val="0"/>
                  <w:marBottom w:val="0"/>
                  <w:divBdr>
                    <w:top w:val="none" w:sz="0" w:space="0" w:color="auto"/>
                    <w:left w:val="none" w:sz="0" w:space="0" w:color="auto"/>
                    <w:bottom w:val="none" w:sz="0" w:space="0" w:color="auto"/>
                    <w:right w:val="none" w:sz="0" w:space="0" w:color="auto"/>
                  </w:divBdr>
                  <w:divsChild>
                    <w:div w:id="989557936">
                      <w:marLeft w:val="0"/>
                      <w:marRight w:val="0"/>
                      <w:marTop w:val="0"/>
                      <w:marBottom w:val="0"/>
                      <w:divBdr>
                        <w:top w:val="none" w:sz="0" w:space="0" w:color="auto"/>
                        <w:left w:val="none" w:sz="0" w:space="0" w:color="auto"/>
                        <w:bottom w:val="none" w:sz="0" w:space="0" w:color="auto"/>
                        <w:right w:val="none" w:sz="0" w:space="0" w:color="auto"/>
                      </w:divBdr>
                    </w:div>
                  </w:divsChild>
                </w:div>
                <w:div w:id="1383674183">
                  <w:marLeft w:val="0"/>
                  <w:marRight w:val="0"/>
                  <w:marTop w:val="0"/>
                  <w:marBottom w:val="0"/>
                  <w:divBdr>
                    <w:top w:val="none" w:sz="0" w:space="0" w:color="auto"/>
                    <w:left w:val="none" w:sz="0" w:space="0" w:color="auto"/>
                    <w:bottom w:val="none" w:sz="0" w:space="0" w:color="auto"/>
                    <w:right w:val="none" w:sz="0" w:space="0" w:color="auto"/>
                  </w:divBdr>
                  <w:divsChild>
                    <w:div w:id="1281960007">
                      <w:marLeft w:val="0"/>
                      <w:marRight w:val="0"/>
                      <w:marTop w:val="0"/>
                      <w:marBottom w:val="0"/>
                      <w:divBdr>
                        <w:top w:val="none" w:sz="0" w:space="0" w:color="auto"/>
                        <w:left w:val="none" w:sz="0" w:space="0" w:color="auto"/>
                        <w:bottom w:val="none" w:sz="0" w:space="0" w:color="auto"/>
                        <w:right w:val="none" w:sz="0" w:space="0" w:color="auto"/>
                      </w:divBdr>
                    </w:div>
                  </w:divsChild>
                </w:div>
                <w:div w:id="1578906769">
                  <w:marLeft w:val="0"/>
                  <w:marRight w:val="0"/>
                  <w:marTop w:val="0"/>
                  <w:marBottom w:val="0"/>
                  <w:divBdr>
                    <w:top w:val="none" w:sz="0" w:space="0" w:color="auto"/>
                    <w:left w:val="none" w:sz="0" w:space="0" w:color="auto"/>
                    <w:bottom w:val="none" w:sz="0" w:space="0" w:color="auto"/>
                    <w:right w:val="none" w:sz="0" w:space="0" w:color="auto"/>
                  </w:divBdr>
                  <w:divsChild>
                    <w:div w:id="68771842">
                      <w:marLeft w:val="0"/>
                      <w:marRight w:val="0"/>
                      <w:marTop w:val="0"/>
                      <w:marBottom w:val="0"/>
                      <w:divBdr>
                        <w:top w:val="none" w:sz="0" w:space="0" w:color="auto"/>
                        <w:left w:val="none" w:sz="0" w:space="0" w:color="auto"/>
                        <w:bottom w:val="none" w:sz="0" w:space="0" w:color="auto"/>
                        <w:right w:val="none" w:sz="0" w:space="0" w:color="auto"/>
                      </w:divBdr>
                    </w:div>
                  </w:divsChild>
                </w:div>
                <w:div w:id="1684819239">
                  <w:marLeft w:val="0"/>
                  <w:marRight w:val="0"/>
                  <w:marTop w:val="0"/>
                  <w:marBottom w:val="0"/>
                  <w:divBdr>
                    <w:top w:val="none" w:sz="0" w:space="0" w:color="auto"/>
                    <w:left w:val="none" w:sz="0" w:space="0" w:color="auto"/>
                    <w:bottom w:val="none" w:sz="0" w:space="0" w:color="auto"/>
                    <w:right w:val="none" w:sz="0" w:space="0" w:color="auto"/>
                  </w:divBdr>
                  <w:divsChild>
                    <w:div w:id="180022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710940">
          <w:marLeft w:val="0"/>
          <w:marRight w:val="0"/>
          <w:marTop w:val="0"/>
          <w:marBottom w:val="0"/>
          <w:divBdr>
            <w:top w:val="none" w:sz="0" w:space="0" w:color="auto"/>
            <w:left w:val="none" w:sz="0" w:space="0" w:color="auto"/>
            <w:bottom w:val="none" w:sz="0" w:space="0" w:color="auto"/>
            <w:right w:val="none" w:sz="0" w:space="0" w:color="auto"/>
          </w:divBdr>
        </w:div>
        <w:div w:id="1671643869">
          <w:marLeft w:val="0"/>
          <w:marRight w:val="0"/>
          <w:marTop w:val="0"/>
          <w:marBottom w:val="0"/>
          <w:divBdr>
            <w:top w:val="none" w:sz="0" w:space="0" w:color="auto"/>
            <w:left w:val="none" w:sz="0" w:space="0" w:color="auto"/>
            <w:bottom w:val="none" w:sz="0" w:space="0" w:color="auto"/>
            <w:right w:val="none" w:sz="0" w:space="0" w:color="auto"/>
          </w:divBdr>
        </w:div>
        <w:div w:id="1842355423">
          <w:marLeft w:val="0"/>
          <w:marRight w:val="0"/>
          <w:marTop w:val="0"/>
          <w:marBottom w:val="0"/>
          <w:divBdr>
            <w:top w:val="none" w:sz="0" w:space="0" w:color="auto"/>
            <w:left w:val="none" w:sz="0" w:space="0" w:color="auto"/>
            <w:bottom w:val="none" w:sz="0" w:space="0" w:color="auto"/>
            <w:right w:val="none" w:sz="0" w:space="0" w:color="auto"/>
          </w:divBdr>
        </w:div>
        <w:div w:id="1911578984">
          <w:marLeft w:val="0"/>
          <w:marRight w:val="0"/>
          <w:marTop w:val="0"/>
          <w:marBottom w:val="0"/>
          <w:divBdr>
            <w:top w:val="none" w:sz="0" w:space="0" w:color="auto"/>
            <w:left w:val="none" w:sz="0" w:space="0" w:color="auto"/>
            <w:bottom w:val="none" w:sz="0" w:space="0" w:color="auto"/>
            <w:right w:val="none" w:sz="0" w:space="0" w:color="auto"/>
          </w:divBdr>
        </w:div>
        <w:div w:id="1923297643">
          <w:marLeft w:val="0"/>
          <w:marRight w:val="0"/>
          <w:marTop w:val="0"/>
          <w:marBottom w:val="0"/>
          <w:divBdr>
            <w:top w:val="none" w:sz="0" w:space="0" w:color="auto"/>
            <w:left w:val="none" w:sz="0" w:space="0" w:color="auto"/>
            <w:bottom w:val="none" w:sz="0" w:space="0" w:color="auto"/>
            <w:right w:val="none" w:sz="0" w:space="0" w:color="auto"/>
          </w:divBdr>
        </w:div>
        <w:div w:id="1959531346">
          <w:marLeft w:val="0"/>
          <w:marRight w:val="0"/>
          <w:marTop w:val="0"/>
          <w:marBottom w:val="0"/>
          <w:divBdr>
            <w:top w:val="none" w:sz="0" w:space="0" w:color="auto"/>
            <w:left w:val="none" w:sz="0" w:space="0" w:color="auto"/>
            <w:bottom w:val="none" w:sz="0" w:space="0" w:color="auto"/>
            <w:right w:val="none" w:sz="0" w:space="0" w:color="auto"/>
          </w:divBdr>
        </w:div>
        <w:div w:id="1962833461">
          <w:marLeft w:val="0"/>
          <w:marRight w:val="0"/>
          <w:marTop w:val="0"/>
          <w:marBottom w:val="0"/>
          <w:divBdr>
            <w:top w:val="none" w:sz="0" w:space="0" w:color="auto"/>
            <w:left w:val="none" w:sz="0" w:space="0" w:color="auto"/>
            <w:bottom w:val="none" w:sz="0" w:space="0" w:color="auto"/>
            <w:right w:val="none" w:sz="0" w:space="0" w:color="auto"/>
          </w:divBdr>
        </w:div>
      </w:divsChild>
    </w:div>
    <w:div w:id="930091415">
      <w:bodyDiv w:val="1"/>
      <w:marLeft w:val="0"/>
      <w:marRight w:val="0"/>
      <w:marTop w:val="0"/>
      <w:marBottom w:val="0"/>
      <w:divBdr>
        <w:top w:val="none" w:sz="0" w:space="0" w:color="auto"/>
        <w:left w:val="none" w:sz="0" w:space="0" w:color="auto"/>
        <w:bottom w:val="none" w:sz="0" w:space="0" w:color="auto"/>
        <w:right w:val="none" w:sz="0" w:space="0" w:color="auto"/>
      </w:divBdr>
    </w:div>
    <w:div w:id="971210302">
      <w:bodyDiv w:val="1"/>
      <w:marLeft w:val="0"/>
      <w:marRight w:val="0"/>
      <w:marTop w:val="0"/>
      <w:marBottom w:val="0"/>
      <w:divBdr>
        <w:top w:val="none" w:sz="0" w:space="0" w:color="auto"/>
        <w:left w:val="none" w:sz="0" w:space="0" w:color="auto"/>
        <w:bottom w:val="none" w:sz="0" w:space="0" w:color="auto"/>
        <w:right w:val="none" w:sz="0" w:space="0" w:color="auto"/>
      </w:divBdr>
      <w:divsChild>
        <w:div w:id="55786016">
          <w:marLeft w:val="0"/>
          <w:marRight w:val="0"/>
          <w:marTop w:val="0"/>
          <w:marBottom w:val="0"/>
          <w:divBdr>
            <w:top w:val="none" w:sz="0" w:space="0" w:color="auto"/>
            <w:left w:val="none" w:sz="0" w:space="0" w:color="auto"/>
            <w:bottom w:val="none" w:sz="0" w:space="0" w:color="auto"/>
            <w:right w:val="none" w:sz="0" w:space="0" w:color="auto"/>
          </w:divBdr>
        </w:div>
        <w:div w:id="125590219">
          <w:marLeft w:val="0"/>
          <w:marRight w:val="0"/>
          <w:marTop w:val="0"/>
          <w:marBottom w:val="0"/>
          <w:divBdr>
            <w:top w:val="none" w:sz="0" w:space="0" w:color="auto"/>
            <w:left w:val="none" w:sz="0" w:space="0" w:color="auto"/>
            <w:bottom w:val="none" w:sz="0" w:space="0" w:color="auto"/>
            <w:right w:val="none" w:sz="0" w:space="0" w:color="auto"/>
          </w:divBdr>
        </w:div>
      </w:divsChild>
    </w:div>
    <w:div w:id="1017544566">
      <w:bodyDiv w:val="1"/>
      <w:marLeft w:val="0"/>
      <w:marRight w:val="0"/>
      <w:marTop w:val="0"/>
      <w:marBottom w:val="0"/>
      <w:divBdr>
        <w:top w:val="none" w:sz="0" w:space="0" w:color="auto"/>
        <w:left w:val="none" w:sz="0" w:space="0" w:color="auto"/>
        <w:bottom w:val="none" w:sz="0" w:space="0" w:color="auto"/>
        <w:right w:val="none" w:sz="0" w:space="0" w:color="auto"/>
      </w:divBdr>
      <w:divsChild>
        <w:div w:id="13772791">
          <w:marLeft w:val="0"/>
          <w:marRight w:val="0"/>
          <w:marTop w:val="0"/>
          <w:marBottom w:val="0"/>
          <w:divBdr>
            <w:top w:val="none" w:sz="0" w:space="0" w:color="auto"/>
            <w:left w:val="none" w:sz="0" w:space="0" w:color="auto"/>
            <w:bottom w:val="none" w:sz="0" w:space="0" w:color="auto"/>
            <w:right w:val="none" w:sz="0" w:space="0" w:color="auto"/>
          </w:divBdr>
        </w:div>
        <w:div w:id="14427287">
          <w:marLeft w:val="0"/>
          <w:marRight w:val="0"/>
          <w:marTop w:val="0"/>
          <w:marBottom w:val="0"/>
          <w:divBdr>
            <w:top w:val="none" w:sz="0" w:space="0" w:color="auto"/>
            <w:left w:val="none" w:sz="0" w:space="0" w:color="auto"/>
            <w:bottom w:val="none" w:sz="0" w:space="0" w:color="auto"/>
            <w:right w:val="none" w:sz="0" w:space="0" w:color="auto"/>
          </w:divBdr>
        </w:div>
        <w:div w:id="23678191">
          <w:marLeft w:val="0"/>
          <w:marRight w:val="0"/>
          <w:marTop w:val="0"/>
          <w:marBottom w:val="0"/>
          <w:divBdr>
            <w:top w:val="none" w:sz="0" w:space="0" w:color="auto"/>
            <w:left w:val="none" w:sz="0" w:space="0" w:color="auto"/>
            <w:bottom w:val="none" w:sz="0" w:space="0" w:color="auto"/>
            <w:right w:val="none" w:sz="0" w:space="0" w:color="auto"/>
          </w:divBdr>
        </w:div>
        <w:div w:id="58721165">
          <w:marLeft w:val="0"/>
          <w:marRight w:val="0"/>
          <w:marTop w:val="0"/>
          <w:marBottom w:val="0"/>
          <w:divBdr>
            <w:top w:val="none" w:sz="0" w:space="0" w:color="auto"/>
            <w:left w:val="none" w:sz="0" w:space="0" w:color="auto"/>
            <w:bottom w:val="none" w:sz="0" w:space="0" w:color="auto"/>
            <w:right w:val="none" w:sz="0" w:space="0" w:color="auto"/>
          </w:divBdr>
        </w:div>
        <w:div w:id="72942012">
          <w:marLeft w:val="0"/>
          <w:marRight w:val="0"/>
          <w:marTop w:val="0"/>
          <w:marBottom w:val="0"/>
          <w:divBdr>
            <w:top w:val="none" w:sz="0" w:space="0" w:color="auto"/>
            <w:left w:val="none" w:sz="0" w:space="0" w:color="auto"/>
            <w:bottom w:val="none" w:sz="0" w:space="0" w:color="auto"/>
            <w:right w:val="none" w:sz="0" w:space="0" w:color="auto"/>
          </w:divBdr>
        </w:div>
        <w:div w:id="74715851">
          <w:marLeft w:val="0"/>
          <w:marRight w:val="0"/>
          <w:marTop w:val="0"/>
          <w:marBottom w:val="0"/>
          <w:divBdr>
            <w:top w:val="none" w:sz="0" w:space="0" w:color="auto"/>
            <w:left w:val="none" w:sz="0" w:space="0" w:color="auto"/>
            <w:bottom w:val="none" w:sz="0" w:space="0" w:color="auto"/>
            <w:right w:val="none" w:sz="0" w:space="0" w:color="auto"/>
          </w:divBdr>
        </w:div>
        <w:div w:id="78719320">
          <w:marLeft w:val="0"/>
          <w:marRight w:val="0"/>
          <w:marTop w:val="0"/>
          <w:marBottom w:val="0"/>
          <w:divBdr>
            <w:top w:val="none" w:sz="0" w:space="0" w:color="auto"/>
            <w:left w:val="none" w:sz="0" w:space="0" w:color="auto"/>
            <w:bottom w:val="none" w:sz="0" w:space="0" w:color="auto"/>
            <w:right w:val="none" w:sz="0" w:space="0" w:color="auto"/>
          </w:divBdr>
        </w:div>
        <w:div w:id="83456255">
          <w:marLeft w:val="0"/>
          <w:marRight w:val="0"/>
          <w:marTop w:val="0"/>
          <w:marBottom w:val="0"/>
          <w:divBdr>
            <w:top w:val="none" w:sz="0" w:space="0" w:color="auto"/>
            <w:left w:val="none" w:sz="0" w:space="0" w:color="auto"/>
            <w:bottom w:val="none" w:sz="0" w:space="0" w:color="auto"/>
            <w:right w:val="none" w:sz="0" w:space="0" w:color="auto"/>
          </w:divBdr>
        </w:div>
        <w:div w:id="97675260">
          <w:marLeft w:val="0"/>
          <w:marRight w:val="0"/>
          <w:marTop w:val="0"/>
          <w:marBottom w:val="0"/>
          <w:divBdr>
            <w:top w:val="none" w:sz="0" w:space="0" w:color="auto"/>
            <w:left w:val="none" w:sz="0" w:space="0" w:color="auto"/>
            <w:bottom w:val="none" w:sz="0" w:space="0" w:color="auto"/>
            <w:right w:val="none" w:sz="0" w:space="0" w:color="auto"/>
          </w:divBdr>
        </w:div>
        <w:div w:id="144276629">
          <w:marLeft w:val="0"/>
          <w:marRight w:val="0"/>
          <w:marTop w:val="0"/>
          <w:marBottom w:val="0"/>
          <w:divBdr>
            <w:top w:val="none" w:sz="0" w:space="0" w:color="auto"/>
            <w:left w:val="none" w:sz="0" w:space="0" w:color="auto"/>
            <w:bottom w:val="none" w:sz="0" w:space="0" w:color="auto"/>
            <w:right w:val="none" w:sz="0" w:space="0" w:color="auto"/>
          </w:divBdr>
        </w:div>
        <w:div w:id="220989931">
          <w:marLeft w:val="0"/>
          <w:marRight w:val="0"/>
          <w:marTop w:val="0"/>
          <w:marBottom w:val="0"/>
          <w:divBdr>
            <w:top w:val="none" w:sz="0" w:space="0" w:color="auto"/>
            <w:left w:val="none" w:sz="0" w:space="0" w:color="auto"/>
            <w:bottom w:val="none" w:sz="0" w:space="0" w:color="auto"/>
            <w:right w:val="none" w:sz="0" w:space="0" w:color="auto"/>
          </w:divBdr>
        </w:div>
        <w:div w:id="258802105">
          <w:marLeft w:val="0"/>
          <w:marRight w:val="0"/>
          <w:marTop w:val="0"/>
          <w:marBottom w:val="0"/>
          <w:divBdr>
            <w:top w:val="none" w:sz="0" w:space="0" w:color="auto"/>
            <w:left w:val="none" w:sz="0" w:space="0" w:color="auto"/>
            <w:bottom w:val="none" w:sz="0" w:space="0" w:color="auto"/>
            <w:right w:val="none" w:sz="0" w:space="0" w:color="auto"/>
          </w:divBdr>
        </w:div>
        <w:div w:id="510729486">
          <w:marLeft w:val="0"/>
          <w:marRight w:val="0"/>
          <w:marTop w:val="0"/>
          <w:marBottom w:val="0"/>
          <w:divBdr>
            <w:top w:val="none" w:sz="0" w:space="0" w:color="auto"/>
            <w:left w:val="none" w:sz="0" w:space="0" w:color="auto"/>
            <w:bottom w:val="none" w:sz="0" w:space="0" w:color="auto"/>
            <w:right w:val="none" w:sz="0" w:space="0" w:color="auto"/>
          </w:divBdr>
        </w:div>
        <w:div w:id="580681433">
          <w:marLeft w:val="0"/>
          <w:marRight w:val="0"/>
          <w:marTop w:val="0"/>
          <w:marBottom w:val="0"/>
          <w:divBdr>
            <w:top w:val="none" w:sz="0" w:space="0" w:color="auto"/>
            <w:left w:val="none" w:sz="0" w:space="0" w:color="auto"/>
            <w:bottom w:val="none" w:sz="0" w:space="0" w:color="auto"/>
            <w:right w:val="none" w:sz="0" w:space="0" w:color="auto"/>
          </w:divBdr>
        </w:div>
        <w:div w:id="640306723">
          <w:marLeft w:val="0"/>
          <w:marRight w:val="0"/>
          <w:marTop w:val="0"/>
          <w:marBottom w:val="0"/>
          <w:divBdr>
            <w:top w:val="none" w:sz="0" w:space="0" w:color="auto"/>
            <w:left w:val="none" w:sz="0" w:space="0" w:color="auto"/>
            <w:bottom w:val="none" w:sz="0" w:space="0" w:color="auto"/>
            <w:right w:val="none" w:sz="0" w:space="0" w:color="auto"/>
          </w:divBdr>
        </w:div>
        <w:div w:id="784035195">
          <w:marLeft w:val="0"/>
          <w:marRight w:val="0"/>
          <w:marTop w:val="0"/>
          <w:marBottom w:val="0"/>
          <w:divBdr>
            <w:top w:val="none" w:sz="0" w:space="0" w:color="auto"/>
            <w:left w:val="none" w:sz="0" w:space="0" w:color="auto"/>
            <w:bottom w:val="none" w:sz="0" w:space="0" w:color="auto"/>
            <w:right w:val="none" w:sz="0" w:space="0" w:color="auto"/>
          </w:divBdr>
        </w:div>
        <w:div w:id="807209590">
          <w:marLeft w:val="0"/>
          <w:marRight w:val="0"/>
          <w:marTop w:val="0"/>
          <w:marBottom w:val="0"/>
          <w:divBdr>
            <w:top w:val="none" w:sz="0" w:space="0" w:color="auto"/>
            <w:left w:val="none" w:sz="0" w:space="0" w:color="auto"/>
            <w:bottom w:val="none" w:sz="0" w:space="0" w:color="auto"/>
            <w:right w:val="none" w:sz="0" w:space="0" w:color="auto"/>
          </w:divBdr>
        </w:div>
        <w:div w:id="892469569">
          <w:marLeft w:val="0"/>
          <w:marRight w:val="0"/>
          <w:marTop w:val="0"/>
          <w:marBottom w:val="0"/>
          <w:divBdr>
            <w:top w:val="none" w:sz="0" w:space="0" w:color="auto"/>
            <w:left w:val="none" w:sz="0" w:space="0" w:color="auto"/>
            <w:bottom w:val="none" w:sz="0" w:space="0" w:color="auto"/>
            <w:right w:val="none" w:sz="0" w:space="0" w:color="auto"/>
          </w:divBdr>
        </w:div>
        <w:div w:id="1032418729">
          <w:marLeft w:val="0"/>
          <w:marRight w:val="0"/>
          <w:marTop w:val="0"/>
          <w:marBottom w:val="0"/>
          <w:divBdr>
            <w:top w:val="none" w:sz="0" w:space="0" w:color="auto"/>
            <w:left w:val="none" w:sz="0" w:space="0" w:color="auto"/>
            <w:bottom w:val="none" w:sz="0" w:space="0" w:color="auto"/>
            <w:right w:val="none" w:sz="0" w:space="0" w:color="auto"/>
          </w:divBdr>
        </w:div>
        <w:div w:id="1140610562">
          <w:marLeft w:val="0"/>
          <w:marRight w:val="0"/>
          <w:marTop w:val="0"/>
          <w:marBottom w:val="0"/>
          <w:divBdr>
            <w:top w:val="none" w:sz="0" w:space="0" w:color="auto"/>
            <w:left w:val="none" w:sz="0" w:space="0" w:color="auto"/>
            <w:bottom w:val="none" w:sz="0" w:space="0" w:color="auto"/>
            <w:right w:val="none" w:sz="0" w:space="0" w:color="auto"/>
          </w:divBdr>
        </w:div>
        <w:div w:id="1180194212">
          <w:marLeft w:val="0"/>
          <w:marRight w:val="0"/>
          <w:marTop w:val="0"/>
          <w:marBottom w:val="0"/>
          <w:divBdr>
            <w:top w:val="none" w:sz="0" w:space="0" w:color="auto"/>
            <w:left w:val="none" w:sz="0" w:space="0" w:color="auto"/>
            <w:bottom w:val="none" w:sz="0" w:space="0" w:color="auto"/>
            <w:right w:val="none" w:sz="0" w:space="0" w:color="auto"/>
          </w:divBdr>
        </w:div>
        <w:div w:id="1223058211">
          <w:marLeft w:val="0"/>
          <w:marRight w:val="0"/>
          <w:marTop w:val="0"/>
          <w:marBottom w:val="0"/>
          <w:divBdr>
            <w:top w:val="none" w:sz="0" w:space="0" w:color="auto"/>
            <w:left w:val="none" w:sz="0" w:space="0" w:color="auto"/>
            <w:bottom w:val="none" w:sz="0" w:space="0" w:color="auto"/>
            <w:right w:val="none" w:sz="0" w:space="0" w:color="auto"/>
          </w:divBdr>
        </w:div>
        <w:div w:id="1342469392">
          <w:marLeft w:val="0"/>
          <w:marRight w:val="0"/>
          <w:marTop w:val="0"/>
          <w:marBottom w:val="0"/>
          <w:divBdr>
            <w:top w:val="none" w:sz="0" w:space="0" w:color="auto"/>
            <w:left w:val="none" w:sz="0" w:space="0" w:color="auto"/>
            <w:bottom w:val="none" w:sz="0" w:space="0" w:color="auto"/>
            <w:right w:val="none" w:sz="0" w:space="0" w:color="auto"/>
          </w:divBdr>
        </w:div>
        <w:div w:id="1456872368">
          <w:marLeft w:val="0"/>
          <w:marRight w:val="0"/>
          <w:marTop w:val="0"/>
          <w:marBottom w:val="0"/>
          <w:divBdr>
            <w:top w:val="none" w:sz="0" w:space="0" w:color="auto"/>
            <w:left w:val="none" w:sz="0" w:space="0" w:color="auto"/>
            <w:bottom w:val="none" w:sz="0" w:space="0" w:color="auto"/>
            <w:right w:val="none" w:sz="0" w:space="0" w:color="auto"/>
          </w:divBdr>
        </w:div>
        <w:div w:id="1945454815">
          <w:marLeft w:val="0"/>
          <w:marRight w:val="0"/>
          <w:marTop w:val="0"/>
          <w:marBottom w:val="0"/>
          <w:divBdr>
            <w:top w:val="none" w:sz="0" w:space="0" w:color="auto"/>
            <w:left w:val="none" w:sz="0" w:space="0" w:color="auto"/>
            <w:bottom w:val="none" w:sz="0" w:space="0" w:color="auto"/>
            <w:right w:val="none" w:sz="0" w:space="0" w:color="auto"/>
          </w:divBdr>
        </w:div>
        <w:div w:id="1949390149">
          <w:marLeft w:val="0"/>
          <w:marRight w:val="0"/>
          <w:marTop w:val="0"/>
          <w:marBottom w:val="0"/>
          <w:divBdr>
            <w:top w:val="none" w:sz="0" w:space="0" w:color="auto"/>
            <w:left w:val="none" w:sz="0" w:space="0" w:color="auto"/>
            <w:bottom w:val="none" w:sz="0" w:space="0" w:color="auto"/>
            <w:right w:val="none" w:sz="0" w:space="0" w:color="auto"/>
          </w:divBdr>
        </w:div>
        <w:div w:id="1951089470">
          <w:marLeft w:val="0"/>
          <w:marRight w:val="0"/>
          <w:marTop w:val="0"/>
          <w:marBottom w:val="0"/>
          <w:divBdr>
            <w:top w:val="none" w:sz="0" w:space="0" w:color="auto"/>
            <w:left w:val="none" w:sz="0" w:space="0" w:color="auto"/>
            <w:bottom w:val="none" w:sz="0" w:space="0" w:color="auto"/>
            <w:right w:val="none" w:sz="0" w:space="0" w:color="auto"/>
          </w:divBdr>
        </w:div>
        <w:div w:id="1953583730">
          <w:marLeft w:val="0"/>
          <w:marRight w:val="0"/>
          <w:marTop w:val="0"/>
          <w:marBottom w:val="0"/>
          <w:divBdr>
            <w:top w:val="none" w:sz="0" w:space="0" w:color="auto"/>
            <w:left w:val="none" w:sz="0" w:space="0" w:color="auto"/>
            <w:bottom w:val="none" w:sz="0" w:space="0" w:color="auto"/>
            <w:right w:val="none" w:sz="0" w:space="0" w:color="auto"/>
          </w:divBdr>
        </w:div>
        <w:div w:id="2064713756">
          <w:marLeft w:val="0"/>
          <w:marRight w:val="0"/>
          <w:marTop w:val="0"/>
          <w:marBottom w:val="0"/>
          <w:divBdr>
            <w:top w:val="none" w:sz="0" w:space="0" w:color="auto"/>
            <w:left w:val="none" w:sz="0" w:space="0" w:color="auto"/>
            <w:bottom w:val="none" w:sz="0" w:space="0" w:color="auto"/>
            <w:right w:val="none" w:sz="0" w:space="0" w:color="auto"/>
          </w:divBdr>
        </w:div>
      </w:divsChild>
    </w:div>
    <w:div w:id="1030762626">
      <w:bodyDiv w:val="1"/>
      <w:marLeft w:val="0"/>
      <w:marRight w:val="0"/>
      <w:marTop w:val="0"/>
      <w:marBottom w:val="0"/>
      <w:divBdr>
        <w:top w:val="none" w:sz="0" w:space="0" w:color="auto"/>
        <w:left w:val="none" w:sz="0" w:space="0" w:color="auto"/>
        <w:bottom w:val="none" w:sz="0" w:space="0" w:color="auto"/>
        <w:right w:val="none" w:sz="0" w:space="0" w:color="auto"/>
      </w:divBdr>
      <w:divsChild>
        <w:div w:id="1952591396">
          <w:marLeft w:val="0"/>
          <w:marRight w:val="0"/>
          <w:marTop w:val="0"/>
          <w:marBottom w:val="0"/>
          <w:divBdr>
            <w:top w:val="none" w:sz="0" w:space="0" w:color="auto"/>
            <w:left w:val="none" w:sz="0" w:space="0" w:color="auto"/>
            <w:bottom w:val="none" w:sz="0" w:space="0" w:color="auto"/>
            <w:right w:val="none" w:sz="0" w:space="0" w:color="auto"/>
          </w:divBdr>
        </w:div>
        <w:div w:id="2045983552">
          <w:marLeft w:val="0"/>
          <w:marRight w:val="0"/>
          <w:marTop w:val="0"/>
          <w:marBottom w:val="0"/>
          <w:divBdr>
            <w:top w:val="none" w:sz="0" w:space="0" w:color="auto"/>
            <w:left w:val="none" w:sz="0" w:space="0" w:color="auto"/>
            <w:bottom w:val="none" w:sz="0" w:space="0" w:color="auto"/>
            <w:right w:val="none" w:sz="0" w:space="0" w:color="auto"/>
          </w:divBdr>
        </w:div>
      </w:divsChild>
    </w:div>
    <w:div w:id="1039936510">
      <w:bodyDiv w:val="1"/>
      <w:marLeft w:val="0"/>
      <w:marRight w:val="0"/>
      <w:marTop w:val="0"/>
      <w:marBottom w:val="0"/>
      <w:divBdr>
        <w:top w:val="none" w:sz="0" w:space="0" w:color="auto"/>
        <w:left w:val="none" w:sz="0" w:space="0" w:color="auto"/>
        <w:bottom w:val="none" w:sz="0" w:space="0" w:color="auto"/>
        <w:right w:val="none" w:sz="0" w:space="0" w:color="auto"/>
      </w:divBdr>
      <w:divsChild>
        <w:div w:id="203636805">
          <w:marLeft w:val="0"/>
          <w:marRight w:val="0"/>
          <w:marTop w:val="0"/>
          <w:marBottom w:val="0"/>
          <w:divBdr>
            <w:top w:val="none" w:sz="0" w:space="0" w:color="auto"/>
            <w:left w:val="none" w:sz="0" w:space="0" w:color="auto"/>
            <w:bottom w:val="none" w:sz="0" w:space="0" w:color="auto"/>
            <w:right w:val="none" w:sz="0" w:space="0" w:color="auto"/>
          </w:divBdr>
        </w:div>
        <w:div w:id="373579679">
          <w:marLeft w:val="0"/>
          <w:marRight w:val="0"/>
          <w:marTop w:val="0"/>
          <w:marBottom w:val="0"/>
          <w:divBdr>
            <w:top w:val="none" w:sz="0" w:space="0" w:color="auto"/>
            <w:left w:val="none" w:sz="0" w:space="0" w:color="auto"/>
            <w:bottom w:val="none" w:sz="0" w:space="0" w:color="auto"/>
            <w:right w:val="none" w:sz="0" w:space="0" w:color="auto"/>
          </w:divBdr>
        </w:div>
        <w:div w:id="636568090">
          <w:marLeft w:val="0"/>
          <w:marRight w:val="0"/>
          <w:marTop w:val="0"/>
          <w:marBottom w:val="0"/>
          <w:divBdr>
            <w:top w:val="none" w:sz="0" w:space="0" w:color="auto"/>
            <w:left w:val="none" w:sz="0" w:space="0" w:color="auto"/>
            <w:bottom w:val="none" w:sz="0" w:space="0" w:color="auto"/>
            <w:right w:val="none" w:sz="0" w:space="0" w:color="auto"/>
          </w:divBdr>
        </w:div>
        <w:div w:id="748573730">
          <w:marLeft w:val="0"/>
          <w:marRight w:val="0"/>
          <w:marTop w:val="0"/>
          <w:marBottom w:val="0"/>
          <w:divBdr>
            <w:top w:val="none" w:sz="0" w:space="0" w:color="auto"/>
            <w:left w:val="none" w:sz="0" w:space="0" w:color="auto"/>
            <w:bottom w:val="none" w:sz="0" w:space="0" w:color="auto"/>
            <w:right w:val="none" w:sz="0" w:space="0" w:color="auto"/>
          </w:divBdr>
        </w:div>
        <w:div w:id="783427951">
          <w:marLeft w:val="0"/>
          <w:marRight w:val="0"/>
          <w:marTop w:val="0"/>
          <w:marBottom w:val="0"/>
          <w:divBdr>
            <w:top w:val="none" w:sz="0" w:space="0" w:color="auto"/>
            <w:left w:val="none" w:sz="0" w:space="0" w:color="auto"/>
            <w:bottom w:val="none" w:sz="0" w:space="0" w:color="auto"/>
            <w:right w:val="none" w:sz="0" w:space="0" w:color="auto"/>
          </w:divBdr>
        </w:div>
        <w:div w:id="870533627">
          <w:marLeft w:val="0"/>
          <w:marRight w:val="0"/>
          <w:marTop w:val="0"/>
          <w:marBottom w:val="0"/>
          <w:divBdr>
            <w:top w:val="none" w:sz="0" w:space="0" w:color="auto"/>
            <w:left w:val="none" w:sz="0" w:space="0" w:color="auto"/>
            <w:bottom w:val="none" w:sz="0" w:space="0" w:color="auto"/>
            <w:right w:val="none" w:sz="0" w:space="0" w:color="auto"/>
          </w:divBdr>
          <w:divsChild>
            <w:div w:id="34088788">
              <w:marLeft w:val="0"/>
              <w:marRight w:val="0"/>
              <w:marTop w:val="0"/>
              <w:marBottom w:val="0"/>
              <w:divBdr>
                <w:top w:val="none" w:sz="0" w:space="0" w:color="auto"/>
                <w:left w:val="none" w:sz="0" w:space="0" w:color="auto"/>
                <w:bottom w:val="none" w:sz="0" w:space="0" w:color="auto"/>
                <w:right w:val="none" w:sz="0" w:space="0" w:color="auto"/>
              </w:divBdr>
            </w:div>
            <w:div w:id="193926588">
              <w:marLeft w:val="0"/>
              <w:marRight w:val="0"/>
              <w:marTop w:val="0"/>
              <w:marBottom w:val="0"/>
              <w:divBdr>
                <w:top w:val="none" w:sz="0" w:space="0" w:color="auto"/>
                <w:left w:val="none" w:sz="0" w:space="0" w:color="auto"/>
                <w:bottom w:val="none" w:sz="0" w:space="0" w:color="auto"/>
                <w:right w:val="none" w:sz="0" w:space="0" w:color="auto"/>
              </w:divBdr>
            </w:div>
            <w:div w:id="216822601">
              <w:marLeft w:val="0"/>
              <w:marRight w:val="0"/>
              <w:marTop w:val="0"/>
              <w:marBottom w:val="0"/>
              <w:divBdr>
                <w:top w:val="none" w:sz="0" w:space="0" w:color="auto"/>
                <w:left w:val="none" w:sz="0" w:space="0" w:color="auto"/>
                <w:bottom w:val="none" w:sz="0" w:space="0" w:color="auto"/>
                <w:right w:val="none" w:sz="0" w:space="0" w:color="auto"/>
              </w:divBdr>
            </w:div>
            <w:div w:id="645086884">
              <w:marLeft w:val="0"/>
              <w:marRight w:val="0"/>
              <w:marTop w:val="0"/>
              <w:marBottom w:val="0"/>
              <w:divBdr>
                <w:top w:val="none" w:sz="0" w:space="0" w:color="auto"/>
                <w:left w:val="none" w:sz="0" w:space="0" w:color="auto"/>
                <w:bottom w:val="none" w:sz="0" w:space="0" w:color="auto"/>
                <w:right w:val="none" w:sz="0" w:space="0" w:color="auto"/>
              </w:divBdr>
            </w:div>
            <w:div w:id="931594315">
              <w:marLeft w:val="0"/>
              <w:marRight w:val="0"/>
              <w:marTop w:val="0"/>
              <w:marBottom w:val="0"/>
              <w:divBdr>
                <w:top w:val="none" w:sz="0" w:space="0" w:color="auto"/>
                <w:left w:val="none" w:sz="0" w:space="0" w:color="auto"/>
                <w:bottom w:val="none" w:sz="0" w:space="0" w:color="auto"/>
                <w:right w:val="none" w:sz="0" w:space="0" w:color="auto"/>
              </w:divBdr>
            </w:div>
            <w:div w:id="1110587092">
              <w:marLeft w:val="0"/>
              <w:marRight w:val="0"/>
              <w:marTop w:val="0"/>
              <w:marBottom w:val="0"/>
              <w:divBdr>
                <w:top w:val="none" w:sz="0" w:space="0" w:color="auto"/>
                <w:left w:val="none" w:sz="0" w:space="0" w:color="auto"/>
                <w:bottom w:val="none" w:sz="0" w:space="0" w:color="auto"/>
                <w:right w:val="none" w:sz="0" w:space="0" w:color="auto"/>
              </w:divBdr>
            </w:div>
            <w:div w:id="1470125624">
              <w:marLeft w:val="0"/>
              <w:marRight w:val="0"/>
              <w:marTop w:val="0"/>
              <w:marBottom w:val="0"/>
              <w:divBdr>
                <w:top w:val="none" w:sz="0" w:space="0" w:color="auto"/>
                <w:left w:val="none" w:sz="0" w:space="0" w:color="auto"/>
                <w:bottom w:val="none" w:sz="0" w:space="0" w:color="auto"/>
                <w:right w:val="none" w:sz="0" w:space="0" w:color="auto"/>
              </w:divBdr>
            </w:div>
            <w:div w:id="1627544859">
              <w:marLeft w:val="0"/>
              <w:marRight w:val="0"/>
              <w:marTop w:val="0"/>
              <w:marBottom w:val="0"/>
              <w:divBdr>
                <w:top w:val="none" w:sz="0" w:space="0" w:color="auto"/>
                <w:left w:val="none" w:sz="0" w:space="0" w:color="auto"/>
                <w:bottom w:val="none" w:sz="0" w:space="0" w:color="auto"/>
                <w:right w:val="none" w:sz="0" w:space="0" w:color="auto"/>
              </w:divBdr>
            </w:div>
            <w:div w:id="1807044584">
              <w:marLeft w:val="0"/>
              <w:marRight w:val="0"/>
              <w:marTop w:val="0"/>
              <w:marBottom w:val="0"/>
              <w:divBdr>
                <w:top w:val="none" w:sz="0" w:space="0" w:color="auto"/>
                <w:left w:val="none" w:sz="0" w:space="0" w:color="auto"/>
                <w:bottom w:val="none" w:sz="0" w:space="0" w:color="auto"/>
                <w:right w:val="none" w:sz="0" w:space="0" w:color="auto"/>
              </w:divBdr>
            </w:div>
          </w:divsChild>
        </w:div>
        <w:div w:id="1010984975">
          <w:marLeft w:val="0"/>
          <w:marRight w:val="0"/>
          <w:marTop w:val="0"/>
          <w:marBottom w:val="0"/>
          <w:divBdr>
            <w:top w:val="none" w:sz="0" w:space="0" w:color="auto"/>
            <w:left w:val="none" w:sz="0" w:space="0" w:color="auto"/>
            <w:bottom w:val="none" w:sz="0" w:space="0" w:color="auto"/>
            <w:right w:val="none" w:sz="0" w:space="0" w:color="auto"/>
          </w:divBdr>
          <w:divsChild>
            <w:div w:id="14431666">
              <w:marLeft w:val="0"/>
              <w:marRight w:val="0"/>
              <w:marTop w:val="0"/>
              <w:marBottom w:val="0"/>
              <w:divBdr>
                <w:top w:val="none" w:sz="0" w:space="0" w:color="auto"/>
                <w:left w:val="none" w:sz="0" w:space="0" w:color="auto"/>
                <w:bottom w:val="none" w:sz="0" w:space="0" w:color="auto"/>
                <w:right w:val="none" w:sz="0" w:space="0" w:color="auto"/>
              </w:divBdr>
            </w:div>
            <w:div w:id="131601929">
              <w:marLeft w:val="0"/>
              <w:marRight w:val="0"/>
              <w:marTop w:val="0"/>
              <w:marBottom w:val="0"/>
              <w:divBdr>
                <w:top w:val="none" w:sz="0" w:space="0" w:color="auto"/>
                <w:left w:val="none" w:sz="0" w:space="0" w:color="auto"/>
                <w:bottom w:val="none" w:sz="0" w:space="0" w:color="auto"/>
                <w:right w:val="none" w:sz="0" w:space="0" w:color="auto"/>
              </w:divBdr>
            </w:div>
            <w:div w:id="152645669">
              <w:marLeft w:val="0"/>
              <w:marRight w:val="0"/>
              <w:marTop w:val="0"/>
              <w:marBottom w:val="0"/>
              <w:divBdr>
                <w:top w:val="none" w:sz="0" w:space="0" w:color="auto"/>
                <w:left w:val="none" w:sz="0" w:space="0" w:color="auto"/>
                <w:bottom w:val="none" w:sz="0" w:space="0" w:color="auto"/>
                <w:right w:val="none" w:sz="0" w:space="0" w:color="auto"/>
              </w:divBdr>
            </w:div>
            <w:div w:id="196088414">
              <w:marLeft w:val="0"/>
              <w:marRight w:val="0"/>
              <w:marTop w:val="0"/>
              <w:marBottom w:val="0"/>
              <w:divBdr>
                <w:top w:val="none" w:sz="0" w:space="0" w:color="auto"/>
                <w:left w:val="none" w:sz="0" w:space="0" w:color="auto"/>
                <w:bottom w:val="none" w:sz="0" w:space="0" w:color="auto"/>
                <w:right w:val="none" w:sz="0" w:space="0" w:color="auto"/>
              </w:divBdr>
            </w:div>
            <w:div w:id="257912808">
              <w:marLeft w:val="0"/>
              <w:marRight w:val="0"/>
              <w:marTop w:val="0"/>
              <w:marBottom w:val="0"/>
              <w:divBdr>
                <w:top w:val="none" w:sz="0" w:space="0" w:color="auto"/>
                <w:left w:val="none" w:sz="0" w:space="0" w:color="auto"/>
                <w:bottom w:val="none" w:sz="0" w:space="0" w:color="auto"/>
                <w:right w:val="none" w:sz="0" w:space="0" w:color="auto"/>
              </w:divBdr>
            </w:div>
            <w:div w:id="258761600">
              <w:marLeft w:val="0"/>
              <w:marRight w:val="0"/>
              <w:marTop w:val="0"/>
              <w:marBottom w:val="0"/>
              <w:divBdr>
                <w:top w:val="none" w:sz="0" w:space="0" w:color="auto"/>
                <w:left w:val="none" w:sz="0" w:space="0" w:color="auto"/>
                <w:bottom w:val="none" w:sz="0" w:space="0" w:color="auto"/>
                <w:right w:val="none" w:sz="0" w:space="0" w:color="auto"/>
              </w:divBdr>
            </w:div>
            <w:div w:id="340622714">
              <w:marLeft w:val="0"/>
              <w:marRight w:val="0"/>
              <w:marTop w:val="0"/>
              <w:marBottom w:val="0"/>
              <w:divBdr>
                <w:top w:val="none" w:sz="0" w:space="0" w:color="auto"/>
                <w:left w:val="none" w:sz="0" w:space="0" w:color="auto"/>
                <w:bottom w:val="none" w:sz="0" w:space="0" w:color="auto"/>
                <w:right w:val="none" w:sz="0" w:space="0" w:color="auto"/>
              </w:divBdr>
            </w:div>
            <w:div w:id="362950268">
              <w:marLeft w:val="0"/>
              <w:marRight w:val="0"/>
              <w:marTop w:val="0"/>
              <w:marBottom w:val="0"/>
              <w:divBdr>
                <w:top w:val="none" w:sz="0" w:space="0" w:color="auto"/>
                <w:left w:val="none" w:sz="0" w:space="0" w:color="auto"/>
                <w:bottom w:val="none" w:sz="0" w:space="0" w:color="auto"/>
                <w:right w:val="none" w:sz="0" w:space="0" w:color="auto"/>
              </w:divBdr>
            </w:div>
            <w:div w:id="642931501">
              <w:marLeft w:val="0"/>
              <w:marRight w:val="0"/>
              <w:marTop w:val="0"/>
              <w:marBottom w:val="0"/>
              <w:divBdr>
                <w:top w:val="none" w:sz="0" w:space="0" w:color="auto"/>
                <w:left w:val="none" w:sz="0" w:space="0" w:color="auto"/>
                <w:bottom w:val="none" w:sz="0" w:space="0" w:color="auto"/>
                <w:right w:val="none" w:sz="0" w:space="0" w:color="auto"/>
              </w:divBdr>
            </w:div>
            <w:div w:id="678970017">
              <w:marLeft w:val="0"/>
              <w:marRight w:val="0"/>
              <w:marTop w:val="0"/>
              <w:marBottom w:val="0"/>
              <w:divBdr>
                <w:top w:val="none" w:sz="0" w:space="0" w:color="auto"/>
                <w:left w:val="none" w:sz="0" w:space="0" w:color="auto"/>
                <w:bottom w:val="none" w:sz="0" w:space="0" w:color="auto"/>
                <w:right w:val="none" w:sz="0" w:space="0" w:color="auto"/>
              </w:divBdr>
            </w:div>
            <w:div w:id="813375311">
              <w:marLeft w:val="0"/>
              <w:marRight w:val="0"/>
              <w:marTop w:val="0"/>
              <w:marBottom w:val="0"/>
              <w:divBdr>
                <w:top w:val="none" w:sz="0" w:space="0" w:color="auto"/>
                <w:left w:val="none" w:sz="0" w:space="0" w:color="auto"/>
                <w:bottom w:val="none" w:sz="0" w:space="0" w:color="auto"/>
                <w:right w:val="none" w:sz="0" w:space="0" w:color="auto"/>
              </w:divBdr>
            </w:div>
            <w:div w:id="950625181">
              <w:marLeft w:val="0"/>
              <w:marRight w:val="0"/>
              <w:marTop w:val="0"/>
              <w:marBottom w:val="0"/>
              <w:divBdr>
                <w:top w:val="none" w:sz="0" w:space="0" w:color="auto"/>
                <w:left w:val="none" w:sz="0" w:space="0" w:color="auto"/>
                <w:bottom w:val="none" w:sz="0" w:space="0" w:color="auto"/>
                <w:right w:val="none" w:sz="0" w:space="0" w:color="auto"/>
              </w:divBdr>
            </w:div>
            <w:div w:id="1008872058">
              <w:marLeft w:val="0"/>
              <w:marRight w:val="0"/>
              <w:marTop w:val="0"/>
              <w:marBottom w:val="0"/>
              <w:divBdr>
                <w:top w:val="none" w:sz="0" w:space="0" w:color="auto"/>
                <w:left w:val="none" w:sz="0" w:space="0" w:color="auto"/>
                <w:bottom w:val="none" w:sz="0" w:space="0" w:color="auto"/>
                <w:right w:val="none" w:sz="0" w:space="0" w:color="auto"/>
              </w:divBdr>
            </w:div>
            <w:div w:id="1009986061">
              <w:marLeft w:val="0"/>
              <w:marRight w:val="0"/>
              <w:marTop w:val="0"/>
              <w:marBottom w:val="0"/>
              <w:divBdr>
                <w:top w:val="none" w:sz="0" w:space="0" w:color="auto"/>
                <w:left w:val="none" w:sz="0" w:space="0" w:color="auto"/>
                <w:bottom w:val="none" w:sz="0" w:space="0" w:color="auto"/>
                <w:right w:val="none" w:sz="0" w:space="0" w:color="auto"/>
              </w:divBdr>
            </w:div>
            <w:div w:id="1059669252">
              <w:marLeft w:val="0"/>
              <w:marRight w:val="0"/>
              <w:marTop w:val="0"/>
              <w:marBottom w:val="0"/>
              <w:divBdr>
                <w:top w:val="none" w:sz="0" w:space="0" w:color="auto"/>
                <w:left w:val="none" w:sz="0" w:space="0" w:color="auto"/>
                <w:bottom w:val="none" w:sz="0" w:space="0" w:color="auto"/>
                <w:right w:val="none" w:sz="0" w:space="0" w:color="auto"/>
              </w:divBdr>
            </w:div>
            <w:div w:id="1090859440">
              <w:marLeft w:val="0"/>
              <w:marRight w:val="0"/>
              <w:marTop w:val="0"/>
              <w:marBottom w:val="0"/>
              <w:divBdr>
                <w:top w:val="none" w:sz="0" w:space="0" w:color="auto"/>
                <w:left w:val="none" w:sz="0" w:space="0" w:color="auto"/>
                <w:bottom w:val="none" w:sz="0" w:space="0" w:color="auto"/>
                <w:right w:val="none" w:sz="0" w:space="0" w:color="auto"/>
              </w:divBdr>
            </w:div>
            <w:div w:id="1108693923">
              <w:marLeft w:val="0"/>
              <w:marRight w:val="0"/>
              <w:marTop w:val="0"/>
              <w:marBottom w:val="0"/>
              <w:divBdr>
                <w:top w:val="none" w:sz="0" w:space="0" w:color="auto"/>
                <w:left w:val="none" w:sz="0" w:space="0" w:color="auto"/>
                <w:bottom w:val="none" w:sz="0" w:space="0" w:color="auto"/>
                <w:right w:val="none" w:sz="0" w:space="0" w:color="auto"/>
              </w:divBdr>
            </w:div>
            <w:div w:id="1295721251">
              <w:marLeft w:val="0"/>
              <w:marRight w:val="0"/>
              <w:marTop w:val="0"/>
              <w:marBottom w:val="0"/>
              <w:divBdr>
                <w:top w:val="none" w:sz="0" w:space="0" w:color="auto"/>
                <w:left w:val="none" w:sz="0" w:space="0" w:color="auto"/>
                <w:bottom w:val="none" w:sz="0" w:space="0" w:color="auto"/>
                <w:right w:val="none" w:sz="0" w:space="0" w:color="auto"/>
              </w:divBdr>
            </w:div>
            <w:div w:id="1710227507">
              <w:marLeft w:val="0"/>
              <w:marRight w:val="0"/>
              <w:marTop w:val="0"/>
              <w:marBottom w:val="0"/>
              <w:divBdr>
                <w:top w:val="none" w:sz="0" w:space="0" w:color="auto"/>
                <w:left w:val="none" w:sz="0" w:space="0" w:color="auto"/>
                <w:bottom w:val="none" w:sz="0" w:space="0" w:color="auto"/>
                <w:right w:val="none" w:sz="0" w:space="0" w:color="auto"/>
              </w:divBdr>
            </w:div>
            <w:div w:id="1985306986">
              <w:marLeft w:val="0"/>
              <w:marRight w:val="0"/>
              <w:marTop w:val="0"/>
              <w:marBottom w:val="0"/>
              <w:divBdr>
                <w:top w:val="none" w:sz="0" w:space="0" w:color="auto"/>
                <w:left w:val="none" w:sz="0" w:space="0" w:color="auto"/>
                <w:bottom w:val="none" w:sz="0" w:space="0" w:color="auto"/>
                <w:right w:val="none" w:sz="0" w:space="0" w:color="auto"/>
              </w:divBdr>
            </w:div>
          </w:divsChild>
        </w:div>
        <w:div w:id="1240678478">
          <w:marLeft w:val="0"/>
          <w:marRight w:val="0"/>
          <w:marTop w:val="0"/>
          <w:marBottom w:val="0"/>
          <w:divBdr>
            <w:top w:val="none" w:sz="0" w:space="0" w:color="auto"/>
            <w:left w:val="none" w:sz="0" w:space="0" w:color="auto"/>
            <w:bottom w:val="none" w:sz="0" w:space="0" w:color="auto"/>
            <w:right w:val="none" w:sz="0" w:space="0" w:color="auto"/>
          </w:divBdr>
        </w:div>
        <w:div w:id="1816096934">
          <w:marLeft w:val="0"/>
          <w:marRight w:val="0"/>
          <w:marTop w:val="0"/>
          <w:marBottom w:val="0"/>
          <w:divBdr>
            <w:top w:val="none" w:sz="0" w:space="0" w:color="auto"/>
            <w:left w:val="none" w:sz="0" w:space="0" w:color="auto"/>
            <w:bottom w:val="none" w:sz="0" w:space="0" w:color="auto"/>
            <w:right w:val="none" w:sz="0" w:space="0" w:color="auto"/>
          </w:divBdr>
        </w:div>
      </w:divsChild>
    </w:div>
    <w:div w:id="1046611691">
      <w:bodyDiv w:val="1"/>
      <w:marLeft w:val="0"/>
      <w:marRight w:val="0"/>
      <w:marTop w:val="0"/>
      <w:marBottom w:val="0"/>
      <w:divBdr>
        <w:top w:val="none" w:sz="0" w:space="0" w:color="auto"/>
        <w:left w:val="none" w:sz="0" w:space="0" w:color="auto"/>
        <w:bottom w:val="none" w:sz="0" w:space="0" w:color="auto"/>
        <w:right w:val="none" w:sz="0" w:space="0" w:color="auto"/>
      </w:divBdr>
      <w:divsChild>
        <w:div w:id="116611727">
          <w:marLeft w:val="0"/>
          <w:marRight w:val="0"/>
          <w:marTop w:val="0"/>
          <w:marBottom w:val="0"/>
          <w:divBdr>
            <w:top w:val="none" w:sz="0" w:space="0" w:color="auto"/>
            <w:left w:val="none" w:sz="0" w:space="0" w:color="auto"/>
            <w:bottom w:val="none" w:sz="0" w:space="0" w:color="auto"/>
            <w:right w:val="none" w:sz="0" w:space="0" w:color="auto"/>
          </w:divBdr>
        </w:div>
        <w:div w:id="372198686">
          <w:marLeft w:val="0"/>
          <w:marRight w:val="0"/>
          <w:marTop w:val="0"/>
          <w:marBottom w:val="0"/>
          <w:divBdr>
            <w:top w:val="none" w:sz="0" w:space="0" w:color="auto"/>
            <w:left w:val="none" w:sz="0" w:space="0" w:color="auto"/>
            <w:bottom w:val="none" w:sz="0" w:space="0" w:color="auto"/>
            <w:right w:val="none" w:sz="0" w:space="0" w:color="auto"/>
          </w:divBdr>
        </w:div>
        <w:div w:id="602424683">
          <w:marLeft w:val="0"/>
          <w:marRight w:val="0"/>
          <w:marTop w:val="0"/>
          <w:marBottom w:val="0"/>
          <w:divBdr>
            <w:top w:val="none" w:sz="0" w:space="0" w:color="auto"/>
            <w:left w:val="none" w:sz="0" w:space="0" w:color="auto"/>
            <w:bottom w:val="none" w:sz="0" w:space="0" w:color="auto"/>
            <w:right w:val="none" w:sz="0" w:space="0" w:color="auto"/>
          </w:divBdr>
        </w:div>
        <w:div w:id="713044857">
          <w:marLeft w:val="0"/>
          <w:marRight w:val="0"/>
          <w:marTop w:val="0"/>
          <w:marBottom w:val="0"/>
          <w:divBdr>
            <w:top w:val="none" w:sz="0" w:space="0" w:color="auto"/>
            <w:left w:val="none" w:sz="0" w:space="0" w:color="auto"/>
            <w:bottom w:val="none" w:sz="0" w:space="0" w:color="auto"/>
            <w:right w:val="none" w:sz="0" w:space="0" w:color="auto"/>
          </w:divBdr>
        </w:div>
        <w:div w:id="740909966">
          <w:marLeft w:val="0"/>
          <w:marRight w:val="0"/>
          <w:marTop w:val="0"/>
          <w:marBottom w:val="0"/>
          <w:divBdr>
            <w:top w:val="none" w:sz="0" w:space="0" w:color="auto"/>
            <w:left w:val="none" w:sz="0" w:space="0" w:color="auto"/>
            <w:bottom w:val="none" w:sz="0" w:space="0" w:color="auto"/>
            <w:right w:val="none" w:sz="0" w:space="0" w:color="auto"/>
          </w:divBdr>
        </w:div>
        <w:div w:id="819157023">
          <w:marLeft w:val="0"/>
          <w:marRight w:val="0"/>
          <w:marTop w:val="0"/>
          <w:marBottom w:val="0"/>
          <w:divBdr>
            <w:top w:val="none" w:sz="0" w:space="0" w:color="auto"/>
            <w:left w:val="none" w:sz="0" w:space="0" w:color="auto"/>
            <w:bottom w:val="none" w:sz="0" w:space="0" w:color="auto"/>
            <w:right w:val="none" w:sz="0" w:space="0" w:color="auto"/>
          </w:divBdr>
        </w:div>
        <w:div w:id="828793064">
          <w:marLeft w:val="0"/>
          <w:marRight w:val="0"/>
          <w:marTop w:val="0"/>
          <w:marBottom w:val="0"/>
          <w:divBdr>
            <w:top w:val="none" w:sz="0" w:space="0" w:color="auto"/>
            <w:left w:val="none" w:sz="0" w:space="0" w:color="auto"/>
            <w:bottom w:val="none" w:sz="0" w:space="0" w:color="auto"/>
            <w:right w:val="none" w:sz="0" w:space="0" w:color="auto"/>
          </w:divBdr>
        </w:div>
        <w:div w:id="1080517017">
          <w:marLeft w:val="0"/>
          <w:marRight w:val="0"/>
          <w:marTop w:val="0"/>
          <w:marBottom w:val="0"/>
          <w:divBdr>
            <w:top w:val="none" w:sz="0" w:space="0" w:color="auto"/>
            <w:left w:val="none" w:sz="0" w:space="0" w:color="auto"/>
            <w:bottom w:val="none" w:sz="0" w:space="0" w:color="auto"/>
            <w:right w:val="none" w:sz="0" w:space="0" w:color="auto"/>
          </w:divBdr>
        </w:div>
        <w:div w:id="1138111857">
          <w:marLeft w:val="0"/>
          <w:marRight w:val="0"/>
          <w:marTop w:val="0"/>
          <w:marBottom w:val="0"/>
          <w:divBdr>
            <w:top w:val="none" w:sz="0" w:space="0" w:color="auto"/>
            <w:left w:val="none" w:sz="0" w:space="0" w:color="auto"/>
            <w:bottom w:val="none" w:sz="0" w:space="0" w:color="auto"/>
            <w:right w:val="none" w:sz="0" w:space="0" w:color="auto"/>
          </w:divBdr>
        </w:div>
        <w:div w:id="1258947071">
          <w:marLeft w:val="0"/>
          <w:marRight w:val="0"/>
          <w:marTop w:val="0"/>
          <w:marBottom w:val="0"/>
          <w:divBdr>
            <w:top w:val="none" w:sz="0" w:space="0" w:color="auto"/>
            <w:left w:val="none" w:sz="0" w:space="0" w:color="auto"/>
            <w:bottom w:val="none" w:sz="0" w:space="0" w:color="auto"/>
            <w:right w:val="none" w:sz="0" w:space="0" w:color="auto"/>
          </w:divBdr>
        </w:div>
        <w:div w:id="1293902933">
          <w:marLeft w:val="0"/>
          <w:marRight w:val="0"/>
          <w:marTop w:val="0"/>
          <w:marBottom w:val="0"/>
          <w:divBdr>
            <w:top w:val="none" w:sz="0" w:space="0" w:color="auto"/>
            <w:left w:val="none" w:sz="0" w:space="0" w:color="auto"/>
            <w:bottom w:val="none" w:sz="0" w:space="0" w:color="auto"/>
            <w:right w:val="none" w:sz="0" w:space="0" w:color="auto"/>
          </w:divBdr>
        </w:div>
        <w:div w:id="1374690097">
          <w:marLeft w:val="0"/>
          <w:marRight w:val="0"/>
          <w:marTop w:val="0"/>
          <w:marBottom w:val="0"/>
          <w:divBdr>
            <w:top w:val="none" w:sz="0" w:space="0" w:color="auto"/>
            <w:left w:val="none" w:sz="0" w:space="0" w:color="auto"/>
            <w:bottom w:val="none" w:sz="0" w:space="0" w:color="auto"/>
            <w:right w:val="none" w:sz="0" w:space="0" w:color="auto"/>
          </w:divBdr>
        </w:div>
        <w:div w:id="1543666502">
          <w:marLeft w:val="0"/>
          <w:marRight w:val="0"/>
          <w:marTop w:val="0"/>
          <w:marBottom w:val="0"/>
          <w:divBdr>
            <w:top w:val="none" w:sz="0" w:space="0" w:color="auto"/>
            <w:left w:val="none" w:sz="0" w:space="0" w:color="auto"/>
            <w:bottom w:val="none" w:sz="0" w:space="0" w:color="auto"/>
            <w:right w:val="none" w:sz="0" w:space="0" w:color="auto"/>
          </w:divBdr>
        </w:div>
        <w:div w:id="1781532687">
          <w:marLeft w:val="0"/>
          <w:marRight w:val="0"/>
          <w:marTop w:val="0"/>
          <w:marBottom w:val="0"/>
          <w:divBdr>
            <w:top w:val="none" w:sz="0" w:space="0" w:color="auto"/>
            <w:left w:val="none" w:sz="0" w:space="0" w:color="auto"/>
            <w:bottom w:val="none" w:sz="0" w:space="0" w:color="auto"/>
            <w:right w:val="none" w:sz="0" w:space="0" w:color="auto"/>
          </w:divBdr>
        </w:div>
        <w:div w:id="1948386703">
          <w:marLeft w:val="0"/>
          <w:marRight w:val="0"/>
          <w:marTop w:val="0"/>
          <w:marBottom w:val="0"/>
          <w:divBdr>
            <w:top w:val="none" w:sz="0" w:space="0" w:color="auto"/>
            <w:left w:val="none" w:sz="0" w:space="0" w:color="auto"/>
            <w:bottom w:val="none" w:sz="0" w:space="0" w:color="auto"/>
            <w:right w:val="none" w:sz="0" w:space="0" w:color="auto"/>
          </w:divBdr>
        </w:div>
        <w:div w:id="1985816133">
          <w:marLeft w:val="0"/>
          <w:marRight w:val="0"/>
          <w:marTop w:val="0"/>
          <w:marBottom w:val="0"/>
          <w:divBdr>
            <w:top w:val="none" w:sz="0" w:space="0" w:color="auto"/>
            <w:left w:val="none" w:sz="0" w:space="0" w:color="auto"/>
            <w:bottom w:val="none" w:sz="0" w:space="0" w:color="auto"/>
            <w:right w:val="none" w:sz="0" w:space="0" w:color="auto"/>
          </w:divBdr>
        </w:div>
        <w:div w:id="2119132348">
          <w:marLeft w:val="0"/>
          <w:marRight w:val="0"/>
          <w:marTop w:val="0"/>
          <w:marBottom w:val="0"/>
          <w:divBdr>
            <w:top w:val="none" w:sz="0" w:space="0" w:color="auto"/>
            <w:left w:val="none" w:sz="0" w:space="0" w:color="auto"/>
            <w:bottom w:val="none" w:sz="0" w:space="0" w:color="auto"/>
            <w:right w:val="none" w:sz="0" w:space="0" w:color="auto"/>
          </w:divBdr>
        </w:div>
        <w:div w:id="2125879585">
          <w:marLeft w:val="0"/>
          <w:marRight w:val="0"/>
          <w:marTop w:val="0"/>
          <w:marBottom w:val="0"/>
          <w:divBdr>
            <w:top w:val="none" w:sz="0" w:space="0" w:color="auto"/>
            <w:left w:val="none" w:sz="0" w:space="0" w:color="auto"/>
            <w:bottom w:val="none" w:sz="0" w:space="0" w:color="auto"/>
            <w:right w:val="none" w:sz="0" w:space="0" w:color="auto"/>
          </w:divBdr>
        </w:div>
      </w:divsChild>
    </w:div>
    <w:div w:id="1077944695">
      <w:bodyDiv w:val="1"/>
      <w:marLeft w:val="0"/>
      <w:marRight w:val="0"/>
      <w:marTop w:val="0"/>
      <w:marBottom w:val="0"/>
      <w:divBdr>
        <w:top w:val="none" w:sz="0" w:space="0" w:color="auto"/>
        <w:left w:val="none" w:sz="0" w:space="0" w:color="auto"/>
        <w:bottom w:val="none" w:sz="0" w:space="0" w:color="auto"/>
        <w:right w:val="none" w:sz="0" w:space="0" w:color="auto"/>
      </w:divBdr>
    </w:div>
    <w:div w:id="1085492047">
      <w:bodyDiv w:val="1"/>
      <w:marLeft w:val="0"/>
      <w:marRight w:val="0"/>
      <w:marTop w:val="0"/>
      <w:marBottom w:val="0"/>
      <w:divBdr>
        <w:top w:val="none" w:sz="0" w:space="0" w:color="auto"/>
        <w:left w:val="none" w:sz="0" w:space="0" w:color="auto"/>
        <w:bottom w:val="none" w:sz="0" w:space="0" w:color="auto"/>
        <w:right w:val="none" w:sz="0" w:space="0" w:color="auto"/>
      </w:divBdr>
      <w:divsChild>
        <w:div w:id="42412256">
          <w:marLeft w:val="0"/>
          <w:marRight w:val="0"/>
          <w:marTop w:val="0"/>
          <w:marBottom w:val="0"/>
          <w:divBdr>
            <w:top w:val="none" w:sz="0" w:space="0" w:color="auto"/>
            <w:left w:val="none" w:sz="0" w:space="0" w:color="auto"/>
            <w:bottom w:val="none" w:sz="0" w:space="0" w:color="auto"/>
            <w:right w:val="none" w:sz="0" w:space="0" w:color="auto"/>
          </w:divBdr>
        </w:div>
        <w:div w:id="600911807">
          <w:marLeft w:val="0"/>
          <w:marRight w:val="0"/>
          <w:marTop w:val="0"/>
          <w:marBottom w:val="0"/>
          <w:divBdr>
            <w:top w:val="none" w:sz="0" w:space="0" w:color="auto"/>
            <w:left w:val="none" w:sz="0" w:space="0" w:color="auto"/>
            <w:bottom w:val="none" w:sz="0" w:space="0" w:color="auto"/>
            <w:right w:val="none" w:sz="0" w:space="0" w:color="auto"/>
          </w:divBdr>
        </w:div>
        <w:div w:id="739911817">
          <w:marLeft w:val="0"/>
          <w:marRight w:val="0"/>
          <w:marTop w:val="0"/>
          <w:marBottom w:val="0"/>
          <w:divBdr>
            <w:top w:val="none" w:sz="0" w:space="0" w:color="auto"/>
            <w:left w:val="none" w:sz="0" w:space="0" w:color="auto"/>
            <w:bottom w:val="none" w:sz="0" w:space="0" w:color="auto"/>
            <w:right w:val="none" w:sz="0" w:space="0" w:color="auto"/>
          </w:divBdr>
        </w:div>
      </w:divsChild>
    </w:div>
    <w:div w:id="1102650724">
      <w:bodyDiv w:val="1"/>
      <w:marLeft w:val="0"/>
      <w:marRight w:val="0"/>
      <w:marTop w:val="0"/>
      <w:marBottom w:val="0"/>
      <w:divBdr>
        <w:top w:val="none" w:sz="0" w:space="0" w:color="auto"/>
        <w:left w:val="none" w:sz="0" w:space="0" w:color="auto"/>
        <w:bottom w:val="none" w:sz="0" w:space="0" w:color="auto"/>
        <w:right w:val="none" w:sz="0" w:space="0" w:color="auto"/>
      </w:divBdr>
      <w:divsChild>
        <w:div w:id="351029823">
          <w:marLeft w:val="0"/>
          <w:marRight w:val="0"/>
          <w:marTop w:val="0"/>
          <w:marBottom w:val="0"/>
          <w:divBdr>
            <w:top w:val="none" w:sz="0" w:space="0" w:color="auto"/>
            <w:left w:val="none" w:sz="0" w:space="0" w:color="auto"/>
            <w:bottom w:val="none" w:sz="0" w:space="0" w:color="auto"/>
            <w:right w:val="none" w:sz="0" w:space="0" w:color="auto"/>
          </w:divBdr>
        </w:div>
        <w:div w:id="1872766663">
          <w:marLeft w:val="0"/>
          <w:marRight w:val="0"/>
          <w:marTop w:val="0"/>
          <w:marBottom w:val="0"/>
          <w:divBdr>
            <w:top w:val="none" w:sz="0" w:space="0" w:color="auto"/>
            <w:left w:val="none" w:sz="0" w:space="0" w:color="auto"/>
            <w:bottom w:val="none" w:sz="0" w:space="0" w:color="auto"/>
            <w:right w:val="none" w:sz="0" w:space="0" w:color="auto"/>
          </w:divBdr>
        </w:div>
      </w:divsChild>
    </w:div>
    <w:div w:id="1143741453">
      <w:bodyDiv w:val="1"/>
      <w:marLeft w:val="0"/>
      <w:marRight w:val="0"/>
      <w:marTop w:val="0"/>
      <w:marBottom w:val="0"/>
      <w:divBdr>
        <w:top w:val="none" w:sz="0" w:space="0" w:color="auto"/>
        <w:left w:val="none" w:sz="0" w:space="0" w:color="auto"/>
        <w:bottom w:val="none" w:sz="0" w:space="0" w:color="auto"/>
        <w:right w:val="none" w:sz="0" w:space="0" w:color="auto"/>
      </w:divBdr>
      <w:divsChild>
        <w:div w:id="195050341">
          <w:marLeft w:val="0"/>
          <w:marRight w:val="0"/>
          <w:marTop w:val="0"/>
          <w:marBottom w:val="0"/>
          <w:divBdr>
            <w:top w:val="none" w:sz="0" w:space="0" w:color="auto"/>
            <w:left w:val="none" w:sz="0" w:space="0" w:color="auto"/>
            <w:bottom w:val="none" w:sz="0" w:space="0" w:color="auto"/>
            <w:right w:val="none" w:sz="0" w:space="0" w:color="auto"/>
          </w:divBdr>
        </w:div>
        <w:div w:id="201330462">
          <w:marLeft w:val="0"/>
          <w:marRight w:val="0"/>
          <w:marTop w:val="0"/>
          <w:marBottom w:val="0"/>
          <w:divBdr>
            <w:top w:val="none" w:sz="0" w:space="0" w:color="auto"/>
            <w:left w:val="none" w:sz="0" w:space="0" w:color="auto"/>
            <w:bottom w:val="none" w:sz="0" w:space="0" w:color="auto"/>
            <w:right w:val="none" w:sz="0" w:space="0" w:color="auto"/>
          </w:divBdr>
        </w:div>
        <w:div w:id="230234096">
          <w:marLeft w:val="0"/>
          <w:marRight w:val="0"/>
          <w:marTop w:val="0"/>
          <w:marBottom w:val="0"/>
          <w:divBdr>
            <w:top w:val="none" w:sz="0" w:space="0" w:color="auto"/>
            <w:left w:val="none" w:sz="0" w:space="0" w:color="auto"/>
            <w:bottom w:val="none" w:sz="0" w:space="0" w:color="auto"/>
            <w:right w:val="none" w:sz="0" w:space="0" w:color="auto"/>
          </w:divBdr>
        </w:div>
        <w:div w:id="339358089">
          <w:marLeft w:val="0"/>
          <w:marRight w:val="0"/>
          <w:marTop w:val="0"/>
          <w:marBottom w:val="0"/>
          <w:divBdr>
            <w:top w:val="none" w:sz="0" w:space="0" w:color="auto"/>
            <w:left w:val="none" w:sz="0" w:space="0" w:color="auto"/>
            <w:bottom w:val="none" w:sz="0" w:space="0" w:color="auto"/>
            <w:right w:val="none" w:sz="0" w:space="0" w:color="auto"/>
          </w:divBdr>
        </w:div>
        <w:div w:id="430709653">
          <w:marLeft w:val="0"/>
          <w:marRight w:val="0"/>
          <w:marTop w:val="0"/>
          <w:marBottom w:val="0"/>
          <w:divBdr>
            <w:top w:val="none" w:sz="0" w:space="0" w:color="auto"/>
            <w:left w:val="none" w:sz="0" w:space="0" w:color="auto"/>
            <w:bottom w:val="none" w:sz="0" w:space="0" w:color="auto"/>
            <w:right w:val="none" w:sz="0" w:space="0" w:color="auto"/>
          </w:divBdr>
        </w:div>
        <w:div w:id="440340959">
          <w:marLeft w:val="0"/>
          <w:marRight w:val="0"/>
          <w:marTop w:val="0"/>
          <w:marBottom w:val="0"/>
          <w:divBdr>
            <w:top w:val="none" w:sz="0" w:space="0" w:color="auto"/>
            <w:left w:val="none" w:sz="0" w:space="0" w:color="auto"/>
            <w:bottom w:val="none" w:sz="0" w:space="0" w:color="auto"/>
            <w:right w:val="none" w:sz="0" w:space="0" w:color="auto"/>
          </w:divBdr>
        </w:div>
        <w:div w:id="613748926">
          <w:marLeft w:val="0"/>
          <w:marRight w:val="0"/>
          <w:marTop w:val="0"/>
          <w:marBottom w:val="0"/>
          <w:divBdr>
            <w:top w:val="none" w:sz="0" w:space="0" w:color="auto"/>
            <w:left w:val="none" w:sz="0" w:space="0" w:color="auto"/>
            <w:bottom w:val="none" w:sz="0" w:space="0" w:color="auto"/>
            <w:right w:val="none" w:sz="0" w:space="0" w:color="auto"/>
          </w:divBdr>
        </w:div>
        <w:div w:id="794718059">
          <w:marLeft w:val="0"/>
          <w:marRight w:val="0"/>
          <w:marTop w:val="0"/>
          <w:marBottom w:val="0"/>
          <w:divBdr>
            <w:top w:val="none" w:sz="0" w:space="0" w:color="auto"/>
            <w:left w:val="none" w:sz="0" w:space="0" w:color="auto"/>
            <w:bottom w:val="none" w:sz="0" w:space="0" w:color="auto"/>
            <w:right w:val="none" w:sz="0" w:space="0" w:color="auto"/>
          </w:divBdr>
        </w:div>
        <w:div w:id="901260480">
          <w:marLeft w:val="0"/>
          <w:marRight w:val="0"/>
          <w:marTop w:val="0"/>
          <w:marBottom w:val="0"/>
          <w:divBdr>
            <w:top w:val="none" w:sz="0" w:space="0" w:color="auto"/>
            <w:left w:val="none" w:sz="0" w:space="0" w:color="auto"/>
            <w:bottom w:val="none" w:sz="0" w:space="0" w:color="auto"/>
            <w:right w:val="none" w:sz="0" w:space="0" w:color="auto"/>
          </w:divBdr>
        </w:div>
        <w:div w:id="1670673004">
          <w:marLeft w:val="0"/>
          <w:marRight w:val="0"/>
          <w:marTop w:val="0"/>
          <w:marBottom w:val="0"/>
          <w:divBdr>
            <w:top w:val="none" w:sz="0" w:space="0" w:color="auto"/>
            <w:left w:val="none" w:sz="0" w:space="0" w:color="auto"/>
            <w:bottom w:val="none" w:sz="0" w:space="0" w:color="auto"/>
            <w:right w:val="none" w:sz="0" w:space="0" w:color="auto"/>
          </w:divBdr>
        </w:div>
        <w:div w:id="1790122117">
          <w:marLeft w:val="0"/>
          <w:marRight w:val="0"/>
          <w:marTop w:val="0"/>
          <w:marBottom w:val="0"/>
          <w:divBdr>
            <w:top w:val="none" w:sz="0" w:space="0" w:color="auto"/>
            <w:left w:val="none" w:sz="0" w:space="0" w:color="auto"/>
            <w:bottom w:val="none" w:sz="0" w:space="0" w:color="auto"/>
            <w:right w:val="none" w:sz="0" w:space="0" w:color="auto"/>
          </w:divBdr>
        </w:div>
      </w:divsChild>
    </w:div>
    <w:div w:id="1267540068">
      <w:bodyDiv w:val="1"/>
      <w:marLeft w:val="0"/>
      <w:marRight w:val="0"/>
      <w:marTop w:val="0"/>
      <w:marBottom w:val="0"/>
      <w:divBdr>
        <w:top w:val="none" w:sz="0" w:space="0" w:color="auto"/>
        <w:left w:val="none" w:sz="0" w:space="0" w:color="auto"/>
        <w:bottom w:val="none" w:sz="0" w:space="0" w:color="auto"/>
        <w:right w:val="none" w:sz="0" w:space="0" w:color="auto"/>
      </w:divBdr>
      <w:divsChild>
        <w:div w:id="667758277">
          <w:marLeft w:val="0"/>
          <w:marRight w:val="0"/>
          <w:marTop w:val="0"/>
          <w:marBottom w:val="0"/>
          <w:divBdr>
            <w:top w:val="none" w:sz="0" w:space="0" w:color="auto"/>
            <w:left w:val="none" w:sz="0" w:space="0" w:color="auto"/>
            <w:bottom w:val="none" w:sz="0" w:space="0" w:color="auto"/>
            <w:right w:val="none" w:sz="0" w:space="0" w:color="auto"/>
          </w:divBdr>
        </w:div>
      </w:divsChild>
    </w:div>
    <w:div w:id="1276403445">
      <w:bodyDiv w:val="1"/>
      <w:marLeft w:val="0"/>
      <w:marRight w:val="0"/>
      <w:marTop w:val="0"/>
      <w:marBottom w:val="0"/>
      <w:divBdr>
        <w:top w:val="none" w:sz="0" w:space="0" w:color="auto"/>
        <w:left w:val="none" w:sz="0" w:space="0" w:color="auto"/>
        <w:bottom w:val="none" w:sz="0" w:space="0" w:color="auto"/>
        <w:right w:val="none" w:sz="0" w:space="0" w:color="auto"/>
      </w:divBdr>
    </w:div>
    <w:div w:id="1283613735">
      <w:bodyDiv w:val="1"/>
      <w:marLeft w:val="0"/>
      <w:marRight w:val="0"/>
      <w:marTop w:val="0"/>
      <w:marBottom w:val="0"/>
      <w:divBdr>
        <w:top w:val="none" w:sz="0" w:space="0" w:color="auto"/>
        <w:left w:val="none" w:sz="0" w:space="0" w:color="auto"/>
        <w:bottom w:val="none" w:sz="0" w:space="0" w:color="auto"/>
        <w:right w:val="none" w:sz="0" w:space="0" w:color="auto"/>
      </w:divBdr>
      <w:divsChild>
        <w:div w:id="280646152">
          <w:marLeft w:val="0"/>
          <w:marRight w:val="0"/>
          <w:marTop w:val="0"/>
          <w:marBottom w:val="0"/>
          <w:divBdr>
            <w:top w:val="none" w:sz="0" w:space="0" w:color="auto"/>
            <w:left w:val="none" w:sz="0" w:space="0" w:color="auto"/>
            <w:bottom w:val="none" w:sz="0" w:space="0" w:color="auto"/>
            <w:right w:val="none" w:sz="0" w:space="0" w:color="auto"/>
          </w:divBdr>
          <w:divsChild>
            <w:div w:id="1306815339">
              <w:marLeft w:val="-75"/>
              <w:marRight w:val="0"/>
              <w:marTop w:val="30"/>
              <w:marBottom w:val="30"/>
              <w:divBdr>
                <w:top w:val="none" w:sz="0" w:space="0" w:color="auto"/>
                <w:left w:val="none" w:sz="0" w:space="0" w:color="auto"/>
                <w:bottom w:val="none" w:sz="0" w:space="0" w:color="auto"/>
                <w:right w:val="none" w:sz="0" w:space="0" w:color="auto"/>
              </w:divBdr>
              <w:divsChild>
                <w:div w:id="311058884">
                  <w:marLeft w:val="0"/>
                  <w:marRight w:val="0"/>
                  <w:marTop w:val="0"/>
                  <w:marBottom w:val="0"/>
                  <w:divBdr>
                    <w:top w:val="none" w:sz="0" w:space="0" w:color="auto"/>
                    <w:left w:val="none" w:sz="0" w:space="0" w:color="auto"/>
                    <w:bottom w:val="none" w:sz="0" w:space="0" w:color="auto"/>
                    <w:right w:val="none" w:sz="0" w:space="0" w:color="auto"/>
                  </w:divBdr>
                  <w:divsChild>
                    <w:div w:id="149099195">
                      <w:marLeft w:val="0"/>
                      <w:marRight w:val="0"/>
                      <w:marTop w:val="0"/>
                      <w:marBottom w:val="0"/>
                      <w:divBdr>
                        <w:top w:val="none" w:sz="0" w:space="0" w:color="auto"/>
                        <w:left w:val="none" w:sz="0" w:space="0" w:color="auto"/>
                        <w:bottom w:val="none" w:sz="0" w:space="0" w:color="auto"/>
                        <w:right w:val="none" w:sz="0" w:space="0" w:color="auto"/>
                      </w:divBdr>
                    </w:div>
                  </w:divsChild>
                </w:div>
                <w:div w:id="448935834">
                  <w:marLeft w:val="0"/>
                  <w:marRight w:val="0"/>
                  <w:marTop w:val="0"/>
                  <w:marBottom w:val="0"/>
                  <w:divBdr>
                    <w:top w:val="none" w:sz="0" w:space="0" w:color="auto"/>
                    <w:left w:val="none" w:sz="0" w:space="0" w:color="auto"/>
                    <w:bottom w:val="none" w:sz="0" w:space="0" w:color="auto"/>
                    <w:right w:val="none" w:sz="0" w:space="0" w:color="auto"/>
                  </w:divBdr>
                  <w:divsChild>
                    <w:div w:id="837228476">
                      <w:marLeft w:val="0"/>
                      <w:marRight w:val="0"/>
                      <w:marTop w:val="0"/>
                      <w:marBottom w:val="0"/>
                      <w:divBdr>
                        <w:top w:val="none" w:sz="0" w:space="0" w:color="auto"/>
                        <w:left w:val="none" w:sz="0" w:space="0" w:color="auto"/>
                        <w:bottom w:val="none" w:sz="0" w:space="0" w:color="auto"/>
                        <w:right w:val="none" w:sz="0" w:space="0" w:color="auto"/>
                      </w:divBdr>
                    </w:div>
                  </w:divsChild>
                </w:div>
                <w:div w:id="595023343">
                  <w:marLeft w:val="0"/>
                  <w:marRight w:val="0"/>
                  <w:marTop w:val="0"/>
                  <w:marBottom w:val="0"/>
                  <w:divBdr>
                    <w:top w:val="none" w:sz="0" w:space="0" w:color="auto"/>
                    <w:left w:val="none" w:sz="0" w:space="0" w:color="auto"/>
                    <w:bottom w:val="none" w:sz="0" w:space="0" w:color="auto"/>
                    <w:right w:val="none" w:sz="0" w:space="0" w:color="auto"/>
                  </w:divBdr>
                  <w:divsChild>
                    <w:div w:id="516384839">
                      <w:marLeft w:val="0"/>
                      <w:marRight w:val="0"/>
                      <w:marTop w:val="0"/>
                      <w:marBottom w:val="0"/>
                      <w:divBdr>
                        <w:top w:val="none" w:sz="0" w:space="0" w:color="auto"/>
                        <w:left w:val="none" w:sz="0" w:space="0" w:color="auto"/>
                        <w:bottom w:val="none" w:sz="0" w:space="0" w:color="auto"/>
                        <w:right w:val="none" w:sz="0" w:space="0" w:color="auto"/>
                      </w:divBdr>
                    </w:div>
                  </w:divsChild>
                </w:div>
                <w:div w:id="684401446">
                  <w:marLeft w:val="0"/>
                  <w:marRight w:val="0"/>
                  <w:marTop w:val="0"/>
                  <w:marBottom w:val="0"/>
                  <w:divBdr>
                    <w:top w:val="none" w:sz="0" w:space="0" w:color="auto"/>
                    <w:left w:val="none" w:sz="0" w:space="0" w:color="auto"/>
                    <w:bottom w:val="none" w:sz="0" w:space="0" w:color="auto"/>
                    <w:right w:val="none" w:sz="0" w:space="0" w:color="auto"/>
                  </w:divBdr>
                  <w:divsChild>
                    <w:div w:id="1615209585">
                      <w:marLeft w:val="0"/>
                      <w:marRight w:val="0"/>
                      <w:marTop w:val="0"/>
                      <w:marBottom w:val="0"/>
                      <w:divBdr>
                        <w:top w:val="none" w:sz="0" w:space="0" w:color="auto"/>
                        <w:left w:val="none" w:sz="0" w:space="0" w:color="auto"/>
                        <w:bottom w:val="none" w:sz="0" w:space="0" w:color="auto"/>
                        <w:right w:val="none" w:sz="0" w:space="0" w:color="auto"/>
                      </w:divBdr>
                    </w:div>
                  </w:divsChild>
                </w:div>
                <w:div w:id="852572537">
                  <w:marLeft w:val="0"/>
                  <w:marRight w:val="0"/>
                  <w:marTop w:val="0"/>
                  <w:marBottom w:val="0"/>
                  <w:divBdr>
                    <w:top w:val="none" w:sz="0" w:space="0" w:color="auto"/>
                    <w:left w:val="none" w:sz="0" w:space="0" w:color="auto"/>
                    <w:bottom w:val="none" w:sz="0" w:space="0" w:color="auto"/>
                    <w:right w:val="none" w:sz="0" w:space="0" w:color="auto"/>
                  </w:divBdr>
                  <w:divsChild>
                    <w:div w:id="932738878">
                      <w:marLeft w:val="0"/>
                      <w:marRight w:val="0"/>
                      <w:marTop w:val="0"/>
                      <w:marBottom w:val="0"/>
                      <w:divBdr>
                        <w:top w:val="none" w:sz="0" w:space="0" w:color="auto"/>
                        <w:left w:val="none" w:sz="0" w:space="0" w:color="auto"/>
                        <w:bottom w:val="none" w:sz="0" w:space="0" w:color="auto"/>
                        <w:right w:val="none" w:sz="0" w:space="0" w:color="auto"/>
                      </w:divBdr>
                    </w:div>
                  </w:divsChild>
                </w:div>
                <w:div w:id="1144660531">
                  <w:marLeft w:val="0"/>
                  <w:marRight w:val="0"/>
                  <w:marTop w:val="0"/>
                  <w:marBottom w:val="0"/>
                  <w:divBdr>
                    <w:top w:val="none" w:sz="0" w:space="0" w:color="auto"/>
                    <w:left w:val="none" w:sz="0" w:space="0" w:color="auto"/>
                    <w:bottom w:val="none" w:sz="0" w:space="0" w:color="auto"/>
                    <w:right w:val="none" w:sz="0" w:space="0" w:color="auto"/>
                  </w:divBdr>
                  <w:divsChild>
                    <w:div w:id="874198275">
                      <w:marLeft w:val="0"/>
                      <w:marRight w:val="0"/>
                      <w:marTop w:val="0"/>
                      <w:marBottom w:val="0"/>
                      <w:divBdr>
                        <w:top w:val="none" w:sz="0" w:space="0" w:color="auto"/>
                        <w:left w:val="none" w:sz="0" w:space="0" w:color="auto"/>
                        <w:bottom w:val="none" w:sz="0" w:space="0" w:color="auto"/>
                        <w:right w:val="none" w:sz="0" w:space="0" w:color="auto"/>
                      </w:divBdr>
                    </w:div>
                  </w:divsChild>
                </w:div>
                <w:div w:id="1256399859">
                  <w:marLeft w:val="0"/>
                  <w:marRight w:val="0"/>
                  <w:marTop w:val="0"/>
                  <w:marBottom w:val="0"/>
                  <w:divBdr>
                    <w:top w:val="none" w:sz="0" w:space="0" w:color="auto"/>
                    <w:left w:val="none" w:sz="0" w:space="0" w:color="auto"/>
                    <w:bottom w:val="none" w:sz="0" w:space="0" w:color="auto"/>
                    <w:right w:val="none" w:sz="0" w:space="0" w:color="auto"/>
                  </w:divBdr>
                  <w:divsChild>
                    <w:div w:id="1464302025">
                      <w:marLeft w:val="0"/>
                      <w:marRight w:val="0"/>
                      <w:marTop w:val="0"/>
                      <w:marBottom w:val="0"/>
                      <w:divBdr>
                        <w:top w:val="none" w:sz="0" w:space="0" w:color="auto"/>
                        <w:left w:val="none" w:sz="0" w:space="0" w:color="auto"/>
                        <w:bottom w:val="none" w:sz="0" w:space="0" w:color="auto"/>
                        <w:right w:val="none" w:sz="0" w:space="0" w:color="auto"/>
                      </w:divBdr>
                    </w:div>
                  </w:divsChild>
                </w:div>
                <w:div w:id="2112584239">
                  <w:marLeft w:val="0"/>
                  <w:marRight w:val="0"/>
                  <w:marTop w:val="0"/>
                  <w:marBottom w:val="0"/>
                  <w:divBdr>
                    <w:top w:val="none" w:sz="0" w:space="0" w:color="auto"/>
                    <w:left w:val="none" w:sz="0" w:space="0" w:color="auto"/>
                    <w:bottom w:val="none" w:sz="0" w:space="0" w:color="auto"/>
                    <w:right w:val="none" w:sz="0" w:space="0" w:color="auto"/>
                  </w:divBdr>
                  <w:divsChild>
                    <w:div w:id="1677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851680">
          <w:marLeft w:val="0"/>
          <w:marRight w:val="0"/>
          <w:marTop w:val="0"/>
          <w:marBottom w:val="0"/>
          <w:divBdr>
            <w:top w:val="none" w:sz="0" w:space="0" w:color="auto"/>
            <w:left w:val="none" w:sz="0" w:space="0" w:color="auto"/>
            <w:bottom w:val="none" w:sz="0" w:space="0" w:color="auto"/>
            <w:right w:val="none" w:sz="0" w:space="0" w:color="auto"/>
          </w:divBdr>
        </w:div>
        <w:div w:id="1187602505">
          <w:marLeft w:val="0"/>
          <w:marRight w:val="0"/>
          <w:marTop w:val="0"/>
          <w:marBottom w:val="0"/>
          <w:divBdr>
            <w:top w:val="none" w:sz="0" w:space="0" w:color="auto"/>
            <w:left w:val="none" w:sz="0" w:space="0" w:color="auto"/>
            <w:bottom w:val="none" w:sz="0" w:space="0" w:color="auto"/>
            <w:right w:val="none" w:sz="0" w:space="0" w:color="auto"/>
          </w:divBdr>
        </w:div>
      </w:divsChild>
    </w:div>
    <w:div w:id="1321234289">
      <w:bodyDiv w:val="1"/>
      <w:marLeft w:val="0"/>
      <w:marRight w:val="0"/>
      <w:marTop w:val="0"/>
      <w:marBottom w:val="0"/>
      <w:divBdr>
        <w:top w:val="none" w:sz="0" w:space="0" w:color="auto"/>
        <w:left w:val="none" w:sz="0" w:space="0" w:color="auto"/>
        <w:bottom w:val="none" w:sz="0" w:space="0" w:color="auto"/>
        <w:right w:val="none" w:sz="0" w:space="0" w:color="auto"/>
      </w:divBdr>
      <w:divsChild>
        <w:div w:id="76946415">
          <w:marLeft w:val="0"/>
          <w:marRight w:val="0"/>
          <w:marTop w:val="0"/>
          <w:marBottom w:val="0"/>
          <w:divBdr>
            <w:top w:val="none" w:sz="0" w:space="0" w:color="auto"/>
            <w:left w:val="none" w:sz="0" w:space="0" w:color="auto"/>
            <w:bottom w:val="none" w:sz="0" w:space="0" w:color="auto"/>
            <w:right w:val="none" w:sz="0" w:space="0" w:color="auto"/>
          </w:divBdr>
        </w:div>
        <w:div w:id="193035753">
          <w:marLeft w:val="0"/>
          <w:marRight w:val="0"/>
          <w:marTop w:val="0"/>
          <w:marBottom w:val="0"/>
          <w:divBdr>
            <w:top w:val="none" w:sz="0" w:space="0" w:color="auto"/>
            <w:left w:val="none" w:sz="0" w:space="0" w:color="auto"/>
            <w:bottom w:val="none" w:sz="0" w:space="0" w:color="auto"/>
            <w:right w:val="none" w:sz="0" w:space="0" w:color="auto"/>
          </w:divBdr>
          <w:divsChild>
            <w:div w:id="2082747696">
              <w:marLeft w:val="-75"/>
              <w:marRight w:val="0"/>
              <w:marTop w:val="30"/>
              <w:marBottom w:val="30"/>
              <w:divBdr>
                <w:top w:val="none" w:sz="0" w:space="0" w:color="auto"/>
                <w:left w:val="none" w:sz="0" w:space="0" w:color="auto"/>
                <w:bottom w:val="none" w:sz="0" w:space="0" w:color="auto"/>
                <w:right w:val="none" w:sz="0" w:space="0" w:color="auto"/>
              </w:divBdr>
              <w:divsChild>
                <w:div w:id="15428230">
                  <w:marLeft w:val="0"/>
                  <w:marRight w:val="0"/>
                  <w:marTop w:val="0"/>
                  <w:marBottom w:val="0"/>
                  <w:divBdr>
                    <w:top w:val="none" w:sz="0" w:space="0" w:color="auto"/>
                    <w:left w:val="none" w:sz="0" w:space="0" w:color="auto"/>
                    <w:bottom w:val="none" w:sz="0" w:space="0" w:color="auto"/>
                    <w:right w:val="none" w:sz="0" w:space="0" w:color="auto"/>
                  </w:divBdr>
                  <w:divsChild>
                    <w:div w:id="1515264966">
                      <w:marLeft w:val="0"/>
                      <w:marRight w:val="0"/>
                      <w:marTop w:val="0"/>
                      <w:marBottom w:val="0"/>
                      <w:divBdr>
                        <w:top w:val="none" w:sz="0" w:space="0" w:color="auto"/>
                        <w:left w:val="none" w:sz="0" w:space="0" w:color="auto"/>
                        <w:bottom w:val="none" w:sz="0" w:space="0" w:color="auto"/>
                        <w:right w:val="none" w:sz="0" w:space="0" w:color="auto"/>
                      </w:divBdr>
                    </w:div>
                  </w:divsChild>
                </w:div>
                <w:div w:id="72555552">
                  <w:marLeft w:val="0"/>
                  <w:marRight w:val="0"/>
                  <w:marTop w:val="0"/>
                  <w:marBottom w:val="0"/>
                  <w:divBdr>
                    <w:top w:val="none" w:sz="0" w:space="0" w:color="auto"/>
                    <w:left w:val="none" w:sz="0" w:space="0" w:color="auto"/>
                    <w:bottom w:val="none" w:sz="0" w:space="0" w:color="auto"/>
                    <w:right w:val="none" w:sz="0" w:space="0" w:color="auto"/>
                  </w:divBdr>
                  <w:divsChild>
                    <w:div w:id="1107190728">
                      <w:marLeft w:val="0"/>
                      <w:marRight w:val="0"/>
                      <w:marTop w:val="0"/>
                      <w:marBottom w:val="0"/>
                      <w:divBdr>
                        <w:top w:val="none" w:sz="0" w:space="0" w:color="auto"/>
                        <w:left w:val="none" w:sz="0" w:space="0" w:color="auto"/>
                        <w:bottom w:val="none" w:sz="0" w:space="0" w:color="auto"/>
                        <w:right w:val="none" w:sz="0" w:space="0" w:color="auto"/>
                      </w:divBdr>
                    </w:div>
                  </w:divsChild>
                </w:div>
                <w:div w:id="252713151">
                  <w:marLeft w:val="0"/>
                  <w:marRight w:val="0"/>
                  <w:marTop w:val="0"/>
                  <w:marBottom w:val="0"/>
                  <w:divBdr>
                    <w:top w:val="none" w:sz="0" w:space="0" w:color="auto"/>
                    <w:left w:val="none" w:sz="0" w:space="0" w:color="auto"/>
                    <w:bottom w:val="none" w:sz="0" w:space="0" w:color="auto"/>
                    <w:right w:val="none" w:sz="0" w:space="0" w:color="auto"/>
                  </w:divBdr>
                  <w:divsChild>
                    <w:div w:id="1467966588">
                      <w:marLeft w:val="0"/>
                      <w:marRight w:val="0"/>
                      <w:marTop w:val="0"/>
                      <w:marBottom w:val="0"/>
                      <w:divBdr>
                        <w:top w:val="none" w:sz="0" w:space="0" w:color="auto"/>
                        <w:left w:val="none" w:sz="0" w:space="0" w:color="auto"/>
                        <w:bottom w:val="none" w:sz="0" w:space="0" w:color="auto"/>
                        <w:right w:val="none" w:sz="0" w:space="0" w:color="auto"/>
                      </w:divBdr>
                    </w:div>
                  </w:divsChild>
                </w:div>
                <w:div w:id="257448758">
                  <w:marLeft w:val="0"/>
                  <w:marRight w:val="0"/>
                  <w:marTop w:val="0"/>
                  <w:marBottom w:val="0"/>
                  <w:divBdr>
                    <w:top w:val="none" w:sz="0" w:space="0" w:color="auto"/>
                    <w:left w:val="none" w:sz="0" w:space="0" w:color="auto"/>
                    <w:bottom w:val="none" w:sz="0" w:space="0" w:color="auto"/>
                    <w:right w:val="none" w:sz="0" w:space="0" w:color="auto"/>
                  </w:divBdr>
                  <w:divsChild>
                    <w:div w:id="53698026">
                      <w:marLeft w:val="0"/>
                      <w:marRight w:val="0"/>
                      <w:marTop w:val="0"/>
                      <w:marBottom w:val="0"/>
                      <w:divBdr>
                        <w:top w:val="none" w:sz="0" w:space="0" w:color="auto"/>
                        <w:left w:val="none" w:sz="0" w:space="0" w:color="auto"/>
                        <w:bottom w:val="none" w:sz="0" w:space="0" w:color="auto"/>
                        <w:right w:val="none" w:sz="0" w:space="0" w:color="auto"/>
                      </w:divBdr>
                    </w:div>
                  </w:divsChild>
                </w:div>
                <w:div w:id="454911941">
                  <w:marLeft w:val="0"/>
                  <w:marRight w:val="0"/>
                  <w:marTop w:val="0"/>
                  <w:marBottom w:val="0"/>
                  <w:divBdr>
                    <w:top w:val="none" w:sz="0" w:space="0" w:color="auto"/>
                    <w:left w:val="none" w:sz="0" w:space="0" w:color="auto"/>
                    <w:bottom w:val="none" w:sz="0" w:space="0" w:color="auto"/>
                    <w:right w:val="none" w:sz="0" w:space="0" w:color="auto"/>
                  </w:divBdr>
                  <w:divsChild>
                    <w:div w:id="1411273434">
                      <w:marLeft w:val="0"/>
                      <w:marRight w:val="0"/>
                      <w:marTop w:val="0"/>
                      <w:marBottom w:val="0"/>
                      <w:divBdr>
                        <w:top w:val="none" w:sz="0" w:space="0" w:color="auto"/>
                        <w:left w:val="none" w:sz="0" w:space="0" w:color="auto"/>
                        <w:bottom w:val="none" w:sz="0" w:space="0" w:color="auto"/>
                        <w:right w:val="none" w:sz="0" w:space="0" w:color="auto"/>
                      </w:divBdr>
                    </w:div>
                  </w:divsChild>
                </w:div>
                <w:div w:id="687678835">
                  <w:marLeft w:val="0"/>
                  <w:marRight w:val="0"/>
                  <w:marTop w:val="0"/>
                  <w:marBottom w:val="0"/>
                  <w:divBdr>
                    <w:top w:val="none" w:sz="0" w:space="0" w:color="auto"/>
                    <w:left w:val="none" w:sz="0" w:space="0" w:color="auto"/>
                    <w:bottom w:val="none" w:sz="0" w:space="0" w:color="auto"/>
                    <w:right w:val="none" w:sz="0" w:space="0" w:color="auto"/>
                  </w:divBdr>
                  <w:divsChild>
                    <w:div w:id="228197527">
                      <w:marLeft w:val="0"/>
                      <w:marRight w:val="0"/>
                      <w:marTop w:val="0"/>
                      <w:marBottom w:val="0"/>
                      <w:divBdr>
                        <w:top w:val="none" w:sz="0" w:space="0" w:color="auto"/>
                        <w:left w:val="none" w:sz="0" w:space="0" w:color="auto"/>
                        <w:bottom w:val="none" w:sz="0" w:space="0" w:color="auto"/>
                        <w:right w:val="none" w:sz="0" w:space="0" w:color="auto"/>
                      </w:divBdr>
                    </w:div>
                  </w:divsChild>
                </w:div>
                <w:div w:id="753471438">
                  <w:marLeft w:val="0"/>
                  <w:marRight w:val="0"/>
                  <w:marTop w:val="0"/>
                  <w:marBottom w:val="0"/>
                  <w:divBdr>
                    <w:top w:val="none" w:sz="0" w:space="0" w:color="auto"/>
                    <w:left w:val="none" w:sz="0" w:space="0" w:color="auto"/>
                    <w:bottom w:val="none" w:sz="0" w:space="0" w:color="auto"/>
                    <w:right w:val="none" w:sz="0" w:space="0" w:color="auto"/>
                  </w:divBdr>
                  <w:divsChild>
                    <w:div w:id="202837101">
                      <w:marLeft w:val="0"/>
                      <w:marRight w:val="0"/>
                      <w:marTop w:val="0"/>
                      <w:marBottom w:val="0"/>
                      <w:divBdr>
                        <w:top w:val="none" w:sz="0" w:space="0" w:color="auto"/>
                        <w:left w:val="none" w:sz="0" w:space="0" w:color="auto"/>
                        <w:bottom w:val="none" w:sz="0" w:space="0" w:color="auto"/>
                        <w:right w:val="none" w:sz="0" w:space="0" w:color="auto"/>
                      </w:divBdr>
                    </w:div>
                  </w:divsChild>
                </w:div>
                <w:div w:id="825165197">
                  <w:marLeft w:val="0"/>
                  <w:marRight w:val="0"/>
                  <w:marTop w:val="0"/>
                  <w:marBottom w:val="0"/>
                  <w:divBdr>
                    <w:top w:val="none" w:sz="0" w:space="0" w:color="auto"/>
                    <w:left w:val="none" w:sz="0" w:space="0" w:color="auto"/>
                    <w:bottom w:val="none" w:sz="0" w:space="0" w:color="auto"/>
                    <w:right w:val="none" w:sz="0" w:space="0" w:color="auto"/>
                  </w:divBdr>
                  <w:divsChild>
                    <w:div w:id="2085954470">
                      <w:marLeft w:val="0"/>
                      <w:marRight w:val="0"/>
                      <w:marTop w:val="0"/>
                      <w:marBottom w:val="0"/>
                      <w:divBdr>
                        <w:top w:val="none" w:sz="0" w:space="0" w:color="auto"/>
                        <w:left w:val="none" w:sz="0" w:space="0" w:color="auto"/>
                        <w:bottom w:val="none" w:sz="0" w:space="0" w:color="auto"/>
                        <w:right w:val="none" w:sz="0" w:space="0" w:color="auto"/>
                      </w:divBdr>
                    </w:div>
                  </w:divsChild>
                </w:div>
                <w:div w:id="911307311">
                  <w:marLeft w:val="0"/>
                  <w:marRight w:val="0"/>
                  <w:marTop w:val="0"/>
                  <w:marBottom w:val="0"/>
                  <w:divBdr>
                    <w:top w:val="none" w:sz="0" w:space="0" w:color="auto"/>
                    <w:left w:val="none" w:sz="0" w:space="0" w:color="auto"/>
                    <w:bottom w:val="none" w:sz="0" w:space="0" w:color="auto"/>
                    <w:right w:val="none" w:sz="0" w:space="0" w:color="auto"/>
                  </w:divBdr>
                  <w:divsChild>
                    <w:div w:id="472065645">
                      <w:marLeft w:val="0"/>
                      <w:marRight w:val="0"/>
                      <w:marTop w:val="0"/>
                      <w:marBottom w:val="0"/>
                      <w:divBdr>
                        <w:top w:val="none" w:sz="0" w:space="0" w:color="auto"/>
                        <w:left w:val="none" w:sz="0" w:space="0" w:color="auto"/>
                        <w:bottom w:val="none" w:sz="0" w:space="0" w:color="auto"/>
                        <w:right w:val="none" w:sz="0" w:space="0" w:color="auto"/>
                      </w:divBdr>
                    </w:div>
                  </w:divsChild>
                </w:div>
                <w:div w:id="1036589594">
                  <w:marLeft w:val="0"/>
                  <w:marRight w:val="0"/>
                  <w:marTop w:val="0"/>
                  <w:marBottom w:val="0"/>
                  <w:divBdr>
                    <w:top w:val="none" w:sz="0" w:space="0" w:color="auto"/>
                    <w:left w:val="none" w:sz="0" w:space="0" w:color="auto"/>
                    <w:bottom w:val="none" w:sz="0" w:space="0" w:color="auto"/>
                    <w:right w:val="none" w:sz="0" w:space="0" w:color="auto"/>
                  </w:divBdr>
                  <w:divsChild>
                    <w:div w:id="1123814165">
                      <w:marLeft w:val="0"/>
                      <w:marRight w:val="0"/>
                      <w:marTop w:val="0"/>
                      <w:marBottom w:val="0"/>
                      <w:divBdr>
                        <w:top w:val="none" w:sz="0" w:space="0" w:color="auto"/>
                        <w:left w:val="none" w:sz="0" w:space="0" w:color="auto"/>
                        <w:bottom w:val="none" w:sz="0" w:space="0" w:color="auto"/>
                        <w:right w:val="none" w:sz="0" w:space="0" w:color="auto"/>
                      </w:divBdr>
                    </w:div>
                  </w:divsChild>
                </w:div>
                <w:div w:id="1048144013">
                  <w:marLeft w:val="0"/>
                  <w:marRight w:val="0"/>
                  <w:marTop w:val="0"/>
                  <w:marBottom w:val="0"/>
                  <w:divBdr>
                    <w:top w:val="none" w:sz="0" w:space="0" w:color="auto"/>
                    <w:left w:val="none" w:sz="0" w:space="0" w:color="auto"/>
                    <w:bottom w:val="none" w:sz="0" w:space="0" w:color="auto"/>
                    <w:right w:val="none" w:sz="0" w:space="0" w:color="auto"/>
                  </w:divBdr>
                  <w:divsChild>
                    <w:div w:id="1940527604">
                      <w:marLeft w:val="0"/>
                      <w:marRight w:val="0"/>
                      <w:marTop w:val="0"/>
                      <w:marBottom w:val="0"/>
                      <w:divBdr>
                        <w:top w:val="none" w:sz="0" w:space="0" w:color="auto"/>
                        <w:left w:val="none" w:sz="0" w:space="0" w:color="auto"/>
                        <w:bottom w:val="none" w:sz="0" w:space="0" w:color="auto"/>
                        <w:right w:val="none" w:sz="0" w:space="0" w:color="auto"/>
                      </w:divBdr>
                    </w:div>
                  </w:divsChild>
                </w:div>
                <w:div w:id="1265307625">
                  <w:marLeft w:val="0"/>
                  <w:marRight w:val="0"/>
                  <w:marTop w:val="0"/>
                  <w:marBottom w:val="0"/>
                  <w:divBdr>
                    <w:top w:val="none" w:sz="0" w:space="0" w:color="auto"/>
                    <w:left w:val="none" w:sz="0" w:space="0" w:color="auto"/>
                    <w:bottom w:val="none" w:sz="0" w:space="0" w:color="auto"/>
                    <w:right w:val="none" w:sz="0" w:space="0" w:color="auto"/>
                  </w:divBdr>
                  <w:divsChild>
                    <w:div w:id="654332519">
                      <w:marLeft w:val="0"/>
                      <w:marRight w:val="0"/>
                      <w:marTop w:val="0"/>
                      <w:marBottom w:val="0"/>
                      <w:divBdr>
                        <w:top w:val="none" w:sz="0" w:space="0" w:color="auto"/>
                        <w:left w:val="none" w:sz="0" w:space="0" w:color="auto"/>
                        <w:bottom w:val="none" w:sz="0" w:space="0" w:color="auto"/>
                        <w:right w:val="none" w:sz="0" w:space="0" w:color="auto"/>
                      </w:divBdr>
                    </w:div>
                  </w:divsChild>
                </w:div>
                <w:div w:id="1410888368">
                  <w:marLeft w:val="0"/>
                  <w:marRight w:val="0"/>
                  <w:marTop w:val="0"/>
                  <w:marBottom w:val="0"/>
                  <w:divBdr>
                    <w:top w:val="none" w:sz="0" w:space="0" w:color="auto"/>
                    <w:left w:val="none" w:sz="0" w:space="0" w:color="auto"/>
                    <w:bottom w:val="none" w:sz="0" w:space="0" w:color="auto"/>
                    <w:right w:val="none" w:sz="0" w:space="0" w:color="auto"/>
                  </w:divBdr>
                  <w:divsChild>
                    <w:div w:id="1627276291">
                      <w:marLeft w:val="0"/>
                      <w:marRight w:val="0"/>
                      <w:marTop w:val="0"/>
                      <w:marBottom w:val="0"/>
                      <w:divBdr>
                        <w:top w:val="none" w:sz="0" w:space="0" w:color="auto"/>
                        <w:left w:val="none" w:sz="0" w:space="0" w:color="auto"/>
                        <w:bottom w:val="none" w:sz="0" w:space="0" w:color="auto"/>
                        <w:right w:val="none" w:sz="0" w:space="0" w:color="auto"/>
                      </w:divBdr>
                    </w:div>
                  </w:divsChild>
                </w:div>
                <w:div w:id="1422531525">
                  <w:marLeft w:val="0"/>
                  <w:marRight w:val="0"/>
                  <w:marTop w:val="0"/>
                  <w:marBottom w:val="0"/>
                  <w:divBdr>
                    <w:top w:val="none" w:sz="0" w:space="0" w:color="auto"/>
                    <w:left w:val="none" w:sz="0" w:space="0" w:color="auto"/>
                    <w:bottom w:val="none" w:sz="0" w:space="0" w:color="auto"/>
                    <w:right w:val="none" w:sz="0" w:space="0" w:color="auto"/>
                  </w:divBdr>
                  <w:divsChild>
                    <w:div w:id="48192033">
                      <w:marLeft w:val="0"/>
                      <w:marRight w:val="0"/>
                      <w:marTop w:val="0"/>
                      <w:marBottom w:val="0"/>
                      <w:divBdr>
                        <w:top w:val="none" w:sz="0" w:space="0" w:color="auto"/>
                        <w:left w:val="none" w:sz="0" w:space="0" w:color="auto"/>
                        <w:bottom w:val="none" w:sz="0" w:space="0" w:color="auto"/>
                        <w:right w:val="none" w:sz="0" w:space="0" w:color="auto"/>
                      </w:divBdr>
                    </w:div>
                  </w:divsChild>
                </w:div>
                <w:div w:id="1657297014">
                  <w:marLeft w:val="0"/>
                  <w:marRight w:val="0"/>
                  <w:marTop w:val="0"/>
                  <w:marBottom w:val="0"/>
                  <w:divBdr>
                    <w:top w:val="none" w:sz="0" w:space="0" w:color="auto"/>
                    <w:left w:val="none" w:sz="0" w:space="0" w:color="auto"/>
                    <w:bottom w:val="none" w:sz="0" w:space="0" w:color="auto"/>
                    <w:right w:val="none" w:sz="0" w:space="0" w:color="auto"/>
                  </w:divBdr>
                  <w:divsChild>
                    <w:div w:id="1297830673">
                      <w:marLeft w:val="0"/>
                      <w:marRight w:val="0"/>
                      <w:marTop w:val="0"/>
                      <w:marBottom w:val="0"/>
                      <w:divBdr>
                        <w:top w:val="none" w:sz="0" w:space="0" w:color="auto"/>
                        <w:left w:val="none" w:sz="0" w:space="0" w:color="auto"/>
                        <w:bottom w:val="none" w:sz="0" w:space="0" w:color="auto"/>
                        <w:right w:val="none" w:sz="0" w:space="0" w:color="auto"/>
                      </w:divBdr>
                    </w:div>
                  </w:divsChild>
                </w:div>
                <w:div w:id="1693870778">
                  <w:marLeft w:val="0"/>
                  <w:marRight w:val="0"/>
                  <w:marTop w:val="0"/>
                  <w:marBottom w:val="0"/>
                  <w:divBdr>
                    <w:top w:val="none" w:sz="0" w:space="0" w:color="auto"/>
                    <w:left w:val="none" w:sz="0" w:space="0" w:color="auto"/>
                    <w:bottom w:val="none" w:sz="0" w:space="0" w:color="auto"/>
                    <w:right w:val="none" w:sz="0" w:space="0" w:color="auto"/>
                  </w:divBdr>
                  <w:divsChild>
                    <w:div w:id="257754478">
                      <w:marLeft w:val="0"/>
                      <w:marRight w:val="0"/>
                      <w:marTop w:val="0"/>
                      <w:marBottom w:val="0"/>
                      <w:divBdr>
                        <w:top w:val="none" w:sz="0" w:space="0" w:color="auto"/>
                        <w:left w:val="none" w:sz="0" w:space="0" w:color="auto"/>
                        <w:bottom w:val="none" w:sz="0" w:space="0" w:color="auto"/>
                        <w:right w:val="none" w:sz="0" w:space="0" w:color="auto"/>
                      </w:divBdr>
                    </w:div>
                  </w:divsChild>
                </w:div>
                <w:div w:id="1887329521">
                  <w:marLeft w:val="0"/>
                  <w:marRight w:val="0"/>
                  <w:marTop w:val="0"/>
                  <w:marBottom w:val="0"/>
                  <w:divBdr>
                    <w:top w:val="none" w:sz="0" w:space="0" w:color="auto"/>
                    <w:left w:val="none" w:sz="0" w:space="0" w:color="auto"/>
                    <w:bottom w:val="none" w:sz="0" w:space="0" w:color="auto"/>
                    <w:right w:val="none" w:sz="0" w:space="0" w:color="auto"/>
                  </w:divBdr>
                  <w:divsChild>
                    <w:div w:id="1209955879">
                      <w:marLeft w:val="0"/>
                      <w:marRight w:val="0"/>
                      <w:marTop w:val="0"/>
                      <w:marBottom w:val="0"/>
                      <w:divBdr>
                        <w:top w:val="none" w:sz="0" w:space="0" w:color="auto"/>
                        <w:left w:val="none" w:sz="0" w:space="0" w:color="auto"/>
                        <w:bottom w:val="none" w:sz="0" w:space="0" w:color="auto"/>
                        <w:right w:val="none" w:sz="0" w:space="0" w:color="auto"/>
                      </w:divBdr>
                    </w:div>
                  </w:divsChild>
                </w:div>
                <w:div w:id="1975524385">
                  <w:marLeft w:val="0"/>
                  <w:marRight w:val="0"/>
                  <w:marTop w:val="0"/>
                  <w:marBottom w:val="0"/>
                  <w:divBdr>
                    <w:top w:val="none" w:sz="0" w:space="0" w:color="auto"/>
                    <w:left w:val="none" w:sz="0" w:space="0" w:color="auto"/>
                    <w:bottom w:val="none" w:sz="0" w:space="0" w:color="auto"/>
                    <w:right w:val="none" w:sz="0" w:space="0" w:color="auto"/>
                  </w:divBdr>
                  <w:divsChild>
                    <w:div w:id="426998996">
                      <w:marLeft w:val="0"/>
                      <w:marRight w:val="0"/>
                      <w:marTop w:val="0"/>
                      <w:marBottom w:val="0"/>
                      <w:divBdr>
                        <w:top w:val="none" w:sz="0" w:space="0" w:color="auto"/>
                        <w:left w:val="none" w:sz="0" w:space="0" w:color="auto"/>
                        <w:bottom w:val="none" w:sz="0" w:space="0" w:color="auto"/>
                        <w:right w:val="none" w:sz="0" w:space="0" w:color="auto"/>
                      </w:divBdr>
                    </w:div>
                  </w:divsChild>
                </w:div>
                <w:div w:id="1995450992">
                  <w:marLeft w:val="0"/>
                  <w:marRight w:val="0"/>
                  <w:marTop w:val="0"/>
                  <w:marBottom w:val="0"/>
                  <w:divBdr>
                    <w:top w:val="none" w:sz="0" w:space="0" w:color="auto"/>
                    <w:left w:val="none" w:sz="0" w:space="0" w:color="auto"/>
                    <w:bottom w:val="none" w:sz="0" w:space="0" w:color="auto"/>
                    <w:right w:val="none" w:sz="0" w:space="0" w:color="auto"/>
                  </w:divBdr>
                  <w:divsChild>
                    <w:div w:id="616987002">
                      <w:marLeft w:val="0"/>
                      <w:marRight w:val="0"/>
                      <w:marTop w:val="0"/>
                      <w:marBottom w:val="0"/>
                      <w:divBdr>
                        <w:top w:val="none" w:sz="0" w:space="0" w:color="auto"/>
                        <w:left w:val="none" w:sz="0" w:space="0" w:color="auto"/>
                        <w:bottom w:val="none" w:sz="0" w:space="0" w:color="auto"/>
                        <w:right w:val="none" w:sz="0" w:space="0" w:color="auto"/>
                      </w:divBdr>
                    </w:div>
                  </w:divsChild>
                </w:div>
                <w:div w:id="2013753854">
                  <w:marLeft w:val="0"/>
                  <w:marRight w:val="0"/>
                  <w:marTop w:val="0"/>
                  <w:marBottom w:val="0"/>
                  <w:divBdr>
                    <w:top w:val="none" w:sz="0" w:space="0" w:color="auto"/>
                    <w:left w:val="none" w:sz="0" w:space="0" w:color="auto"/>
                    <w:bottom w:val="none" w:sz="0" w:space="0" w:color="auto"/>
                    <w:right w:val="none" w:sz="0" w:space="0" w:color="auto"/>
                  </w:divBdr>
                  <w:divsChild>
                    <w:div w:id="95759753">
                      <w:marLeft w:val="0"/>
                      <w:marRight w:val="0"/>
                      <w:marTop w:val="0"/>
                      <w:marBottom w:val="0"/>
                      <w:divBdr>
                        <w:top w:val="none" w:sz="0" w:space="0" w:color="auto"/>
                        <w:left w:val="none" w:sz="0" w:space="0" w:color="auto"/>
                        <w:bottom w:val="none" w:sz="0" w:space="0" w:color="auto"/>
                        <w:right w:val="none" w:sz="0" w:space="0" w:color="auto"/>
                      </w:divBdr>
                    </w:div>
                  </w:divsChild>
                </w:div>
                <w:div w:id="2041394772">
                  <w:marLeft w:val="0"/>
                  <w:marRight w:val="0"/>
                  <w:marTop w:val="0"/>
                  <w:marBottom w:val="0"/>
                  <w:divBdr>
                    <w:top w:val="none" w:sz="0" w:space="0" w:color="auto"/>
                    <w:left w:val="none" w:sz="0" w:space="0" w:color="auto"/>
                    <w:bottom w:val="none" w:sz="0" w:space="0" w:color="auto"/>
                    <w:right w:val="none" w:sz="0" w:space="0" w:color="auto"/>
                  </w:divBdr>
                  <w:divsChild>
                    <w:div w:id="14503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17558">
          <w:marLeft w:val="0"/>
          <w:marRight w:val="0"/>
          <w:marTop w:val="0"/>
          <w:marBottom w:val="0"/>
          <w:divBdr>
            <w:top w:val="none" w:sz="0" w:space="0" w:color="auto"/>
            <w:left w:val="none" w:sz="0" w:space="0" w:color="auto"/>
            <w:bottom w:val="none" w:sz="0" w:space="0" w:color="auto"/>
            <w:right w:val="none" w:sz="0" w:space="0" w:color="auto"/>
          </w:divBdr>
        </w:div>
        <w:div w:id="374349917">
          <w:marLeft w:val="0"/>
          <w:marRight w:val="0"/>
          <w:marTop w:val="0"/>
          <w:marBottom w:val="0"/>
          <w:divBdr>
            <w:top w:val="none" w:sz="0" w:space="0" w:color="auto"/>
            <w:left w:val="none" w:sz="0" w:space="0" w:color="auto"/>
            <w:bottom w:val="none" w:sz="0" w:space="0" w:color="auto"/>
            <w:right w:val="none" w:sz="0" w:space="0" w:color="auto"/>
          </w:divBdr>
        </w:div>
        <w:div w:id="385835446">
          <w:marLeft w:val="0"/>
          <w:marRight w:val="0"/>
          <w:marTop w:val="0"/>
          <w:marBottom w:val="0"/>
          <w:divBdr>
            <w:top w:val="none" w:sz="0" w:space="0" w:color="auto"/>
            <w:left w:val="none" w:sz="0" w:space="0" w:color="auto"/>
            <w:bottom w:val="none" w:sz="0" w:space="0" w:color="auto"/>
            <w:right w:val="none" w:sz="0" w:space="0" w:color="auto"/>
          </w:divBdr>
        </w:div>
        <w:div w:id="519590178">
          <w:marLeft w:val="0"/>
          <w:marRight w:val="0"/>
          <w:marTop w:val="0"/>
          <w:marBottom w:val="0"/>
          <w:divBdr>
            <w:top w:val="none" w:sz="0" w:space="0" w:color="auto"/>
            <w:left w:val="none" w:sz="0" w:space="0" w:color="auto"/>
            <w:bottom w:val="none" w:sz="0" w:space="0" w:color="auto"/>
            <w:right w:val="none" w:sz="0" w:space="0" w:color="auto"/>
          </w:divBdr>
        </w:div>
        <w:div w:id="604923418">
          <w:marLeft w:val="0"/>
          <w:marRight w:val="0"/>
          <w:marTop w:val="0"/>
          <w:marBottom w:val="0"/>
          <w:divBdr>
            <w:top w:val="none" w:sz="0" w:space="0" w:color="auto"/>
            <w:left w:val="none" w:sz="0" w:space="0" w:color="auto"/>
            <w:bottom w:val="none" w:sz="0" w:space="0" w:color="auto"/>
            <w:right w:val="none" w:sz="0" w:space="0" w:color="auto"/>
          </w:divBdr>
        </w:div>
        <w:div w:id="623923170">
          <w:marLeft w:val="0"/>
          <w:marRight w:val="0"/>
          <w:marTop w:val="0"/>
          <w:marBottom w:val="0"/>
          <w:divBdr>
            <w:top w:val="none" w:sz="0" w:space="0" w:color="auto"/>
            <w:left w:val="none" w:sz="0" w:space="0" w:color="auto"/>
            <w:bottom w:val="none" w:sz="0" w:space="0" w:color="auto"/>
            <w:right w:val="none" w:sz="0" w:space="0" w:color="auto"/>
          </w:divBdr>
        </w:div>
        <w:div w:id="624509224">
          <w:marLeft w:val="0"/>
          <w:marRight w:val="0"/>
          <w:marTop w:val="0"/>
          <w:marBottom w:val="0"/>
          <w:divBdr>
            <w:top w:val="none" w:sz="0" w:space="0" w:color="auto"/>
            <w:left w:val="none" w:sz="0" w:space="0" w:color="auto"/>
            <w:bottom w:val="none" w:sz="0" w:space="0" w:color="auto"/>
            <w:right w:val="none" w:sz="0" w:space="0" w:color="auto"/>
          </w:divBdr>
        </w:div>
        <w:div w:id="626737721">
          <w:marLeft w:val="0"/>
          <w:marRight w:val="0"/>
          <w:marTop w:val="0"/>
          <w:marBottom w:val="0"/>
          <w:divBdr>
            <w:top w:val="none" w:sz="0" w:space="0" w:color="auto"/>
            <w:left w:val="none" w:sz="0" w:space="0" w:color="auto"/>
            <w:bottom w:val="none" w:sz="0" w:space="0" w:color="auto"/>
            <w:right w:val="none" w:sz="0" w:space="0" w:color="auto"/>
          </w:divBdr>
        </w:div>
        <w:div w:id="667710209">
          <w:marLeft w:val="0"/>
          <w:marRight w:val="0"/>
          <w:marTop w:val="0"/>
          <w:marBottom w:val="0"/>
          <w:divBdr>
            <w:top w:val="none" w:sz="0" w:space="0" w:color="auto"/>
            <w:left w:val="none" w:sz="0" w:space="0" w:color="auto"/>
            <w:bottom w:val="none" w:sz="0" w:space="0" w:color="auto"/>
            <w:right w:val="none" w:sz="0" w:space="0" w:color="auto"/>
          </w:divBdr>
        </w:div>
        <w:div w:id="672807053">
          <w:marLeft w:val="0"/>
          <w:marRight w:val="0"/>
          <w:marTop w:val="0"/>
          <w:marBottom w:val="0"/>
          <w:divBdr>
            <w:top w:val="none" w:sz="0" w:space="0" w:color="auto"/>
            <w:left w:val="none" w:sz="0" w:space="0" w:color="auto"/>
            <w:bottom w:val="none" w:sz="0" w:space="0" w:color="auto"/>
            <w:right w:val="none" w:sz="0" w:space="0" w:color="auto"/>
          </w:divBdr>
        </w:div>
        <w:div w:id="741638073">
          <w:marLeft w:val="0"/>
          <w:marRight w:val="0"/>
          <w:marTop w:val="0"/>
          <w:marBottom w:val="0"/>
          <w:divBdr>
            <w:top w:val="none" w:sz="0" w:space="0" w:color="auto"/>
            <w:left w:val="none" w:sz="0" w:space="0" w:color="auto"/>
            <w:bottom w:val="none" w:sz="0" w:space="0" w:color="auto"/>
            <w:right w:val="none" w:sz="0" w:space="0" w:color="auto"/>
          </w:divBdr>
        </w:div>
        <w:div w:id="852885759">
          <w:marLeft w:val="0"/>
          <w:marRight w:val="0"/>
          <w:marTop w:val="0"/>
          <w:marBottom w:val="0"/>
          <w:divBdr>
            <w:top w:val="none" w:sz="0" w:space="0" w:color="auto"/>
            <w:left w:val="none" w:sz="0" w:space="0" w:color="auto"/>
            <w:bottom w:val="none" w:sz="0" w:space="0" w:color="auto"/>
            <w:right w:val="none" w:sz="0" w:space="0" w:color="auto"/>
          </w:divBdr>
        </w:div>
        <w:div w:id="972102840">
          <w:marLeft w:val="0"/>
          <w:marRight w:val="0"/>
          <w:marTop w:val="0"/>
          <w:marBottom w:val="0"/>
          <w:divBdr>
            <w:top w:val="none" w:sz="0" w:space="0" w:color="auto"/>
            <w:left w:val="none" w:sz="0" w:space="0" w:color="auto"/>
            <w:bottom w:val="none" w:sz="0" w:space="0" w:color="auto"/>
            <w:right w:val="none" w:sz="0" w:space="0" w:color="auto"/>
          </w:divBdr>
        </w:div>
        <w:div w:id="974483575">
          <w:marLeft w:val="0"/>
          <w:marRight w:val="0"/>
          <w:marTop w:val="0"/>
          <w:marBottom w:val="0"/>
          <w:divBdr>
            <w:top w:val="none" w:sz="0" w:space="0" w:color="auto"/>
            <w:left w:val="none" w:sz="0" w:space="0" w:color="auto"/>
            <w:bottom w:val="none" w:sz="0" w:space="0" w:color="auto"/>
            <w:right w:val="none" w:sz="0" w:space="0" w:color="auto"/>
          </w:divBdr>
        </w:div>
        <w:div w:id="1020204806">
          <w:marLeft w:val="0"/>
          <w:marRight w:val="0"/>
          <w:marTop w:val="0"/>
          <w:marBottom w:val="0"/>
          <w:divBdr>
            <w:top w:val="none" w:sz="0" w:space="0" w:color="auto"/>
            <w:left w:val="none" w:sz="0" w:space="0" w:color="auto"/>
            <w:bottom w:val="none" w:sz="0" w:space="0" w:color="auto"/>
            <w:right w:val="none" w:sz="0" w:space="0" w:color="auto"/>
          </w:divBdr>
        </w:div>
        <w:div w:id="1050885513">
          <w:marLeft w:val="0"/>
          <w:marRight w:val="0"/>
          <w:marTop w:val="0"/>
          <w:marBottom w:val="0"/>
          <w:divBdr>
            <w:top w:val="none" w:sz="0" w:space="0" w:color="auto"/>
            <w:left w:val="none" w:sz="0" w:space="0" w:color="auto"/>
            <w:bottom w:val="none" w:sz="0" w:space="0" w:color="auto"/>
            <w:right w:val="none" w:sz="0" w:space="0" w:color="auto"/>
          </w:divBdr>
        </w:div>
        <w:div w:id="1053120694">
          <w:marLeft w:val="0"/>
          <w:marRight w:val="0"/>
          <w:marTop w:val="0"/>
          <w:marBottom w:val="0"/>
          <w:divBdr>
            <w:top w:val="none" w:sz="0" w:space="0" w:color="auto"/>
            <w:left w:val="none" w:sz="0" w:space="0" w:color="auto"/>
            <w:bottom w:val="none" w:sz="0" w:space="0" w:color="auto"/>
            <w:right w:val="none" w:sz="0" w:space="0" w:color="auto"/>
          </w:divBdr>
        </w:div>
        <w:div w:id="1079016016">
          <w:marLeft w:val="0"/>
          <w:marRight w:val="0"/>
          <w:marTop w:val="0"/>
          <w:marBottom w:val="0"/>
          <w:divBdr>
            <w:top w:val="none" w:sz="0" w:space="0" w:color="auto"/>
            <w:left w:val="none" w:sz="0" w:space="0" w:color="auto"/>
            <w:bottom w:val="none" w:sz="0" w:space="0" w:color="auto"/>
            <w:right w:val="none" w:sz="0" w:space="0" w:color="auto"/>
          </w:divBdr>
        </w:div>
        <w:div w:id="1152404853">
          <w:marLeft w:val="0"/>
          <w:marRight w:val="0"/>
          <w:marTop w:val="0"/>
          <w:marBottom w:val="0"/>
          <w:divBdr>
            <w:top w:val="none" w:sz="0" w:space="0" w:color="auto"/>
            <w:left w:val="none" w:sz="0" w:space="0" w:color="auto"/>
            <w:bottom w:val="none" w:sz="0" w:space="0" w:color="auto"/>
            <w:right w:val="none" w:sz="0" w:space="0" w:color="auto"/>
          </w:divBdr>
        </w:div>
        <w:div w:id="1206481353">
          <w:marLeft w:val="0"/>
          <w:marRight w:val="0"/>
          <w:marTop w:val="0"/>
          <w:marBottom w:val="0"/>
          <w:divBdr>
            <w:top w:val="none" w:sz="0" w:space="0" w:color="auto"/>
            <w:left w:val="none" w:sz="0" w:space="0" w:color="auto"/>
            <w:bottom w:val="none" w:sz="0" w:space="0" w:color="auto"/>
            <w:right w:val="none" w:sz="0" w:space="0" w:color="auto"/>
          </w:divBdr>
        </w:div>
        <w:div w:id="1305358238">
          <w:marLeft w:val="0"/>
          <w:marRight w:val="0"/>
          <w:marTop w:val="0"/>
          <w:marBottom w:val="0"/>
          <w:divBdr>
            <w:top w:val="none" w:sz="0" w:space="0" w:color="auto"/>
            <w:left w:val="none" w:sz="0" w:space="0" w:color="auto"/>
            <w:bottom w:val="none" w:sz="0" w:space="0" w:color="auto"/>
            <w:right w:val="none" w:sz="0" w:space="0" w:color="auto"/>
          </w:divBdr>
        </w:div>
        <w:div w:id="1341665270">
          <w:marLeft w:val="0"/>
          <w:marRight w:val="0"/>
          <w:marTop w:val="0"/>
          <w:marBottom w:val="0"/>
          <w:divBdr>
            <w:top w:val="none" w:sz="0" w:space="0" w:color="auto"/>
            <w:left w:val="none" w:sz="0" w:space="0" w:color="auto"/>
            <w:bottom w:val="none" w:sz="0" w:space="0" w:color="auto"/>
            <w:right w:val="none" w:sz="0" w:space="0" w:color="auto"/>
          </w:divBdr>
        </w:div>
        <w:div w:id="1367100327">
          <w:marLeft w:val="0"/>
          <w:marRight w:val="0"/>
          <w:marTop w:val="0"/>
          <w:marBottom w:val="0"/>
          <w:divBdr>
            <w:top w:val="none" w:sz="0" w:space="0" w:color="auto"/>
            <w:left w:val="none" w:sz="0" w:space="0" w:color="auto"/>
            <w:bottom w:val="none" w:sz="0" w:space="0" w:color="auto"/>
            <w:right w:val="none" w:sz="0" w:space="0" w:color="auto"/>
          </w:divBdr>
        </w:div>
        <w:div w:id="1462266669">
          <w:marLeft w:val="0"/>
          <w:marRight w:val="0"/>
          <w:marTop w:val="0"/>
          <w:marBottom w:val="0"/>
          <w:divBdr>
            <w:top w:val="none" w:sz="0" w:space="0" w:color="auto"/>
            <w:left w:val="none" w:sz="0" w:space="0" w:color="auto"/>
            <w:bottom w:val="none" w:sz="0" w:space="0" w:color="auto"/>
            <w:right w:val="none" w:sz="0" w:space="0" w:color="auto"/>
          </w:divBdr>
          <w:divsChild>
            <w:div w:id="1904639007">
              <w:marLeft w:val="-75"/>
              <w:marRight w:val="0"/>
              <w:marTop w:val="30"/>
              <w:marBottom w:val="30"/>
              <w:divBdr>
                <w:top w:val="none" w:sz="0" w:space="0" w:color="auto"/>
                <w:left w:val="none" w:sz="0" w:space="0" w:color="auto"/>
                <w:bottom w:val="none" w:sz="0" w:space="0" w:color="auto"/>
                <w:right w:val="none" w:sz="0" w:space="0" w:color="auto"/>
              </w:divBdr>
              <w:divsChild>
                <w:div w:id="222445851">
                  <w:marLeft w:val="0"/>
                  <w:marRight w:val="0"/>
                  <w:marTop w:val="0"/>
                  <w:marBottom w:val="0"/>
                  <w:divBdr>
                    <w:top w:val="none" w:sz="0" w:space="0" w:color="auto"/>
                    <w:left w:val="none" w:sz="0" w:space="0" w:color="auto"/>
                    <w:bottom w:val="none" w:sz="0" w:space="0" w:color="auto"/>
                    <w:right w:val="none" w:sz="0" w:space="0" w:color="auto"/>
                  </w:divBdr>
                  <w:divsChild>
                    <w:div w:id="671614293">
                      <w:marLeft w:val="0"/>
                      <w:marRight w:val="0"/>
                      <w:marTop w:val="0"/>
                      <w:marBottom w:val="0"/>
                      <w:divBdr>
                        <w:top w:val="none" w:sz="0" w:space="0" w:color="auto"/>
                        <w:left w:val="none" w:sz="0" w:space="0" w:color="auto"/>
                        <w:bottom w:val="none" w:sz="0" w:space="0" w:color="auto"/>
                        <w:right w:val="none" w:sz="0" w:space="0" w:color="auto"/>
                      </w:divBdr>
                    </w:div>
                  </w:divsChild>
                </w:div>
                <w:div w:id="282736074">
                  <w:marLeft w:val="0"/>
                  <w:marRight w:val="0"/>
                  <w:marTop w:val="0"/>
                  <w:marBottom w:val="0"/>
                  <w:divBdr>
                    <w:top w:val="none" w:sz="0" w:space="0" w:color="auto"/>
                    <w:left w:val="none" w:sz="0" w:space="0" w:color="auto"/>
                    <w:bottom w:val="none" w:sz="0" w:space="0" w:color="auto"/>
                    <w:right w:val="none" w:sz="0" w:space="0" w:color="auto"/>
                  </w:divBdr>
                  <w:divsChild>
                    <w:div w:id="2083290321">
                      <w:marLeft w:val="0"/>
                      <w:marRight w:val="0"/>
                      <w:marTop w:val="0"/>
                      <w:marBottom w:val="0"/>
                      <w:divBdr>
                        <w:top w:val="none" w:sz="0" w:space="0" w:color="auto"/>
                        <w:left w:val="none" w:sz="0" w:space="0" w:color="auto"/>
                        <w:bottom w:val="none" w:sz="0" w:space="0" w:color="auto"/>
                        <w:right w:val="none" w:sz="0" w:space="0" w:color="auto"/>
                      </w:divBdr>
                    </w:div>
                  </w:divsChild>
                </w:div>
                <w:div w:id="300228864">
                  <w:marLeft w:val="0"/>
                  <w:marRight w:val="0"/>
                  <w:marTop w:val="0"/>
                  <w:marBottom w:val="0"/>
                  <w:divBdr>
                    <w:top w:val="none" w:sz="0" w:space="0" w:color="auto"/>
                    <w:left w:val="none" w:sz="0" w:space="0" w:color="auto"/>
                    <w:bottom w:val="none" w:sz="0" w:space="0" w:color="auto"/>
                    <w:right w:val="none" w:sz="0" w:space="0" w:color="auto"/>
                  </w:divBdr>
                  <w:divsChild>
                    <w:div w:id="1203127338">
                      <w:marLeft w:val="0"/>
                      <w:marRight w:val="0"/>
                      <w:marTop w:val="0"/>
                      <w:marBottom w:val="0"/>
                      <w:divBdr>
                        <w:top w:val="none" w:sz="0" w:space="0" w:color="auto"/>
                        <w:left w:val="none" w:sz="0" w:space="0" w:color="auto"/>
                        <w:bottom w:val="none" w:sz="0" w:space="0" w:color="auto"/>
                        <w:right w:val="none" w:sz="0" w:space="0" w:color="auto"/>
                      </w:divBdr>
                    </w:div>
                  </w:divsChild>
                </w:div>
                <w:div w:id="328290143">
                  <w:marLeft w:val="0"/>
                  <w:marRight w:val="0"/>
                  <w:marTop w:val="0"/>
                  <w:marBottom w:val="0"/>
                  <w:divBdr>
                    <w:top w:val="none" w:sz="0" w:space="0" w:color="auto"/>
                    <w:left w:val="none" w:sz="0" w:space="0" w:color="auto"/>
                    <w:bottom w:val="none" w:sz="0" w:space="0" w:color="auto"/>
                    <w:right w:val="none" w:sz="0" w:space="0" w:color="auto"/>
                  </w:divBdr>
                  <w:divsChild>
                    <w:div w:id="1364088879">
                      <w:marLeft w:val="0"/>
                      <w:marRight w:val="0"/>
                      <w:marTop w:val="0"/>
                      <w:marBottom w:val="0"/>
                      <w:divBdr>
                        <w:top w:val="none" w:sz="0" w:space="0" w:color="auto"/>
                        <w:left w:val="none" w:sz="0" w:space="0" w:color="auto"/>
                        <w:bottom w:val="none" w:sz="0" w:space="0" w:color="auto"/>
                        <w:right w:val="none" w:sz="0" w:space="0" w:color="auto"/>
                      </w:divBdr>
                    </w:div>
                  </w:divsChild>
                </w:div>
                <w:div w:id="366108891">
                  <w:marLeft w:val="0"/>
                  <w:marRight w:val="0"/>
                  <w:marTop w:val="0"/>
                  <w:marBottom w:val="0"/>
                  <w:divBdr>
                    <w:top w:val="none" w:sz="0" w:space="0" w:color="auto"/>
                    <w:left w:val="none" w:sz="0" w:space="0" w:color="auto"/>
                    <w:bottom w:val="none" w:sz="0" w:space="0" w:color="auto"/>
                    <w:right w:val="none" w:sz="0" w:space="0" w:color="auto"/>
                  </w:divBdr>
                  <w:divsChild>
                    <w:div w:id="1618760190">
                      <w:marLeft w:val="0"/>
                      <w:marRight w:val="0"/>
                      <w:marTop w:val="0"/>
                      <w:marBottom w:val="0"/>
                      <w:divBdr>
                        <w:top w:val="none" w:sz="0" w:space="0" w:color="auto"/>
                        <w:left w:val="none" w:sz="0" w:space="0" w:color="auto"/>
                        <w:bottom w:val="none" w:sz="0" w:space="0" w:color="auto"/>
                        <w:right w:val="none" w:sz="0" w:space="0" w:color="auto"/>
                      </w:divBdr>
                    </w:div>
                  </w:divsChild>
                </w:div>
                <w:div w:id="385833846">
                  <w:marLeft w:val="0"/>
                  <w:marRight w:val="0"/>
                  <w:marTop w:val="0"/>
                  <w:marBottom w:val="0"/>
                  <w:divBdr>
                    <w:top w:val="none" w:sz="0" w:space="0" w:color="auto"/>
                    <w:left w:val="none" w:sz="0" w:space="0" w:color="auto"/>
                    <w:bottom w:val="none" w:sz="0" w:space="0" w:color="auto"/>
                    <w:right w:val="none" w:sz="0" w:space="0" w:color="auto"/>
                  </w:divBdr>
                  <w:divsChild>
                    <w:div w:id="844631075">
                      <w:marLeft w:val="0"/>
                      <w:marRight w:val="0"/>
                      <w:marTop w:val="0"/>
                      <w:marBottom w:val="0"/>
                      <w:divBdr>
                        <w:top w:val="none" w:sz="0" w:space="0" w:color="auto"/>
                        <w:left w:val="none" w:sz="0" w:space="0" w:color="auto"/>
                        <w:bottom w:val="none" w:sz="0" w:space="0" w:color="auto"/>
                        <w:right w:val="none" w:sz="0" w:space="0" w:color="auto"/>
                      </w:divBdr>
                    </w:div>
                  </w:divsChild>
                </w:div>
                <w:div w:id="420838643">
                  <w:marLeft w:val="0"/>
                  <w:marRight w:val="0"/>
                  <w:marTop w:val="0"/>
                  <w:marBottom w:val="0"/>
                  <w:divBdr>
                    <w:top w:val="none" w:sz="0" w:space="0" w:color="auto"/>
                    <w:left w:val="none" w:sz="0" w:space="0" w:color="auto"/>
                    <w:bottom w:val="none" w:sz="0" w:space="0" w:color="auto"/>
                    <w:right w:val="none" w:sz="0" w:space="0" w:color="auto"/>
                  </w:divBdr>
                  <w:divsChild>
                    <w:div w:id="1806001093">
                      <w:marLeft w:val="0"/>
                      <w:marRight w:val="0"/>
                      <w:marTop w:val="0"/>
                      <w:marBottom w:val="0"/>
                      <w:divBdr>
                        <w:top w:val="none" w:sz="0" w:space="0" w:color="auto"/>
                        <w:left w:val="none" w:sz="0" w:space="0" w:color="auto"/>
                        <w:bottom w:val="none" w:sz="0" w:space="0" w:color="auto"/>
                        <w:right w:val="none" w:sz="0" w:space="0" w:color="auto"/>
                      </w:divBdr>
                    </w:div>
                  </w:divsChild>
                </w:div>
                <w:div w:id="517550237">
                  <w:marLeft w:val="0"/>
                  <w:marRight w:val="0"/>
                  <w:marTop w:val="0"/>
                  <w:marBottom w:val="0"/>
                  <w:divBdr>
                    <w:top w:val="none" w:sz="0" w:space="0" w:color="auto"/>
                    <w:left w:val="none" w:sz="0" w:space="0" w:color="auto"/>
                    <w:bottom w:val="none" w:sz="0" w:space="0" w:color="auto"/>
                    <w:right w:val="none" w:sz="0" w:space="0" w:color="auto"/>
                  </w:divBdr>
                  <w:divsChild>
                    <w:div w:id="675423429">
                      <w:marLeft w:val="0"/>
                      <w:marRight w:val="0"/>
                      <w:marTop w:val="0"/>
                      <w:marBottom w:val="0"/>
                      <w:divBdr>
                        <w:top w:val="none" w:sz="0" w:space="0" w:color="auto"/>
                        <w:left w:val="none" w:sz="0" w:space="0" w:color="auto"/>
                        <w:bottom w:val="none" w:sz="0" w:space="0" w:color="auto"/>
                        <w:right w:val="none" w:sz="0" w:space="0" w:color="auto"/>
                      </w:divBdr>
                    </w:div>
                  </w:divsChild>
                </w:div>
                <w:div w:id="531960259">
                  <w:marLeft w:val="0"/>
                  <w:marRight w:val="0"/>
                  <w:marTop w:val="0"/>
                  <w:marBottom w:val="0"/>
                  <w:divBdr>
                    <w:top w:val="none" w:sz="0" w:space="0" w:color="auto"/>
                    <w:left w:val="none" w:sz="0" w:space="0" w:color="auto"/>
                    <w:bottom w:val="none" w:sz="0" w:space="0" w:color="auto"/>
                    <w:right w:val="none" w:sz="0" w:space="0" w:color="auto"/>
                  </w:divBdr>
                  <w:divsChild>
                    <w:div w:id="199326556">
                      <w:marLeft w:val="0"/>
                      <w:marRight w:val="0"/>
                      <w:marTop w:val="0"/>
                      <w:marBottom w:val="0"/>
                      <w:divBdr>
                        <w:top w:val="none" w:sz="0" w:space="0" w:color="auto"/>
                        <w:left w:val="none" w:sz="0" w:space="0" w:color="auto"/>
                        <w:bottom w:val="none" w:sz="0" w:space="0" w:color="auto"/>
                        <w:right w:val="none" w:sz="0" w:space="0" w:color="auto"/>
                      </w:divBdr>
                    </w:div>
                  </w:divsChild>
                </w:div>
                <w:div w:id="534008499">
                  <w:marLeft w:val="0"/>
                  <w:marRight w:val="0"/>
                  <w:marTop w:val="0"/>
                  <w:marBottom w:val="0"/>
                  <w:divBdr>
                    <w:top w:val="none" w:sz="0" w:space="0" w:color="auto"/>
                    <w:left w:val="none" w:sz="0" w:space="0" w:color="auto"/>
                    <w:bottom w:val="none" w:sz="0" w:space="0" w:color="auto"/>
                    <w:right w:val="none" w:sz="0" w:space="0" w:color="auto"/>
                  </w:divBdr>
                  <w:divsChild>
                    <w:div w:id="1530677451">
                      <w:marLeft w:val="0"/>
                      <w:marRight w:val="0"/>
                      <w:marTop w:val="0"/>
                      <w:marBottom w:val="0"/>
                      <w:divBdr>
                        <w:top w:val="none" w:sz="0" w:space="0" w:color="auto"/>
                        <w:left w:val="none" w:sz="0" w:space="0" w:color="auto"/>
                        <w:bottom w:val="none" w:sz="0" w:space="0" w:color="auto"/>
                        <w:right w:val="none" w:sz="0" w:space="0" w:color="auto"/>
                      </w:divBdr>
                    </w:div>
                  </w:divsChild>
                </w:div>
                <w:div w:id="629701756">
                  <w:marLeft w:val="0"/>
                  <w:marRight w:val="0"/>
                  <w:marTop w:val="0"/>
                  <w:marBottom w:val="0"/>
                  <w:divBdr>
                    <w:top w:val="none" w:sz="0" w:space="0" w:color="auto"/>
                    <w:left w:val="none" w:sz="0" w:space="0" w:color="auto"/>
                    <w:bottom w:val="none" w:sz="0" w:space="0" w:color="auto"/>
                    <w:right w:val="none" w:sz="0" w:space="0" w:color="auto"/>
                  </w:divBdr>
                  <w:divsChild>
                    <w:div w:id="756943286">
                      <w:marLeft w:val="0"/>
                      <w:marRight w:val="0"/>
                      <w:marTop w:val="0"/>
                      <w:marBottom w:val="0"/>
                      <w:divBdr>
                        <w:top w:val="none" w:sz="0" w:space="0" w:color="auto"/>
                        <w:left w:val="none" w:sz="0" w:space="0" w:color="auto"/>
                        <w:bottom w:val="none" w:sz="0" w:space="0" w:color="auto"/>
                        <w:right w:val="none" w:sz="0" w:space="0" w:color="auto"/>
                      </w:divBdr>
                    </w:div>
                  </w:divsChild>
                </w:div>
                <w:div w:id="643972333">
                  <w:marLeft w:val="0"/>
                  <w:marRight w:val="0"/>
                  <w:marTop w:val="0"/>
                  <w:marBottom w:val="0"/>
                  <w:divBdr>
                    <w:top w:val="none" w:sz="0" w:space="0" w:color="auto"/>
                    <w:left w:val="none" w:sz="0" w:space="0" w:color="auto"/>
                    <w:bottom w:val="none" w:sz="0" w:space="0" w:color="auto"/>
                    <w:right w:val="none" w:sz="0" w:space="0" w:color="auto"/>
                  </w:divBdr>
                  <w:divsChild>
                    <w:div w:id="129980650">
                      <w:marLeft w:val="0"/>
                      <w:marRight w:val="0"/>
                      <w:marTop w:val="0"/>
                      <w:marBottom w:val="0"/>
                      <w:divBdr>
                        <w:top w:val="none" w:sz="0" w:space="0" w:color="auto"/>
                        <w:left w:val="none" w:sz="0" w:space="0" w:color="auto"/>
                        <w:bottom w:val="none" w:sz="0" w:space="0" w:color="auto"/>
                        <w:right w:val="none" w:sz="0" w:space="0" w:color="auto"/>
                      </w:divBdr>
                    </w:div>
                  </w:divsChild>
                </w:div>
                <w:div w:id="660163071">
                  <w:marLeft w:val="0"/>
                  <w:marRight w:val="0"/>
                  <w:marTop w:val="0"/>
                  <w:marBottom w:val="0"/>
                  <w:divBdr>
                    <w:top w:val="none" w:sz="0" w:space="0" w:color="auto"/>
                    <w:left w:val="none" w:sz="0" w:space="0" w:color="auto"/>
                    <w:bottom w:val="none" w:sz="0" w:space="0" w:color="auto"/>
                    <w:right w:val="none" w:sz="0" w:space="0" w:color="auto"/>
                  </w:divBdr>
                  <w:divsChild>
                    <w:div w:id="736635084">
                      <w:marLeft w:val="0"/>
                      <w:marRight w:val="0"/>
                      <w:marTop w:val="0"/>
                      <w:marBottom w:val="0"/>
                      <w:divBdr>
                        <w:top w:val="none" w:sz="0" w:space="0" w:color="auto"/>
                        <w:left w:val="none" w:sz="0" w:space="0" w:color="auto"/>
                        <w:bottom w:val="none" w:sz="0" w:space="0" w:color="auto"/>
                        <w:right w:val="none" w:sz="0" w:space="0" w:color="auto"/>
                      </w:divBdr>
                    </w:div>
                  </w:divsChild>
                </w:div>
                <w:div w:id="665939298">
                  <w:marLeft w:val="0"/>
                  <w:marRight w:val="0"/>
                  <w:marTop w:val="0"/>
                  <w:marBottom w:val="0"/>
                  <w:divBdr>
                    <w:top w:val="none" w:sz="0" w:space="0" w:color="auto"/>
                    <w:left w:val="none" w:sz="0" w:space="0" w:color="auto"/>
                    <w:bottom w:val="none" w:sz="0" w:space="0" w:color="auto"/>
                    <w:right w:val="none" w:sz="0" w:space="0" w:color="auto"/>
                  </w:divBdr>
                  <w:divsChild>
                    <w:div w:id="1973562445">
                      <w:marLeft w:val="0"/>
                      <w:marRight w:val="0"/>
                      <w:marTop w:val="0"/>
                      <w:marBottom w:val="0"/>
                      <w:divBdr>
                        <w:top w:val="none" w:sz="0" w:space="0" w:color="auto"/>
                        <w:left w:val="none" w:sz="0" w:space="0" w:color="auto"/>
                        <w:bottom w:val="none" w:sz="0" w:space="0" w:color="auto"/>
                        <w:right w:val="none" w:sz="0" w:space="0" w:color="auto"/>
                      </w:divBdr>
                    </w:div>
                  </w:divsChild>
                </w:div>
                <w:div w:id="711883456">
                  <w:marLeft w:val="0"/>
                  <w:marRight w:val="0"/>
                  <w:marTop w:val="0"/>
                  <w:marBottom w:val="0"/>
                  <w:divBdr>
                    <w:top w:val="none" w:sz="0" w:space="0" w:color="auto"/>
                    <w:left w:val="none" w:sz="0" w:space="0" w:color="auto"/>
                    <w:bottom w:val="none" w:sz="0" w:space="0" w:color="auto"/>
                    <w:right w:val="none" w:sz="0" w:space="0" w:color="auto"/>
                  </w:divBdr>
                  <w:divsChild>
                    <w:div w:id="1881015481">
                      <w:marLeft w:val="0"/>
                      <w:marRight w:val="0"/>
                      <w:marTop w:val="0"/>
                      <w:marBottom w:val="0"/>
                      <w:divBdr>
                        <w:top w:val="none" w:sz="0" w:space="0" w:color="auto"/>
                        <w:left w:val="none" w:sz="0" w:space="0" w:color="auto"/>
                        <w:bottom w:val="none" w:sz="0" w:space="0" w:color="auto"/>
                        <w:right w:val="none" w:sz="0" w:space="0" w:color="auto"/>
                      </w:divBdr>
                    </w:div>
                  </w:divsChild>
                </w:div>
                <w:div w:id="730731753">
                  <w:marLeft w:val="0"/>
                  <w:marRight w:val="0"/>
                  <w:marTop w:val="0"/>
                  <w:marBottom w:val="0"/>
                  <w:divBdr>
                    <w:top w:val="none" w:sz="0" w:space="0" w:color="auto"/>
                    <w:left w:val="none" w:sz="0" w:space="0" w:color="auto"/>
                    <w:bottom w:val="none" w:sz="0" w:space="0" w:color="auto"/>
                    <w:right w:val="none" w:sz="0" w:space="0" w:color="auto"/>
                  </w:divBdr>
                  <w:divsChild>
                    <w:div w:id="1526097745">
                      <w:marLeft w:val="0"/>
                      <w:marRight w:val="0"/>
                      <w:marTop w:val="0"/>
                      <w:marBottom w:val="0"/>
                      <w:divBdr>
                        <w:top w:val="none" w:sz="0" w:space="0" w:color="auto"/>
                        <w:left w:val="none" w:sz="0" w:space="0" w:color="auto"/>
                        <w:bottom w:val="none" w:sz="0" w:space="0" w:color="auto"/>
                        <w:right w:val="none" w:sz="0" w:space="0" w:color="auto"/>
                      </w:divBdr>
                    </w:div>
                  </w:divsChild>
                </w:div>
                <w:div w:id="745801672">
                  <w:marLeft w:val="0"/>
                  <w:marRight w:val="0"/>
                  <w:marTop w:val="0"/>
                  <w:marBottom w:val="0"/>
                  <w:divBdr>
                    <w:top w:val="none" w:sz="0" w:space="0" w:color="auto"/>
                    <w:left w:val="none" w:sz="0" w:space="0" w:color="auto"/>
                    <w:bottom w:val="none" w:sz="0" w:space="0" w:color="auto"/>
                    <w:right w:val="none" w:sz="0" w:space="0" w:color="auto"/>
                  </w:divBdr>
                  <w:divsChild>
                    <w:div w:id="1613895736">
                      <w:marLeft w:val="0"/>
                      <w:marRight w:val="0"/>
                      <w:marTop w:val="0"/>
                      <w:marBottom w:val="0"/>
                      <w:divBdr>
                        <w:top w:val="none" w:sz="0" w:space="0" w:color="auto"/>
                        <w:left w:val="none" w:sz="0" w:space="0" w:color="auto"/>
                        <w:bottom w:val="none" w:sz="0" w:space="0" w:color="auto"/>
                        <w:right w:val="none" w:sz="0" w:space="0" w:color="auto"/>
                      </w:divBdr>
                    </w:div>
                  </w:divsChild>
                </w:div>
                <w:div w:id="893345928">
                  <w:marLeft w:val="0"/>
                  <w:marRight w:val="0"/>
                  <w:marTop w:val="0"/>
                  <w:marBottom w:val="0"/>
                  <w:divBdr>
                    <w:top w:val="none" w:sz="0" w:space="0" w:color="auto"/>
                    <w:left w:val="none" w:sz="0" w:space="0" w:color="auto"/>
                    <w:bottom w:val="none" w:sz="0" w:space="0" w:color="auto"/>
                    <w:right w:val="none" w:sz="0" w:space="0" w:color="auto"/>
                  </w:divBdr>
                  <w:divsChild>
                    <w:div w:id="1157921075">
                      <w:marLeft w:val="0"/>
                      <w:marRight w:val="0"/>
                      <w:marTop w:val="0"/>
                      <w:marBottom w:val="0"/>
                      <w:divBdr>
                        <w:top w:val="none" w:sz="0" w:space="0" w:color="auto"/>
                        <w:left w:val="none" w:sz="0" w:space="0" w:color="auto"/>
                        <w:bottom w:val="none" w:sz="0" w:space="0" w:color="auto"/>
                        <w:right w:val="none" w:sz="0" w:space="0" w:color="auto"/>
                      </w:divBdr>
                    </w:div>
                  </w:divsChild>
                </w:div>
                <w:div w:id="985427764">
                  <w:marLeft w:val="0"/>
                  <w:marRight w:val="0"/>
                  <w:marTop w:val="0"/>
                  <w:marBottom w:val="0"/>
                  <w:divBdr>
                    <w:top w:val="none" w:sz="0" w:space="0" w:color="auto"/>
                    <w:left w:val="none" w:sz="0" w:space="0" w:color="auto"/>
                    <w:bottom w:val="none" w:sz="0" w:space="0" w:color="auto"/>
                    <w:right w:val="none" w:sz="0" w:space="0" w:color="auto"/>
                  </w:divBdr>
                  <w:divsChild>
                    <w:div w:id="254099128">
                      <w:marLeft w:val="0"/>
                      <w:marRight w:val="0"/>
                      <w:marTop w:val="0"/>
                      <w:marBottom w:val="0"/>
                      <w:divBdr>
                        <w:top w:val="none" w:sz="0" w:space="0" w:color="auto"/>
                        <w:left w:val="none" w:sz="0" w:space="0" w:color="auto"/>
                        <w:bottom w:val="none" w:sz="0" w:space="0" w:color="auto"/>
                        <w:right w:val="none" w:sz="0" w:space="0" w:color="auto"/>
                      </w:divBdr>
                    </w:div>
                  </w:divsChild>
                </w:div>
                <w:div w:id="995382754">
                  <w:marLeft w:val="0"/>
                  <w:marRight w:val="0"/>
                  <w:marTop w:val="0"/>
                  <w:marBottom w:val="0"/>
                  <w:divBdr>
                    <w:top w:val="none" w:sz="0" w:space="0" w:color="auto"/>
                    <w:left w:val="none" w:sz="0" w:space="0" w:color="auto"/>
                    <w:bottom w:val="none" w:sz="0" w:space="0" w:color="auto"/>
                    <w:right w:val="none" w:sz="0" w:space="0" w:color="auto"/>
                  </w:divBdr>
                  <w:divsChild>
                    <w:div w:id="1179079897">
                      <w:marLeft w:val="0"/>
                      <w:marRight w:val="0"/>
                      <w:marTop w:val="0"/>
                      <w:marBottom w:val="0"/>
                      <w:divBdr>
                        <w:top w:val="none" w:sz="0" w:space="0" w:color="auto"/>
                        <w:left w:val="none" w:sz="0" w:space="0" w:color="auto"/>
                        <w:bottom w:val="none" w:sz="0" w:space="0" w:color="auto"/>
                        <w:right w:val="none" w:sz="0" w:space="0" w:color="auto"/>
                      </w:divBdr>
                    </w:div>
                  </w:divsChild>
                </w:div>
                <w:div w:id="1005131655">
                  <w:marLeft w:val="0"/>
                  <w:marRight w:val="0"/>
                  <w:marTop w:val="0"/>
                  <w:marBottom w:val="0"/>
                  <w:divBdr>
                    <w:top w:val="none" w:sz="0" w:space="0" w:color="auto"/>
                    <w:left w:val="none" w:sz="0" w:space="0" w:color="auto"/>
                    <w:bottom w:val="none" w:sz="0" w:space="0" w:color="auto"/>
                    <w:right w:val="none" w:sz="0" w:space="0" w:color="auto"/>
                  </w:divBdr>
                  <w:divsChild>
                    <w:div w:id="833569104">
                      <w:marLeft w:val="0"/>
                      <w:marRight w:val="0"/>
                      <w:marTop w:val="0"/>
                      <w:marBottom w:val="0"/>
                      <w:divBdr>
                        <w:top w:val="none" w:sz="0" w:space="0" w:color="auto"/>
                        <w:left w:val="none" w:sz="0" w:space="0" w:color="auto"/>
                        <w:bottom w:val="none" w:sz="0" w:space="0" w:color="auto"/>
                        <w:right w:val="none" w:sz="0" w:space="0" w:color="auto"/>
                      </w:divBdr>
                    </w:div>
                  </w:divsChild>
                </w:div>
                <w:div w:id="1017731012">
                  <w:marLeft w:val="0"/>
                  <w:marRight w:val="0"/>
                  <w:marTop w:val="0"/>
                  <w:marBottom w:val="0"/>
                  <w:divBdr>
                    <w:top w:val="none" w:sz="0" w:space="0" w:color="auto"/>
                    <w:left w:val="none" w:sz="0" w:space="0" w:color="auto"/>
                    <w:bottom w:val="none" w:sz="0" w:space="0" w:color="auto"/>
                    <w:right w:val="none" w:sz="0" w:space="0" w:color="auto"/>
                  </w:divBdr>
                  <w:divsChild>
                    <w:div w:id="1502503788">
                      <w:marLeft w:val="0"/>
                      <w:marRight w:val="0"/>
                      <w:marTop w:val="0"/>
                      <w:marBottom w:val="0"/>
                      <w:divBdr>
                        <w:top w:val="none" w:sz="0" w:space="0" w:color="auto"/>
                        <w:left w:val="none" w:sz="0" w:space="0" w:color="auto"/>
                        <w:bottom w:val="none" w:sz="0" w:space="0" w:color="auto"/>
                        <w:right w:val="none" w:sz="0" w:space="0" w:color="auto"/>
                      </w:divBdr>
                    </w:div>
                  </w:divsChild>
                </w:div>
                <w:div w:id="1257518050">
                  <w:marLeft w:val="0"/>
                  <w:marRight w:val="0"/>
                  <w:marTop w:val="0"/>
                  <w:marBottom w:val="0"/>
                  <w:divBdr>
                    <w:top w:val="none" w:sz="0" w:space="0" w:color="auto"/>
                    <w:left w:val="none" w:sz="0" w:space="0" w:color="auto"/>
                    <w:bottom w:val="none" w:sz="0" w:space="0" w:color="auto"/>
                    <w:right w:val="none" w:sz="0" w:space="0" w:color="auto"/>
                  </w:divBdr>
                  <w:divsChild>
                    <w:div w:id="1898854259">
                      <w:marLeft w:val="0"/>
                      <w:marRight w:val="0"/>
                      <w:marTop w:val="0"/>
                      <w:marBottom w:val="0"/>
                      <w:divBdr>
                        <w:top w:val="none" w:sz="0" w:space="0" w:color="auto"/>
                        <w:left w:val="none" w:sz="0" w:space="0" w:color="auto"/>
                        <w:bottom w:val="none" w:sz="0" w:space="0" w:color="auto"/>
                        <w:right w:val="none" w:sz="0" w:space="0" w:color="auto"/>
                      </w:divBdr>
                    </w:div>
                  </w:divsChild>
                </w:div>
                <w:div w:id="1275594051">
                  <w:marLeft w:val="0"/>
                  <w:marRight w:val="0"/>
                  <w:marTop w:val="0"/>
                  <w:marBottom w:val="0"/>
                  <w:divBdr>
                    <w:top w:val="none" w:sz="0" w:space="0" w:color="auto"/>
                    <w:left w:val="none" w:sz="0" w:space="0" w:color="auto"/>
                    <w:bottom w:val="none" w:sz="0" w:space="0" w:color="auto"/>
                    <w:right w:val="none" w:sz="0" w:space="0" w:color="auto"/>
                  </w:divBdr>
                  <w:divsChild>
                    <w:div w:id="1031995888">
                      <w:marLeft w:val="0"/>
                      <w:marRight w:val="0"/>
                      <w:marTop w:val="0"/>
                      <w:marBottom w:val="0"/>
                      <w:divBdr>
                        <w:top w:val="none" w:sz="0" w:space="0" w:color="auto"/>
                        <w:left w:val="none" w:sz="0" w:space="0" w:color="auto"/>
                        <w:bottom w:val="none" w:sz="0" w:space="0" w:color="auto"/>
                        <w:right w:val="none" w:sz="0" w:space="0" w:color="auto"/>
                      </w:divBdr>
                    </w:div>
                  </w:divsChild>
                </w:div>
                <w:div w:id="1276058348">
                  <w:marLeft w:val="0"/>
                  <w:marRight w:val="0"/>
                  <w:marTop w:val="0"/>
                  <w:marBottom w:val="0"/>
                  <w:divBdr>
                    <w:top w:val="none" w:sz="0" w:space="0" w:color="auto"/>
                    <w:left w:val="none" w:sz="0" w:space="0" w:color="auto"/>
                    <w:bottom w:val="none" w:sz="0" w:space="0" w:color="auto"/>
                    <w:right w:val="none" w:sz="0" w:space="0" w:color="auto"/>
                  </w:divBdr>
                  <w:divsChild>
                    <w:div w:id="1010840461">
                      <w:marLeft w:val="0"/>
                      <w:marRight w:val="0"/>
                      <w:marTop w:val="0"/>
                      <w:marBottom w:val="0"/>
                      <w:divBdr>
                        <w:top w:val="none" w:sz="0" w:space="0" w:color="auto"/>
                        <w:left w:val="none" w:sz="0" w:space="0" w:color="auto"/>
                        <w:bottom w:val="none" w:sz="0" w:space="0" w:color="auto"/>
                        <w:right w:val="none" w:sz="0" w:space="0" w:color="auto"/>
                      </w:divBdr>
                    </w:div>
                  </w:divsChild>
                </w:div>
                <w:div w:id="1338535682">
                  <w:marLeft w:val="0"/>
                  <w:marRight w:val="0"/>
                  <w:marTop w:val="0"/>
                  <w:marBottom w:val="0"/>
                  <w:divBdr>
                    <w:top w:val="none" w:sz="0" w:space="0" w:color="auto"/>
                    <w:left w:val="none" w:sz="0" w:space="0" w:color="auto"/>
                    <w:bottom w:val="none" w:sz="0" w:space="0" w:color="auto"/>
                    <w:right w:val="none" w:sz="0" w:space="0" w:color="auto"/>
                  </w:divBdr>
                  <w:divsChild>
                    <w:div w:id="825165313">
                      <w:marLeft w:val="0"/>
                      <w:marRight w:val="0"/>
                      <w:marTop w:val="0"/>
                      <w:marBottom w:val="0"/>
                      <w:divBdr>
                        <w:top w:val="none" w:sz="0" w:space="0" w:color="auto"/>
                        <w:left w:val="none" w:sz="0" w:space="0" w:color="auto"/>
                        <w:bottom w:val="none" w:sz="0" w:space="0" w:color="auto"/>
                        <w:right w:val="none" w:sz="0" w:space="0" w:color="auto"/>
                      </w:divBdr>
                    </w:div>
                  </w:divsChild>
                </w:div>
                <w:div w:id="1430540528">
                  <w:marLeft w:val="0"/>
                  <w:marRight w:val="0"/>
                  <w:marTop w:val="0"/>
                  <w:marBottom w:val="0"/>
                  <w:divBdr>
                    <w:top w:val="none" w:sz="0" w:space="0" w:color="auto"/>
                    <w:left w:val="none" w:sz="0" w:space="0" w:color="auto"/>
                    <w:bottom w:val="none" w:sz="0" w:space="0" w:color="auto"/>
                    <w:right w:val="none" w:sz="0" w:space="0" w:color="auto"/>
                  </w:divBdr>
                  <w:divsChild>
                    <w:div w:id="703869347">
                      <w:marLeft w:val="0"/>
                      <w:marRight w:val="0"/>
                      <w:marTop w:val="0"/>
                      <w:marBottom w:val="0"/>
                      <w:divBdr>
                        <w:top w:val="none" w:sz="0" w:space="0" w:color="auto"/>
                        <w:left w:val="none" w:sz="0" w:space="0" w:color="auto"/>
                        <w:bottom w:val="none" w:sz="0" w:space="0" w:color="auto"/>
                        <w:right w:val="none" w:sz="0" w:space="0" w:color="auto"/>
                      </w:divBdr>
                    </w:div>
                  </w:divsChild>
                </w:div>
                <w:div w:id="1432314768">
                  <w:marLeft w:val="0"/>
                  <w:marRight w:val="0"/>
                  <w:marTop w:val="0"/>
                  <w:marBottom w:val="0"/>
                  <w:divBdr>
                    <w:top w:val="none" w:sz="0" w:space="0" w:color="auto"/>
                    <w:left w:val="none" w:sz="0" w:space="0" w:color="auto"/>
                    <w:bottom w:val="none" w:sz="0" w:space="0" w:color="auto"/>
                    <w:right w:val="none" w:sz="0" w:space="0" w:color="auto"/>
                  </w:divBdr>
                  <w:divsChild>
                    <w:div w:id="1482893230">
                      <w:marLeft w:val="0"/>
                      <w:marRight w:val="0"/>
                      <w:marTop w:val="0"/>
                      <w:marBottom w:val="0"/>
                      <w:divBdr>
                        <w:top w:val="none" w:sz="0" w:space="0" w:color="auto"/>
                        <w:left w:val="none" w:sz="0" w:space="0" w:color="auto"/>
                        <w:bottom w:val="none" w:sz="0" w:space="0" w:color="auto"/>
                        <w:right w:val="none" w:sz="0" w:space="0" w:color="auto"/>
                      </w:divBdr>
                    </w:div>
                  </w:divsChild>
                </w:div>
                <w:div w:id="1464273341">
                  <w:marLeft w:val="0"/>
                  <w:marRight w:val="0"/>
                  <w:marTop w:val="0"/>
                  <w:marBottom w:val="0"/>
                  <w:divBdr>
                    <w:top w:val="none" w:sz="0" w:space="0" w:color="auto"/>
                    <w:left w:val="none" w:sz="0" w:space="0" w:color="auto"/>
                    <w:bottom w:val="none" w:sz="0" w:space="0" w:color="auto"/>
                    <w:right w:val="none" w:sz="0" w:space="0" w:color="auto"/>
                  </w:divBdr>
                  <w:divsChild>
                    <w:div w:id="1138302984">
                      <w:marLeft w:val="0"/>
                      <w:marRight w:val="0"/>
                      <w:marTop w:val="0"/>
                      <w:marBottom w:val="0"/>
                      <w:divBdr>
                        <w:top w:val="none" w:sz="0" w:space="0" w:color="auto"/>
                        <w:left w:val="none" w:sz="0" w:space="0" w:color="auto"/>
                        <w:bottom w:val="none" w:sz="0" w:space="0" w:color="auto"/>
                        <w:right w:val="none" w:sz="0" w:space="0" w:color="auto"/>
                      </w:divBdr>
                    </w:div>
                  </w:divsChild>
                </w:div>
                <w:div w:id="1477989607">
                  <w:marLeft w:val="0"/>
                  <w:marRight w:val="0"/>
                  <w:marTop w:val="0"/>
                  <w:marBottom w:val="0"/>
                  <w:divBdr>
                    <w:top w:val="none" w:sz="0" w:space="0" w:color="auto"/>
                    <w:left w:val="none" w:sz="0" w:space="0" w:color="auto"/>
                    <w:bottom w:val="none" w:sz="0" w:space="0" w:color="auto"/>
                    <w:right w:val="none" w:sz="0" w:space="0" w:color="auto"/>
                  </w:divBdr>
                  <w:divsChild>
                    <w:div w:id="5643011">
                      <w:marLeft w:val="0"/>
                      <w:marRight w:val="0"/>
                      <w:marTop w:val="0"/>
                      <w:marBottom w:val="0"/>
                      <w:divBdr>
                        <w:top w:val="none" w:sz="0" w:space="0" w:color="auto"/>
                        <w:left w:val="none" w:sz="0" w:space="0" w:color="auto"/>
                        <w:bottom w:val="none" w:sz="0" w:space="0" w:color="auto"/>
                        <w:right w:val="none" w:sz="0" w:space="0" w:color="auto"/>
                      </w:divBdr>
                    </w:div>
                  </w:divsChild>
                </w:div>
                <w:div w:id="1485505608">
                  <w:marLeft w:val="0"/>
                  <w:marRight w:val="0"/>
                  <w:marTop w:val="0"/>
                  <w:marBottom w:val="0"/>
                  <w:divBdr>
                    <w:top w:val="none" w:sz="0" w:space="0" w:color="auto"/>
                    <w:left w:val="none" w:sz="0" w:space="0" w:color="auto"/>
                    <w:bottom w:val="none" w:sz="0" w:space="0" w:color="auto"/>
                    <w:right w:val="none" w:sz="0" w:space="0" w:color="auto"/>
                  </w:divBdr>
                  <w:divsChild>
                    <w:div w:id="1571109574">
                      <w:marLeft w:val="0"/>
                      <w:marRight w:val="0"/>
                      <w:marTop w:val="0"/>
                      <w:marBottom w:val="0"/>
                      <w:divBdr>
                        <w:top w:val="none" w:sz="0" w:space="0" w:color="auto"/>
                        <w:left w:val="none" w:sz="0" w:space="0" w:color="auto"/>
                        <w:bottom w:val="none" w:sz="0" w:space="0" w:color="auto"/>
                        <w:right w:val="none" w:sz="0" w:space="0" w:color="auto"/>
                      </w:divBdr>
                    </w:div>
                  </w:divsChild>
                </w:div>
                <w:div w:id="1513110410">
                  <w:marLeft w:val="0"/>
                  <w:marRight w:val="0"/>
                  <w:marTop w:val="0"/>
                  <w:marBottom w:val="0"/>
                  <w:divBdr>
                    <w:top w:val="none" w:sz="0" w:space="0" w:color="auto"/>
                    <w:left w:val="none" w:sz="0" w:space="0" w:color="auto"/>
                    <w:bottom w:val="none" w:sz="0" w:space="0" w:color="auto"/>
                    <w:right w:val="none" w:sz="0" w:space="0" w:color="auto"/>
                  </w:divBdr>
                  <w:divsChild>
                    <w:div w:id="29885045">
                      <w:marLeft w:val="0"/>
                      <w:marRight w:val="0"/>
                      <w:marTop w:val="0"/>
                      <w:marBottom w:val="0"/>
                      <w:divBdr>
                        <w:top w:val="none" w:sz="0" w:space="0" w:color="auto"/>
                        <w:left w:val="none" w:sz="0" w:space="0" w:color="auto"/>
                        <w:bottom w:val="none" w:sz="0" w:space="0" w:color="auto"/>
                        <w:right w:val="none" w:sz="0" w:space="0" w:color="auto"/>
                      </w:divBdr>
                    </w:div>
                  </w:divsChild>
                </w:div>
                <w:div w:id="1556045061">
                  <w:marLeft w:val="0"/>
                  <w:marRight w:val="0"/>
                  <w:marTop w:val="0"/>
                  <w:marBottom w:val="0"/>
                  <w:divBdr>
                    <w:top w:val="none" w:sz="0" w:space="0" w:color="auto"/>
                    <w:left w:val="none" w:sz="0" w:space="0" w:color="auto"/>
                    <w:bottom w:val="none" w:sz="0" w:space="0" w:color="auto"/>
                    <w:right w:val="none" w:sz="0" w:space="0" w:color="auto"/>
                  </w:divBdr>
                  <w:divsChild>
                    <w:div w:id="1316912292">
                      <w:marLeft w:val="0"/>
                      <w:marRight w:val="0"/>
                      <w:marTop w:val="0"/>
                      <w:marBottom w:val="0"/>
                      <w:divBdr>
                        <w:top w:val="none" w:sz="0" w:space="0" w:color="auto"/>
                        <w:left w:val="none" w:sz="0" w:space="0" w:color="auto"/>
                        <w:bottom w:val="none" w:sz="0" w:space="0" w:color="auto"/>
                        <w:right w:val="none" w:sz="0" w:space="0" w:color="auto"/>
                      </w:divBdr>
                    </w:div>
                  </w:divsChild>
                </w:div>
                <w:div w:id="1754353675">
                  <w:marLeft w:val="0"/>
                  <w:marRight w:val="0"/>
                  <w:marTop w:val="0"/>
                  <w:marBottom w:val="0"/>
                  <w:divBdr>
                    <w:top w:val="none" w:sz="0" w:space="0" w:color="auto"/>
                    <w:left w:val="none" w:sz="0" w:space="0" w:color="auto"/>
                    <w:bottom w:val="none" w:sz="0" w:space="0" w:color="auto"/>
                    <w:right w:val="none" w:sz="0" w:space="0" w:color="auto"/>
                  </w:divBdr>
                  <w:divsChild>
                    <w:div w:id="1458600925">
                      <w:marLeft w:val="0"/>
                      <w:marRight w:val="0"/>
                      <w:marTop w:val="0"/>
                      <w:marBottom w:val="0"/>
                      <w:divBdr>
                        <w:top w:val="none" w:sz="0" w:space="0" w:color="auto"/>
                        <w:left w:val="none" w:sz="0" w:space="0" w:color="auto"/>
                        <w:bottom w:val="none" w:sz="0" w:space="0" w:color="auto"/>
                        <w:right w:val="none" w:sz="0" w:space="0" w:color="auto"/>
                      </w:divBdr>
                    </w:div>
                  </w:divsChild>
                </w:div>
                <w:div w:id="1754811641">
                  <w:marLeft w:val="0"/>
                  <w:marRight w:val="0"/>
                  <w:marTop w:val="0"/>
                  <w:marBottom w:val="0"/>
                  <w:divBdr>
                    <w:top w:val="none" w:sz="0" w:space="0" w:color="auto"/>
                    <w:left w:val="none" w:sz="0" w:space="0" w:color="auto"/>
                    <w:bottom w:val="none" w:sz="0" w:space="0" w:color="auto"/>
                    <w:right w:val="none" w:sz="0" w:space="0" w:color="auto"/>
                  </w:divBdr>
                  <w:divsChild>
                    <w:div w:id="964893227">
                      <w:marLeft w:val="0"/>
                      <w:marRight w:val="0"/>
                      <w:marTop w:val="0"/>
                      <w:marBottom w:val="0"/>
                      <w:divBdr>
                        <w:top w:val="none" w:sz="0" w:space="0" w:color="auto"/>
                        <w:left w:val="none" w:sz="0" w:space="0" w:color="auto"/>
                        <w:bottom w:val="none" w:sz="0" w:space="0" w:color="auto"/>
                        <w:right w:val="none" w:sz="0" w:space="0" w:color="auto"/>
                      </w:divBdr>
                    </w:div>
                  </w:divsChild>
                </w:div>
                <w:div w:id="1761099266">
                  <w:marLeft w:val="0"/>
                  <w:marRight w:val="0"/>
                  <w:marTop w:val="0"/>
                  <w:marBottom w:val="0"/>
                  <w:divBdr>
                    <w:top w:val="none" w:sz="0" w:space="0" w:color="auto"/>
                    <w:left w:val="none" w:sz="0" w:space="0" w:color="auto"/>
                    <w:bottom w:val="none" w:sz="0" w:space="0" w:color="auto"/>
                    <w:right w:val="none" w:sz="0" w:space="0" w:color="auto"/>
                  </w:divBdr>
                  <w:divsChild>
                    <w:div w:id="1725982960">
                      <w:marLeft w:val="0"/>
                      <w:marRight w:val="0"/>
                      <w:marTop w:val="0"/>
                      <w:marBottom w:val="0"/>
                      <w:divBdr>
                        <w:top w:val="none" w:sz="0" w:space="0" w:color="auto"/>
                        <w:left w:val="none" w:sz="0" w:space="0" w:color="auto"/>
                        <w:bottom w:val="none" w:sz="0" w:space="0" w:color="auto"/>
                        <w:right w:val="none" w:sz="0" w:space="0" w:color="auto"/>
                      </w:divBdr>
                    </w:div>
                  </w:divsChild>
                </w:div>
                <w:div w:id="1778718164">
                  <w:marLeft w:val="0"/>
                  <w:marRight w:val="0"/>
                  <w:marTop w:val="0"/>
                  <w:marBottom w:val="0"/>
                  <w:divBdr>
                    <w:top w:val="none" w:sz="0" w:space="0" w:color="auto"/>
                    <w:left w:val="none" w:sz="0" w:space="0" w:color="auto"/>
                    <w:bottom w:val="none" w:sz="0" w:space="0" w:color="auto"/>
                    <w:right w:val="none" w:sz="0" w:space="0" w:color="auto"/>
                  </w:divBdr>
                  <w:divsChild>
                    <w:div w:id="1345471305">
                      <w:marLeft w:val="0"/>
                      <w:marRight w:val="0"/>
                      <w:marTop w:val="0"/>
                      <w:marBottom w:val="0"/>
                      <w:divBdr>
                        <w:top w:val="none" w:sz="0" w:space="0" w:color="auto"/>
                        <w:left w:val="none" w:sz="0" w:space="0" w:color="auto"/>
                        <w:bottom w:val="none" w:sz="0" w:space="0" w:color="auto"/>
                        <w:right w:val="none" w:sz="0" w:space="0" w:color="auto"/>
                      </w:divBdr>
                    </w:div>
                  </w:divsChild>
                </w:div>
                <w:div w:id="1855487234">
                  <w:marLeft w:val="0"/>
                  <w:marRight w:val="0"/>
                  <w:marTop w:val="0"/>
                  <w:marBottom w:val="0"/>
                  <w:divBdr>
                    <w:top w:val="none" w:sz="0" w:space="0" w:color="auto"/>
                    <w:left w:val="none" w:sz="0" w:space="0" w:color="auto"/>
                    <w:bottom w:val="none" w:sz="0" w:space="0" w:color="auto"/>
                    <w:right w:val="none" w:sz="0" w:space="0" w:color="auto"/>
                  </w:divBdr>
                  <w:divsChild>
                    <w:div w:id="1811554099">
                      <w:marLeft w:val="0"/>
                      <w:marRight w:val="0"/>
                      <w:marTop w:val="0"/>
                      <w:marBottom w:val="0"/>
                      <w:divBdr>
                        <w:top w:val="none" w:sz="0" w:space="0" w:color="auto"/>
                        <w:left w:val="none" w:sz="0" w:space="0" w:color="auto"/>
                        <w:bottom w:val="none" w:sz="0" w:space="0" w:color="auto"/>
                        <w:right w:val="none" w:sz="0" w:space="0" w:color="auto"/>
                      </w:divBdr>
                    </w:div>
                  </w:divsChild>
                </w:div>
                <w:div w:id="1880320990">
                  <w:marLeft w:val="0"/>
                  <w:marRight w:val="0"/>
                  <w:marTop w:val="0"/>
                  <w:marBottom w:val="0"/>
                  <w:divBdr>
                    <w:top w:val="none" w:sz="0" w:space="0" w:color="auto"/>
                    <w:left w:val="none" w:sz="0" w:space="0" w:color="auto"/>
                    <w:bottom w:val="none" w:sz="0" w:space="0" w:color="auto"/>
                    <w:right w:val="none" w:sz="0" w:space="0" w:color="auto"/>
                  </w:divBdr>
                  <w:divsChild>
                    <w:div w:id="1169298259">
                      <w:marLeft w:val="0"/>
                      <w:marRight w:val="0"/>
                      <w:marTop w:val="0"/>
                      <w:marBottom w:val="0"/>
                      <w:divBdr>
                        <w:top w:val="none" w:sz="0" w:space="0" w:color="auto"/>
                        <w:left w:val="none" w:sz="0" w:space="0" w:color="auto"/>
                        <w:bottom w:val="none" w:sz="0" w:space="0" w:color="auto"/>
                        <w:right w:val="none" w:sz="0" w:space="0" w:color="auto"/>
                      </w:divBdr>
                    </w:div>
                  </w:divsChild>
                </w:div>
                <w:div w:id="1886061566">
                  <w:marLeft w:val="0"/>
                  <w:marRight w:val="0"/>
                  <w:marTop w:val="0"/>
                  <w:marBottom w:val="0"/>
                  <w:divBdr>
                    <w:top w:val="none" w:sz="0" w:space="0" w:color="auto"/>
                    <w:left w:val="none" w:sz="0" w:space="0" w:color="auto"/>
                    <w:bottom w:val="none" w:sz="0" w:space="0" w:color="auto"/>
                    <w:right w:val="none" w:sz="0" w:space="0" w:color="auto"/>
                  </w:divBdr>
                  <w:divsChild>
                    <w:div w:id="25568131">
                      <w:marLeft w:val="0"/>
                      <w:marRight w:val="0"/>
                      <w:marTop w:val="0"/>
                      <w:marBottom w:val="0"/>
                      <w:divBdr>
                        <w:top w:val="none" w:sz="0" w:space="0" w:color="auto"/>
                        <w:left w:val="none" w:sz="0" w:space="0" w:color="auto"/>
                        <w:bottom w:val="none" w:sz="0" w:space="0" w:color="auto"/>
                        <w:right w:val="none" w:sz="0" w:space="0" w:color="auto"/>
                      </w:divBdr>
                    </w:div>
                  </w:divsChild>
                </w:div>
                <w:div w:id="1961645064">
                  <w:marLeft w:val="0"/>
                  <w:marRight w:val="0"/>
                  <w:marTop w:val="0"/>
                  <w:marBottom w:val="0"/>
                  <w:divBdr>
                    <w:top w:val="none" w:sz="0" w:space="0" w:color="auto"/>
                    <w:left w:val="none" w:sz="0" w:space="0" w:color="auto"/>
                    <w:bottom w:val="none" w:sz="0" w:space="0" w:color="auto"/>
                    <w:right w:val="none" w:sz="0" w:space="0" w:color="auto"/>
                  </w:divBdr>
                  <w:divsChild>
                    <w:div w:id="449082879">
                      <w:marLeft w:val="0"/>
                      <w:marRight w:val="0"/>
                      <w:marTop w:val="0"/>
                      <w:marBottom w:val="0"/>
                      <w:divBdr>
                        <w:top w:val="none" w:sz="0" w:space="0" w:color="auto"/>
                        <w:left w:val="none" w:sz="0" w:space="0" w:color="auto"/>
                        <w:bottom w:val="none" w:sz="0" w:space="0" w:color="auto"/>
                        <w:right w:val="none" w:sz="0" w:space="0" w:color="auto"/>
                      </w:divBdr>
                    </w:div>
                  </w:divsChild>
                </w:div>
                <w:div w:id="1998683946">
                  <w:marLeft w:val="0"/>
                  <w:marRight w:val="0"/>
                  <w:marTop w:val="0"/>
                  <w:marBottom w:val="0"/>
                  <w:divBdr>
                    <w:top w:val="none" w:sz="0" w:space="0" w:color="auto"/>
                    <w:left w:val="none" w:sz="0" w:space="0" w:color="auto"/>
                    <w:bottom w:val="none" w:sz="0" w:space="0" w:color="auto"/>
                    <w:right w:val="none" w:sz="0" w:space="0" w:color="auto"/>
                  </w:divBdr>
                  <w:divsChild>
                    <w:div w:id="978925411">
                      <w:marLeft w:val="0"/>
                      <w:marRight w:val="0"/>
                      <w:marTop w:val="0"/>
                      <w:marBottom w:val="0"/>
                      <w:divBdr>
                        <w:top w:val="none" w:sz="0" w:space="0" w:color="auto"/>
                        <w:left w:val="none" w:sz="0" w:space="0" w:color="auto"/>
                        <w:bottom w:val="none" w:sz="0" w:space="0" w:color="auto"/>
                        <w:right w:val="none" w:sz="0" w:space="0" w:color="auto"/>
                      </w:divBdr>
                    </w:div>
                  </w:divsChild>
                </w:div>
                <w:div w:id="2006128925">
                  <w:marLeft w:val="0"/>
                  <w:marRight w:val="0"/>
                  <w:marTop w:val="0"/>
                  <w:marBottom w:val="0"/>
                  <w:divBdr>
                    <w:top w:val="none" w:sz="0" w:space="0" w:color="auto"/>
                    <w:left w:val="none" w:sz="0" w:space="0" w:color="auto"/>
                    <w:bottom w:val="none" w:sz="0" w:space="0" w:color="auto"/>
                    <w:right w:val="none" w:sz="0" w:space="0" w:color="auto"/>
                  </w:divBdr>
                  <w:divsChild>
                    <w:div w:id="1683894916">
                      <w:marLeft w:val="0"/>
                      <w:marRight w:val="0"/>
                      <w:marTop w:val="0"/>
                      <w:marBottom w:val="0"/>
                      <w:divBdr>
                        <w:top w:val="none" w:sz="0" w:space="0" w:color="auto"/>
                        <w:left w:val="none" w:sz="0" w:space="0" w:color="auto"/>
                        <w:bottom w:val="none" w:sz="0" w:space="0" w:color="auto"/>
                        <w:right w:val="none" w:sz="0" w:space="0" w:color="auto"/>
                      </w:divBdr>
                    </w:div>
                  </w:divsChild>
                </w:div>
                <w:div w:id="2021735184">
                  <w:marLeft w:val="0"/>
                  <w:marRight w:val="0"/>
                  <w:marTop w:val="0"/>
                  <w:marBottom w:val="0"/>
                  <w:divBdr>
                    <w:top w:val="none" w:sz="0" w:space="0" w:color="auto"/>
                    <w:left w:val="none" w:sz="0" w:space="0" w:color="auto"/>
                    <w:bottom w:val="none" w:sz="0" w:space="0" w:color="auto"/>
                    <w:right w:val="none" w:sz="0" w:space="0" w:color="auto"/>
                  </w:divBdr>
                  <w:divsChild>
                    <w:div w:id="886454119">
                      <w:marLeft w:val="0"/>
                      <w:marRight w:val="0"/>
                      <w:marTop w:val="0"/>
                      <w:marBottom w:val="0"/>
                      <w:divBdr>
                        <w:top w:val="none" w:sz="0" w:space="0" w:color="auto"/>
                        <w:left w:val="none" w:sz="0" w:space="0" w:color="auto"/>
                        <w:bottom w:val="none" w:sz="0" w:space="0" w:color="auto"/>
                        <w:right w:val="none" w:sz="0" w:space="0" w:color="auto"/>
                      </w:divBdr>
                    </w:div>
                  </w:divsChild>
                </w:div>
                <w:div w:id="2046364384">
                  <w:marLeft w:val="0"/>
                  <w:marRight w:val="0"/>
                  <w:marTop w:val="0"/>
                  <w:marBottom w:val="0"/>
                  <w:divBdr>
                    <w:top w:val="none" w:sz="0" w:space="0" w:color="auto"/>
                    <w:left w:val="none" w:sz="0" w:space="0" w:color="auto"/>
                    <w:bottom w:val="none" w:sz="0" w:space="0" w:color="auto"/>
                    <w:right w:val="none" w:sz="0" w:space="0" w:color="auto"/>
                  </w:divBdr>
                  <w:divsChild>
                    <w:div w:id="2043088530">
                      <w:marLeft w:val="0"/>
                      <w:marRight w:val="0"/>
                      <w:marTop w:val="0"/>
                      <w:marBottom w:val="0"/>
                      <w:divBdr>
                        <w:top w:val="none" w:sz="0" w:space="0" w:color="auto"/>
                        <w:left w:val="none" w:sz="0" w:space="0" w:color="auto"/>
                        <w:bottom w:val="none" w:sz="0" w:space="0" w:color="auto"/>
                        <w:right w:val="none" w:sz="0" w:space="0" w:color="auto"/>
                      </w:divBdr>
                    </w:div>
                  </w:divsChild>
                </w:div>
                <w:div w:id="2072582692">
                  <w:marLeft w:val="0"/>
                  <w:marRight w:val="0"/>
                  <w:marTop w:val="0"/>
                  <w:marBottom w:val="0"/>
                  <w:divBdr>
                    <w:top w:val="none" w:sz="0" w:space="0" w:color="auto"/>
                    <w:left w:val="none" w:sz="0" w:space="0" w:color="auto"/>
                    <w:bottom w:val="none" w:sz="0" w:space="0" w:color="auto"/>
                    <w:right w:val="none" w:sz="0" w:space="0" w:color="auto"/>
                  </w:divBdr>
                  <w:divsChild>
                    <w:div w:id="50444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843552">
          <w:marLeft w:val="0"/>
          <w:marRight w:val="0"/>
          <w:marTop w:val="0"/>
          <w:marBottom w:val="0"/>
          <w:divBdr>
            <w:top w:val="none" w:sz="0" w:space="0" w:color="auto"/>
            <w:left w:val="none" w:sz="0" w:space="0" w:color="auto"/>
            <w:bottom w:val="none" w:sz="0" w:space="0" w:color="auto"/>
            <w:right w:val="none" w:sz="0" w:space="0" w:color="auto"/>
          </w:divBdr>
        </w:div>
        <w:div w:id="1630741441">
          <w:marLeft w:val="0"/>
          <w:marRight w:val="0"/>
          <w:marTop w:val="0"/>
          <w:marBottom w:val="0"/>
          <w:divBdr>
            <w:top w:val="none" w:sz="0" w:space="0" w:color="auto"/>
            <w:left w:val="none" w:sz="0" w:space="0" w:color="auto"/>
            <w:bottom w:val="none" w:sz="0" w:space="0" w:color="auto"/>
            <w:right w:val="none" w:sz="0" w:space="0" w:color="auto"/>
          </w:divBdr>
        </w:div>
        <w:div w:id="1645698851">
          <w:marLeft w:val="0"/>
          <w:marRight w:val="0"/>
          <w:marTop w:val="0"/>
          <w:marBottom w:val="0"/>
          <w:divBdr>
            <w:top w:val="none" w:sz="0" w:space="0" w:color="auto"/>
            <w:left w:val="none" w:sz="0" w:space="0" w:color="auto"/>
            <w:bottom w:val="none" w:sz="0" w:space="0" w:color="auto"/>
            <w:right w:val="none" w:sz="0" w:space="0" w:color="auto"/>
          </w:divBdr>
        </w:div>
        <w:div w:id="1670980589">
          <w:marLeft w:val="0"/>
          <w:marRight w:val="0"/>
          <w:marTop w:val="0"/>
          <w:marBottom w:val="0"/>
          <w:divBdr>
            <w:top w:val="none" w:sz="0" w:space="0" w:color="auto"/>
            <w:left w:val="none" w:sz="0" w:space="0" w:color="auto"/>
            <w:bottom w:val="none" w:sz="0" w:space="0" w:color="auto"/>
            <w:right w:val="none" w:sz="0" w:space="0" w:color="auto"/>
          </w:divBdr>
        </w:div>
        <w:div w:id="1696223397">
          <w:marLeft w:val="0"/>
          <w:marRight w:val="0"/>
          <w:marTop w:val="0"/>
          <w:marBottom w:val="0"/>
          <w:divBdr>
            <w:top w:val="none" w:sz="0" w:space="0" w:color="auto"/>
            <w:left w:val="none" w:sz="0" w:space="0" w:color="auto"/>
            <w:bottom w:val="none" w:sz="0" w:space="0" w:color="auto"/>
            <w:right w:val="none" w:sz="0" w:space="0" w:color="auto"/>
          </w:divBdr>
        </w:div>
        <w:div w:id="1704940665">
          <w:marLeft w:val="0"/>
          <w:marRight w:val="0"/>
          <w:marTop w:val="0"/>
          <w:marBottom w:val="0"/>
          <w:divBdr>
            <w:top w:val="none" w:sz="0" w:space="0" w:color="auto"/>
            <w:left w:val="none" w:sz="0" w:space="0" w:color="auto"/>
            <w:bottom w:val="none" w:sz="0" w:space="0" w:color="auto"/>
            <w:right w:val="none" w:sz="0" w:space="0" w:color="auto"/>
          </w:divBdr>
        </w:div>
        <w:div w:id="1808812902">
          <w:marLeft w:val="0"/>
          <w:marRight w:val="0"/>
          <w:marTop w:val="0"/>
          <w:marBottom w:val="0"/>
          <w:divBdr>
            <w:top w:val="none" w:sz="0" w:space="0" w:color="auto"/>
            <w:left w:val="none" w:sz="0" w:space="0" w:color="auto"/>
            <w:bottom w:val="none" w:sz="0" w:space="0" w:color="auto"/>
            <w:right w:val="none" w:sz="0" w:space="0" w:color="auto"/>
          </w:divBdr>
        </w:div>
        <w:div w:id="1955363051">
          <w:marLeft w:val="0"/>
          <w:marRight w:val="0"/>
          <w:marTop w:val="0"/>
          <w:marBottom w:val="0"/>
          <w:divBdr>
            <w:top w:val="none" w:sz="0" w:space="0" w:color="auto"/>
            <w:left w:val="none" w:sz="0" w:space="0" w:color="auto"/>
            <w:bottom w:val="none" w:sz="0" w:space="0" w:color="auto"/>
            <w:right w:val="none" w:sz="0" w:space="0" w:color="auto"/>
          </w:divBdr>
        </w:div>
        <w:div w:id="2013988837">
          <w:marLeft w:val="0"/>
          <w:marRight w:val="0"/>
          <w:marTop w:val="0"/>
          <w:marBottom w:val="0"/>
          <w:divBdr>
            <w:top w:val="none" w:sz="0" w:space="0" w:color="auto"/>
            <w:left w:val="none" w:sz="0" w:space="0" w:color="auto"/>
            <w:bottom w:val="none" w:sz="0" w:space="0" w:color="auto"/>
            <w:right w:val="none" w:sz="0" w:space="0" w:color="auto"/>
          </w:divBdr>
        </w:div>
      </w:divsChild>
    </w:div>
    <w:div w:id="1330905801">
      <w:bodyDiv w:val="1"/>
      <w:marLeft w:val="0"/>
      <w:marRight w:val="0"/>
      <w:marTop w:val="0"/>
      <w:marBottom w:val="0"/>
      <w:divBdr>
        <w:top w:val="none" w:sz="0" w:space="0" w:color="auto"/>
        <w:left w:val="none" w:sz="0" w:space="0" w:color="auto"/>
        <w:bottom w:val="none" w:sz="0" w:space="0" w:color="auto"/>
        <w:right w:val="none" w:sz="0" w:space="0" w:color="auto"/>
      </w:divBdr>
      <w:divsChild>
        <w:div w:id="99230467">
          <w:marLeft w:val="0"/>
          <w:marRight w:val="0"/>
          <w:marTop w:val="0"/>
          <w:marBottom w:val="0"/>
          <w:divBdr>
            <w:top w:val="none" w:sz="0" w:space="0" w:color="auto"/>
            <w:left w:val="none" w:sz="0" w:space="0" w:color="auto"/>
            <w:bottom w:val="none" w:sz="0" w:space="0" w:color="auto"/>
            <w:right w:val="none" w:sz="0" w:space="0" w:color="auto"/>
          </w:divBdr>
        </w:div>
        <w:div w:id="162472055">
          <w:marLeft w:val="0"/>
          <w:marRight w:val="0"/>
          <w:marTop w:val="0"/>
          <w:marBottom w:val="0"/>
          <w:divBdr>
            <w:top w:val="none" w:sz="0" w:space="0" w:color="auto"/>
            <w:left w:val="none" w:sz="0" w:space="0" w:color="auto"/>
            <w:bottom w:val="none" w:sz="0" w:space="0" w:color="auto"/>
            <w:right w:val="none" w:sz="0" w:space="0" w:color="auto"/>
          </w:divBdr>
        </w:div>
        <w:div w:id="199898229">
          <w:marLeft w:val="0"/>
          <w:marRight w:val="0"/>
          <w:marTop w:val="0"/>
          <w:marBottom w:val="0"/>
          <w:divBdr>
            <w:top w:val="none" w:sz="0" w:space="0" w:color="auto"/>
            <w:left w:val="none" w:sz="0" w:space="0" w:color="auto"/>
            <w:bottom w:val="none" w:sz="0" w:space="0" w:color="auto"/>
            <w:right w:val="none" w:sz="0" w:space="0" w:color="auto"/>
          </w:divBdr>
        </w:div>
        <w:div w:id="202787598">
          <w:marLeft w:val="0"/>
          <w:marRight w:val="0"/>
          <w:marTop w:val="0"/>
          <w:marBottom w:val="0"/>
          <w:divBdr>
            <w:top w:val="none" w:sz="0" w:space="0" w:color="auto"/>
            <w:left w:val="none" w:sz="0" w:space="0" w:color="auto"/>
            <w:bottom w:val="none" w:sz="0" w:space="0" w:color="auto"/>
            <w:right w:val="none" w:sz="0" w:space="0" w:color="auto"/>
          </w:divBdr>
        </w:div>
        <w:div w:id="713426545">
          <w:marLeft w:val="0"/>
          <w:marRight w:val="0"/>
          <w:marTop w:val="0"/>
          <w:marBottom w:val="0"/>
          <w:divBdr>
            <w:top w:val="none" w:sz="0" w:space="0" w:color="auto"/>
            <w:left w:val="none" w:sz="0" w:space="0" w:color="auto"/>
            <w:bottom w:val="none" w:sz="0" w:space="0" w:color="auto"/>
            <w:right w:val="none" w:sz="0" w:space="0" w:color="auto"/>
          </w:divBdr>
        </w:div>
        <w:div w:id="772674524">
          <w:marLeft w:val="0"/>
          <w:marRight w:val="0"/>
          <w:marTop w:val="0"/>
          <w:marBottom w:val="0"/>
          <w:divBdr>
            <w:top w:val="none" w:sz="0" w:space="0" w:color="auto"/>
            <w:left w:val="none" w:sz="0" w:space="0" w:color="auto"/>
            <w:bottom w:val="none" w:sz="0" w:space="0" w:color="auto"/>
            <w:right w:val="none" w:sz="0" w:space="0" w:color="auto"/>
          </w:divBdr>
        </w:div>
        <w:div w:id="1394238034">
          <w:marLeft w:val="0"/>
          <w:marRight w:val="0"/>
          <w:marTop w:val="0"/>
          <w:marBottom w:val="0"/>
          <w:divBdr>
            <w:top w:val="none" w:sz="0" w:space="0" w:color="auto"/>
            <w:left w:val="none" w:sz="0" w:space="0" w:color="auto"/>
            <w:bottom w:val="none" w:sz="0" w:space="0" w:color="auto"/>
            <w:right w:val="none" w:sz="0" w:space="0" w:color="auto"/>
          </w:divBdr>
        </w:div>
        <w:div w:id="1419253682">
          <w:marLeft w:val="0"/>
          <w:marRight w:val="0"/>
          <w:marTop w:val="0"/>
          <w:marBottom w:val="0"/>
          <w:divBdr>
            <w:top w:val="none" w:sz="0" w:space="0" w:color="auto"/>
            <w:left w:val="none" w:sz="0" w:space="0" w:color="auto"/>
            <w:bottom w:val="none" w:sz="0" w:space="0" w:color="auto"/>
            <w:right w:val="none" w:sz="0" w:space="0" w:color="auto"/>
          </w:divBdr>
        </w:div>
        <w:div w:id="1653218111">
          <w:marLeft w:val="0"/>
          <w:marRight w:val="0"/>
          <w:marTop w:val="0"/>
          <w:marBottom w:val="0"/>
          <w:divBdr>
            <w:top w:val="none" w:sz="0" w:space="0" w:color="auto"/>
            <w:left w:val="none" w:sz="0" w:space="0" w:color="auto"/>
            <w:bottom w:val="none" w:sz="0" w:space="0" w:color="auto"/>
            <w:right w:val="none" w:sz="0" w:space="0" w:color="auto"/>
          </w:divBdr>
        </w:div>
        <w:div w:id="1752313902">
          <w:marLeft w:val="0"/>
          <w:marRight w:val="0"/>
          <w:marTop w:val="0"/>
          <w:marBottom w:val="0"/>
          <w:divBdr>
            <w:top w:val="none" w:sz="0" w:space="0" w:color="auto"/>
            <w:left w:val="none" w:sz="0" w:space="0" w:color="auto"/>
            <w:bottom w:val="none" w:sz="0" w:space="0" w:color="auto"/>
            <w:right w:val="none" w:sz="0" w:space="0" w:color="auto"/>
          </w:divBdr>
        </w:div>
        <w:div w:id="1876963567">
          <w:marLeft w:val="0"/>
          <w:marRight w:val="0"/>
          <w:marTop w:val="0"/>
          <w:marBottom w:val="0"/>
          <w:divBdr>
            <w:top w:val="none" w:sz="0" w:space="0" w:color="auto"/>
            <w:left w:val="none" w:sz="0" w:space="0" w:color="auto"/>
            <w:bottom w:val="none" w:sz="0" w:space="0" w:color="auto"/>
            <w:right w:val="none" w:sz="0" w:space="0" w:color="auto"/>
          </w:divBdr>
        </w:div>
        <w:div w:id="1963073935">
          <w:marLeft w:val="0"/>
          <w:marRight w:val="0"/>
          <w:marTop w:val="0"/>
          <w:marBottom w:val="0"/>
          <w:divBdr>
            <w:top w:val="none" w:sz="0" w:space="0" w:color="auto"/>
            <w:left w:val="none" w:sz="0" w:space="0" w:color="auto"/>
            <w:bottom w:val="none" w:sz="0" w:space="0" w:color="auto"/>
            <w:right w:val="none" w:sz="0" w:space="0" w:color="auto"/>
          </w:divBdr>
        </w:div>
        <w:div w:id="2034649885">
          <w:marLeft w:val="0"/>
          <w:marRight w:val="0"/>
          <w:marTop w:val="0"/>
          <w:marBottom w:val="0"/>
          <w:divBdr>
            <w:top w:val="none" w:sz="0" w:space="0" w:color="auto"/>
            <w:left w:val="none" w:sz="0" w:space="0" w:color="auto"/>
            <w:bottom w:val="none" w:sz="0" w:space="0" w:color="auto"/>
            <w:right w:val="none" w:sz="0" w:space="0" w:color="auto"/>
          </w:divBdr>
        </w:div>
      </w:divsChild>
    </w:div>
    <w:div w:id="1374305788">
      <w:bodyDiv w:val="1"/>
      <w:marLeft w:val="0"/>
      <w:marRight w:val="0"/>
      <w:marTop w:val="0"/>
      <w:marBottom w:val="0"/>
      <w:divBdr>
        <w:top w:val="none" w:sz="0" w:space="0" w:color="auto"/>
        <w:left w:val="none" w:sz="0" w:space="0" w:color="auto"/>
        <w:bottom w:val="none" w:sz="0" w:space="0" w:color="auto"/>
        <w:right w:val="none" w:sz="0" w:space="0" w:color="auto"/>
      </w:divBdr>
      <w:divsChild>
        <w:div w:id="46876277">
          <w:marLeft w:val="0"/>
          <w:marRight w:val="0"/>
          <w:marTop w:val="0"/>
          <w:marBottom w:val="0"/>
          <w:divBdr>
            <w:top w:val="none" w:sz="0" w:space="0" w:color="auto"/>
            <w:left w:val="none" w:sz="0" w:space="0" w:color="auto"/>
            <w:bottom w:val="none" w:sz="0" w:space="0" w:color="auto"/>
            <w:right w:val="none" w:sz="0" w:space="0" w:color="auto"/>
          </w:divBdr>
          <w:divsChild>
            <w:div w:id="1445004875">
              <w:marLeft w:val="0"/>
              <w:marRight w:val="0"/>
              <w:marTop w:val="0"/>
              <w:marBottom w:val="0"/>
              <w:divBdr>
                <w:top w:val="none" w:sz="0" w:space="0" w:color="auto"/>
                <w:left w:val="none" w:sz="0" w:space="0" w:color="auto"/>
                <w:bottom w:val="none" w:sz="0" w:space="0" w:color="auto"/>
                <w:right w:val="none" w:sz="0" w:space="0" w:color="auto"/>
              </w:divBdr>
            </w:div>
          </w:divsChild>
        </w:div>
        <w:div w:id="52046323">
          <w:marLeft w:val="0"/>
          <w:marRight w:val="0"/>
          <w:marTop w:val="0"/>
          <w:marBottom w:val="0"/>
          <w:divBdr>
            <w:top w:val="none" w:sz="0" w:space="0" w:color="auto"/>
            <w:left w:val="none" w:sz="0" w:space="0" w:color="auto"/>
            <w:bottom w:val="none" w:sz="0" w:space="0" w:color="auto"/>
            <w:right w:val="none" w:sz="0" w:space="0" w:color="auto"/>
          </w:divBdr>
          <w:divsChild>
            <w:div w:id="1533423549">
              <w:marLeft w:val="0"/>
              <w:marRight w:val="0"/>
              <w:marTop w:val="0"/>
              <w:marBottom w:val="0"/>
              <w:divBdr>
                <w:top w:val="none" w:sz="0" w:space="0" w:color="auto"/>
                <w:left w:val="none" w:sz="0" w:space="0" w:color="auto"/>
                <w:bottom w:val="none" w:sz="0" w:space="0" w:color="auto"/>
                <w:right w:val="none" w:sz="0" w:space="0" w:color="auto"/>
              </w:divBdr>
            </w:div>
          </w:divsChild>
        </w:div>
        <w:div w:id="77872636">
          <w:marLeft w:val="0"/>
          <w:marRight w:val="0"/>
          <w:marTop w:val="0"/>
          <w:marBottom w:val="0"/>
          <w:divBdr>
            <w:top w:val="none" w:sz="0" w:space="0" w:color="auto"/>
            <w:left w:val="none" w:sz="0" w:space="0" w:color="auto"/>
            <w:bottom w:val="none" w:sz="0" w:space="0" w:color="auto"/>
            <w:right w:val="none" w:sz="0" w:space="0" w:color="auto"/>
          </w:divBdr>
          <w:divsChild>
            <w:div w:id="897403205">
              <w:marLeft w:val="0"/>
              <w:marRight w:val="0"/>
              <w:marTop w:val="0"/>
              <w:marBottom w:val="0"/>
              <w:divBdr>
                <w:top w:val="none" w:sz="0" w:space="0" w:color="auto"/>
                <w:left w:val="none" w:sz="0" w:space="0" w:color="auto"/>
                <w:bottom w:val="none" w:sz="0" w:space="0" w:color="auto"/>
                <w:right w:val="none" w:sz="0" w:space="0" w:color="auto"/>
              </w:divBdr>
            </w:div>
          </w:divsChild>
        </w:div>
        <w:div w:id="101612631">
          <w:marLeft w:val="0"/>
          <w:marRight w:val="0"/>
          <w:marTop w:val="0"/>
          <w:marBottom w:val="0"/>
          <w:divBdr>
            <w:top w:val="none" w:sz="0" w:space="0" w:color="auto"/>
            <w:left w:val="none" w:sz="0" w:space="0" w:color="auto"/>
            <w:bottom w:val="none" w:sz="0" w:space="0" w:color="auto"/>
            <w:right w:val="none" w:sz="0" w:space="0" w:color="auto"/>
          </w:divBdr>
          <w:divsChild>
            <w:div w:id="989400939">
              <w:marLeft w:val="0"/>
              <w:marRight w:val="0"/>
              <w:marTop w:val="0"/>
              <w:marBottom w:val="0"/>
              <w:divBdr>
                <w:top w:val="none" w:sz="0" w:space="0" w:color="auto"/>
                <w:left w:val="none" w:sz="0" w:space="0" w:color="auto"/>
                <w:bottom w:val="none" w:sz="0" w:space="0" w:color="auto"/>
                <w:right w:val="none" w:sz="0" w:space="0" w:color="auto"/>
              </w:divBdr>
            </w:div>
          </w:divsChild>
        </w:div>
        <w:div w:id="210918949">
          <w:marLeft w:val="0"/>
          <w:marRight w:val="0"/>
          <w:marTop w:val="0"/>
          <w:marBottom w:val="0"/>
          <w:divBdr>
            <w:top w:val="none" w:sz="0" w:space="0" w:color="auto"/>
            <w:left w:val="none" w:sz="0" w:space="0" w:color="auto"/>
            <w:bottom w:val="none" w:sz="0" w:space="0" w:color="auto"/>
            <w:right w:val="none" w:sz="0" w:space="0" w:color="auto"/>
          </w:divBdr>
          <w:divsChild>
            <w:div w:id="1729986112">
              <w:marLeft w:val="0"/>
              <w:marRight w:val="0"/>
              <w:marTop w:val="0"/>
              <w:marBottom w:val="0"/>
              <w:divBdr>
                <w:top w:val="none" w:sz="0" w:space="0" w:color="auto"/>
                <w:left w:val="none" w:sz="0" w:space="0" w:color="auto"/>
                <w:bottom w:val="none" w:sz="0" w:space="0" w:color="auto"/>
                <w:right w:val="none" w:sz="0" w:space="0" w:color="auto"/>
              </w:divBdr>
            </w:div>
          </w:divsChild>
        </w:div>
        <w:div w:id="216400898">
          <w:marLeft w:val="0"/>
          <w:marRight w:val="0"/>
          <w:marTop w:val="0"/>
          <w:marBottom w:val="0"/>
          <w:divBdr>
            <w:top w:val="none" w:sz="0" w:space="0" w:color="auto"/>
            <w:left w:val="none" w:sz="0" w:space="0" w:color="auto"/>
            <w:bottom w:val="none" w:sz="0" w:space="0" w:color="auto"/>
            <w:right w:val="none" w:sz="0" w:space="0" w:color="auto"/>
          </w:divBdr>
          <w:divsChild>
            <w:div w:id="1132863834">
              <w:marLeft w:val="0"/>
              <w:marRight w:val="0"/>
              <w:marTop w:val="0"/>
              <w:marBottom w:val="0"/>
              <w:divBdr>
                <w:top w:val="none" w:sz="0" w:space="0" w:color="auto"/>
                <w:left w:val="none" w:sz="0" w:space="0" w:color="auto"/>
                <w:bottom w:val="none" w:sz="0" w:space="0" w:color="auto"/>
                <w:right w:val="none" w:sz="0" w:space="0" w:color="auto"/>
              </w:divBdr>
            </w:div>
          </w:divsChild>
        </w:div>
        <w:div w:id="233703241">
          <w:marLeft w:val="0"/>
          <w:marRight w:val="0"/>
          <w:marTop w:val="0"/>
          <w:marBottom w:val="0"/>
          <w:divBdr>
            <w:top w:val="none" w:sz="0" w:space="0" w:color="auto"/>
            <w:left w:val="none" w:sz="0" w:space="0" w:color="auto"/>
            <w:bottom w:val="none" w:sz="0" w:space="0" w:color="auto"/>
            <w:right w:val="none" w:sz="0" w:space="0" w:color="auto"/>
          </w:divBdr>
          <w:divsChild>
            <w:div w:id="928150520">
              <w:marLeft w:val="0"/>
              <w:marRight w:val="0"/>
              <w:marTop w:val="0"/>
              <w:marBottom w:val="0"/>
              <w:divBdr>
                <w:top w:val="none" w:sz="0" w:space="0" w:color="auto"/>
                <w:left w:val="none" w:sz="0" w:space="0" w:color="auto"/>
                <w:bottom w:val="none" w:sz="0" w:space="0" w:color="auto"/>
                <w:right w:val="none" w:sz="0" w:space="0" w:color="auto"/>
              </w:divBdr>
            </w:div>
          </w:divsChild>
        </w:div>
        <w:div w:id="451943183">
          <w:marLeft w:val="0"/>
          <w:marRight w:val="0"/>
          <w:marTop w:val="0"/>
          <w:marBottom w:val="0"/>
          <w:divBdr>
            <w:top w:val="none" w:sz="0" w:space="0" w:color="auto"/>
            <w:left w:val="none" w:sz="0" w:space="0" w:color="auto"/>
            <w:bottom w:val="none" w:sz="0" w:space="0" w:color="auto"/>
            <w:right w:val="none" w:sz="0" w:space="0" w:color="auto"/>
          </w:divBdr>
          <w:divsChild>
            <w:div w:id="258491501">
              <w:marLeft w:val="0"/>
              <w:marRight w:val="0"/>
              <w:marTop w:val="0"/>
              <w:marBottom w:val="0"/>
              <w:divBdr>
                <w:top w:val="none" w:sz="0" w:space="0" w:color="auto"/>
                <w:left w:val="none" w:sz="0" w:space="0" w:color="auto"/>
                <w:bottom w:val="none" w:sz="0" w:space="0" w:color="auto"/>
                <w:right w:val="none" w:sz="0" w:space="0" w:color="auto"/>
              </w:divBdr>
            </w:div>
          </w:divsChild>
        </w:div>
        <w:div w:id="594168572">
          <w:marLeft w:val="0"/>
          <w:marRight w:val="0"/>
          <w:marTop w:val="0"/>
          <w:marBottom w:val="0"/>
          <w:divBdr>
            <w:top w:val="none" w:sz="0" w:space="0" w:color="auto"/>
            <w:left w:val="none" w:sz="0" w:space="0" w:color="auto"/>
            <w:bottom w:val="none" w:sz="0" w:space="0" w:color="auto"/>
            <w:right w:val="none" w:sz="0" w:space="0" w:color="auto"/>
          </w:divBdr>
          <w:divsChild>
            <w:div w:id="1858621236">
              <w:marLeft w:val="0"/>
              <w:marRight w:val="0"/>
              <w:marTop w:val="0"/>
              <w:marBottom w:val="0"/>
              <w:divBdr>
                <w:top w:val="none" w:sz="0" w:space="0" w:color="auto"/>
                <w:left w:val="none" w:sz="0" w:space="0" w:color="auto"/>
                <w:bottom w:val="none" w:sz="0" w:space="0" w:color="auto"/>
                <w:right w:val="none" w:sz="0" w:space="0" w:color="auto"/>
              </w:divBdr>
            </w:div>
          </w:divsChild>
        </w:div>
        <w:div w:id="713432982">
          <w:marLeft w:val="0"/>
          <w:marRight w:val="0"/>
          <w:marTop w:val="0"/>
          <w:marBottom w:val="0"/>
          <w:divBdr>
            <w:top w:val="none" w:sz="0" w:space="0" w:color="auto"/>
            <w:left w:val="none" w:sz="0" w:space="0" w:color="auto"/>
            <w:bottom w:val="none" w:sz="0" w:space="0" w:color="auto"/>
            <w:right w:val="none" w:sz="0" w:space="0" w:color="auto"/>
          </w:divBdr>
          <w:divsChild>
            <w:div w:id="423846560">
              <w:marLeft w:val="0"/>
              <w:marRight w:val="0"/>
              <w:marTop w:val="0"/>
              <w:marBottom w:val="0"/>
              <w:divBdr>
                <w:top w:val="none" w:sz="0" w:space="0" w:color="auto"/>
                <w:left w:val="none" w:sz="0" w:space="0" w:color="auto"/>
                <w:bottom w:val="none" w:sz="0" w:space="0" w:color="auto"/>
                <w:right w:val="none" w:sz="0" w:space="0" w:color="auto"/>
              </w:divBdr>
            </w:div>
          </w:divsChild>
        </w:div>
        <w:div w:id="714623425">
          <w:marLeft w:val="0"/>
          <w:marRight w:val="0"/>
          <w:marTop w:val="0"/>
          <w:marBottom w:val="0"/>
          <w:divBdr>
            <w:top w:val="none" w:sz="0" w:space="0" w:color="auto"/>
            <w:left w:val="none" w:sz="0" w:space="0" w:color="auto"/>
            <w:bottom w:val="none" w:sz="0" w:space="0" w:color="auto"/>
            <w:right w:val="none" w:sz="0" w:space="0" w:color="auto"/>
          </w:divBdr>
          <w:divsChild>
            <w:div w:id="785925169">
              <w:marLeft w:val="0"/>
              <w:marRight w:val="0"/>
              <w:marTop w:val="0"/>
              <w:marBottom w:val="0"/>
              <w:divBdr>
                <w:top w:val="none" w:sz="0" w:space="0" w:color="auto"/>
                <w:left w:val="none" w:sz="0" w:space="0" w:color="auto"/>
                <w:bottom w:val="none" w:sz="0" w:space="0" w:color="auto"/>
                <w:right w:val="none" w:sz="0" w:space="0" w:color="auto"/>
              </w:divBdr>
            </w:div>
          </w:divsChild>
        </w:div>
        <w:div w:id="715473633">
          <w:marLeft w:val="0"/>
          <w:marRight w:val="0"/>
          <w:marTop w:val="0"/>
          <w:marBottom w:val="0"/>
          <w:divBdr>
            <w:top w:val="none" w:sz="0" w:space="0" w:color="auto"/>
            <w:left w:val="none" w:sz="0" w:space="0" w:color="auto"/>
            <w:bottom w:val="none" w:sz="0" w:space="0" w:color="auto"/>
            <w:right w:val="none" w:sz="0" w:space="0" w:color="auto"/>
          </w:divBdr>
          <w:divsChild>
            <w:div w:id="2129162249">
              <w:marLeft w:val="0"/>
              <w:marRight w:val="0"/>
              <w:marTop w:val="0"/>
              <w:marBottom w:val="0"/>
              <w:divBdr>
                <w:top w:val="none" w:sz="0" w:space="0" w:color="auto"/>
                <w:left w:val="none" w:sz="0" w:space="0" w:color="auto"/>
                <w:bottom w:val="none" w:sz="0" w:space="0" w:color="auto"/>
                <w:right w:val="none" w:sz="0" w:space="0" w:color="auto"/>
              </w:divBdr>
            </w:div>
          </w:divsChild>
        </w:div>
        <w:div w:id="762141055">
          <w:marLeft w:val="0"/>
          <w:marRight w:val="0"/>
          <w:marTop w:val="0"/>
          <w:marBottom w:val="0"/>
          <w:divBdr>
            <w:top w:val="none" w:sz="0" w:space="0" w:color="auto"/>
            <w:left w:val="none" w:sz="0" w:space="0" w:color="auto"/>
            <w:bottom w:val="none" w:sz="0" w:space="0" w:color="auto"/>
            <w:right w:val="none" w:sz="0" w:space="0" w:color="auto"/>
          </w:divBdr>
          <w:divsChild>
            <w:div w:id="1127622233">
              <w:marLeft w:val="0"/>
              <w:marRight w:val="0"/>
              <w:marTop w:val="0"/>
              <w:marBottom w:val="0"/>
              <w:divBdr>
                <w:top w:val="none" w:sz="0" w:space="0" w:color="auto"/>
                <w:left w:val="none" w:sz="0" w:space="0" w:color="auto"/>
                <w:bottom w:val="none" w:sz="0" w:space="0" w:color="auto"/>
                <w:right w:val="none" w:sz="0" w:space="0" w:color="auto"/>
              </w:divBdr>
            </w:div>
          </w:divsChild>
        </w:div>
        <w:div w:id="802503979">
          <w:marLeft w:val="0"/>
          <w:marRight w:val="0"/>
          <w:marTop w:val="0"/>
          <w:marBottom w:val="0"/>
          <w:divBdr>
            <w:top w:val="none" w:sz="0" w:space="0" w:color="auto"/>
            <w:left w:val="none" w:sz="0" w:space="0" w:color="auto"/>
            <w:bottom w:val="none" w:sz="0" w:space="0" w:color="auto"/>
            <w:right w:val="none" w:sz="0" w:space="0" w:color="auto"/>
          </w:divBdr>
          <w:divsChild>
            <w:div w:id="1394036182">
              <w:marLeft w:val="0"/>
              <w:marRight w:val="0"/>
              <w:marTop w:val="0"/>
              <w:marBottom w:val="0"/>
              <w:divBdr>
                <w:top w:val="none" w:sz="0" w:space="0" w:color="auto"/>
                <w:left w:val="none" w:sz="0" w:space="0" w:color="auto"/>
                <w:bottom w:val="none" w:sz="0" w:space="0" w:color="auto"/>
                <w:right w:val="none" w:sz="0" w:space="0" w:color="auto"/>
              </w:divBdr>
            </w:div>
          </w:divsChild>
        </w:div>
        <w:div w:id="817261905">
          <w:marLeft w:val="0"/>
          <w:marRight w:val="0"/>
          <w:marTop w:val="0"/>
          <w:marBottom w:val="0"/>
          <w:divBdr>
            <w:top w:val="none" w:sz="0" w:space="0" w:color="auto"/>
            <w:left w:val="none" w:sz="0" w:space="0" w:color="auto"/>
            <w:bottom w:val="none" w:sz="0" w:space="0" w:color="auto"/>
            <w:right w:val="none" w:sz="0" w:space="0" w:color="auto"/>
          </w:divBdr>
          <w:divsChild>
            <w:div w:id="2058167173">
              <w:marLeft w:val="0"/>
              <w:marRight w:val="0"/>
              <w:marTop w:val="0"/>
              <w:marBottom w:val="0"/>
              <w:divBdr>
                <w:top w:val="none" w:sz="0" w:space="0" w:color="auto"/>
                <w:left w:val="none" w:sz="0" w:space="0" w:color="auto"/>
                <w:bottom w:val="none" w:sz="0" w:space="0" w:color="auto"/>
                <w:right w:val="none" w:sz="0" w:space="0" w:color="auto"/>
              </w:divBdr>
            </w:div>
          </w:divsChild>
        </w:div>
        <w:div w:id="820805283">
          <w:marLeft w:val="0"/>
          <w:marRight w:val="0"/>
          <w:marTop w:val="0"/>
          <w:marBottom w:val="0"/>
          <w:divBdr>
            <w:top w:val="none" w:sz="0" w:space="0" w:color="auto"/>
            <w:left w:val="none" w:sz="0" w:space="0" w:color="auto"/>
            <w:bottom w:val="none" w:sz="0" w:space="0" w:color="auto"/>
            <w:right w:val="none" w:sz="0" w:space="0" w:color="auto"/>
          </w:divBdr>
          <w:divsChild>
            <w:div w:id="2107727253">
              <w:marLeft w:val="0"/>
              <w:marRight w:val="0"/>
              <w:marTop w:val="0"/>
              <w:marBottom w:val="0"/>
              <w:divBdr>
                <w:top w:val="none" w:sz="0" w:space="0" w:color="auto"/>
                <w:left w:val="none" w:sz="0" w:space="0" w:color="auto"/>
                <w:bottom w:val="none" w:sz="0" w:space="0" w:color="auto"/>
                <w:right w:val="none" w:sz="0" w:space="0" w:color="auto"/>
              </w:divBdr>
            </w:div>
          </w:divsChild>
        </w:div>
        <w:div w:id="843592381">
          <w:marLeft w:val="0"/>
          <w:marRight w:val="0"/>
          <w:marTop w:val="0"/>
          <w:marBottom w:val="0"/>
          <w:divBdr>
            <w:top w:val="none" w:sz="0" w:space="0" w:color="auto"/>
            <w:left w:val="none" w:sz="0" w:space="0" w:color="auto"/>
            <w:bottom w:val="none" w:sz="0" w:space="0" w:color="auto"/>
            <w:right w:val="none" w:sz="0" w:space="0" w:color="auto"/>
          </w:divBdr>
          <w:divsChild>
            <w:div w:id="432089839">
              <w:marLeft w:val="0"/>
              <w:marRight w:val="0"/>
              <w:marTop w:val="0"/>
              <w:marBottom w:val="0"/>
              <w:divBdr>
                <w:top w:val="none" w:sz="0" w:space="0" w:color="auto"/>
                <w:left w:val="none" w:sz="0" w:space="0" w:color="auto"/>
                <w:bottom w:val="none" w:sz="0" w:space="0" w:color="auto"/>
                <w:right w:val="none" w:sz="0" w:space="0" w:color="auto"/>
              </w:divBdr>
            </w:div>
          </w:divsChild>
        </w:div>
        <w:div w:id="849418973">
          <w:marLeft w:val="0"/>
          <w:marRight w:val="0"/>
          <w:marTop w:val="0"/>
          <w:marBottom w:val="0"/>
          <w:divBdr>
            <w:top w:val="none" w:sz="0" w:space="0" w:color="auto"/>
            <w:left w:val="none" w:sz="0" w:space="0" w:color="auto"/>
            <w:bottom w:val="none" w:sz="0" w:space="0" w:color="auto"/>
            <w:right w:val="none" w:sz="0" w:space="0" w:color="auto"/>
          </w:divBdr>
          <w:divsChild>
            <w:div w:id="75320463">
              <w:marLeft w:val="0"/>
              <w:marRight w:val="0"/>
              <w:marTop w:val="0"/>
              <w:marBottom w:val="0"/>
              <w:divBdr>
                <w:top w:val="none" w:sz="0" w:space="0" w:color="auto"/>
                <w:left w:val="none" w:sz="0" w:space="0" w:color="auto"/>
                <w:bottom w:val="none" w:sz="0" w:space="0" w:color="auto"/>
                <w:right w:val="none" w:sz="0" w:space="0" w:color="auto"/>
              </w:divBdr>
            </w:div>
          </w:divsChild>
        </w:div>
        <w:div w:id="851575601">
          <w:marLeft w:val="0"/>
          <w:marRight w:val="0"/>
          <w:marTop w:val="0"/>
          <w:marBottom w:val="0"/>
          <w:divBdr>
            <w:top w:val="none" w:sz="0" w:space="0" w:color="auto"/>
            <w:left w:val="none" w:sz="0" w:space="0" w:color="auto"/>
            <w:bottom w:val="none" w:sz="0" w:space="0" w:color="auto"/>
            <w:right w:val="none" w:sz="0" w:space="0" w:color="auto"/>
          </w:divBdr>
          <w:divsChild>
            <w:div w:id="1702242515">
              <w:marLeft w:val="0"/>
              <w:marRight w:val="0"/>
              <w:marTop w:val="0"/>
              <w:marBottom w:val="0"/>
              <w:divBdr>
                <w:top w:val="none" w:sz="0" w:space="0" w:color="auto"/>
                <w:left w:val="none" w:sz="0" w:space="0" w:color="auto"/>
                <w:bottom w:val="none" w:sz="0" w:space="0" w:color="auto"/>
                <w:right w:val="none" w:sz="0" w:space="0" w:color="auto"/>
              </w:divBdr>
            </w:div>
          </w:divsChild>
        </w:div>
        <w:div w:id="857691960">
          <w:marLeft w:val="0"/>
          <w:marRight w:val="0"/>
          <w:marTop w:val="0"/>
          <w:marBottom w:val="0"/>
          <w:divBdr>
            <w:top w:val="none" w:sz="0" w:space="0" w:color="auto"/>
            <w:left w:val="none" w:sz="0" w:space="0" w:color="auto"/>
            <w:bottom w:val="none" w:sz="0" w:space="0" w:color="auto"/>
            <w:right w:val="none" w:sz="0" w:space="0" w:color="auto"/>
          </w:divBdr>
          <w:divsChild>
            <w:div w:id="1589464454">
              <w:marLeft w:val="0"/>
              <w:marRight w:val="0"/>
              <w:marTop w:val="0"/>
              <w:marBottom w:val="0"/>
              <w:divBdr>
                <w:top w:val="none" w:sz="0" w:space="0" w:color="auto"/>
                <w:left w:val="none" w:sz="0" w:space="0" w:color="auto"/>
                <w:bottom w:val="none" w:sz="0" w:space="0" w:color="auto"/>
                <w:right w:val="none" w:sz="0" w:space="0" w:color="auto"/>
              </w:divBdr>
            </w:div>
          </w:divsChild>
        </w:div>
        <w:div w:id="935408438">
          <w:marLeft w:val="0"/>
          <w:marRight w:val="0"/>
          <w:marTop w:val="0"/>
          <w:marBottom w:val="0"/>
          <w:divBdr>
            <w:top w:val="none" w:sz="0" w:space="0" w:color="auto"/>
            <w:left w:val="none" w:sz="0" w:space="0" w:color="auto"/>
            <w:bottom w:val="none" w:sz="0" w:space="0" w:color="auto"/>
            <w:right w:val="none" w:sz="0" w:space="0" w:color="auto"/>
          </w:divBdr>
          <w:divsChild>
            <w:div w:id="2125346254">
              <w:marLeft w:val="0"/>
              <w:marRight w:val="0"/>
              <w:marTop w:val="0"/>
              <w:marBottom w:val="0"/>
              <w:divBdr>
                <w:top w:val="none" w:sz="0" w:space="0" w:color="auto"/>
                <w:left w:val="none" w:sz="0" w:space="0" w:color="auto"/>
                <w:bottom w:val="none" w:sz="0" w:space="0" w:color="auto"/>
                <w:right w:val="none" w:sz="0" w:space="0" w:color="auto"/>
              </w:divBdr>
            </w:div>
          </w:divsChild>
        </w:div>
        <w:div w:id="999505904">
          <w:marLeft w:val="0"/>
          <w:marRight w:val="0"/>
          <w:marTop w:val="0"/>
          <w:marBottom w:val="0"/>
          <w:divBdr>
            <w:top w:val="none" w:sz="0" w:space="0" w:color="auto"/>
            <w:left w:val="none" w:sz="0" w:space="0" w:color="auto"/>
            <w:bottom w:val="none" w:sz="0" w:space="0" w:color="auto"/>
            <w:right w:val="none" w:sz="0" w:space="0" w:color="auto"/>
          </w:divBdr>
          <w:divsChild>
            <w:div w:id="656081505">
              <w:marLeft w:val="0"/>
              <w:marRight w:val="0"/>
              <w:marTop w:val="0"/>
              <w:marBottom w:val="0"/>
              <w:divBdr>
                <w:top w:val="none" w:sz="0" w:space="0" w:color="auto"/>
                <w:left w:val="none" w:sz="0" w:space="0" w:color="auto"/>
                <w:bottom w:val="none" w:sz="0" w:space="0" w:color="auto"/>
                <w:right w:val="none" w:sz="0" w:space="0" w:color="auto"/>
              </w:divBdr>
            </w:div>
          </w:divsChild>
        </w:div>
        <w:div w:id="1009597764">
          <w:marLeft w:val="0"/>
          <w:marRight w:val="0"/>
          <w:marTop w:val="0"/>
          <w:marBottom w:val="0"/>
          <w:divBdr>
            <w:top w:val="none" w:sz="0" w:space="0" w:color="auto"/>
            <w:left w:val="none" w:sz="0" w:space="0" w:color="auto"/>
            <w:bottom w:val="none" w:sz="0" w:space="0" w:color="auto"/>
            <w:right w:val="none" w:sz="0" w:space="0" w:color="auto"/>
          </w:divBdr>
          <w:divsChild>
            <w:div w:id="785659993">
              <w:marLeft w:val="0"/>
              <w:marRight w:val="0"/>
              <w:marTop w:val="0"/>
              <w:marBottom w:val="0"/>
              <w:divBdr>
                <w:top w:val="none" w:sz="0" w:space="0" w:color="auto"/>
                <w:left w:val="none" w:sz="0" w:space="0" w:color="auto"/>
                <w:bottom w:val="none" w:sz="0" w:space="0" w:color="auto"/>
                <w:right w:val="none" w:sz="0" w:space="0" w:color="auto"/>
              </w:divBdr>
            </w:div>
          </w:divsChild>
        </w:div>
        <w:div w:id="1079212916">
          <w:marLeft w:val="0"/>
          <w:marRight w:val="0"/>
          <w:marTop w:val="0"/>
          <w:marBottom w:val="0"/>
          <w:divBdr>
            <w:top w:val="none" w:sz="0" w:space="0" w:color="auto"/>
            <w:left w:val="none" w:sz="0" w:space="0" w:color="auto"/>
            <w:bottom w:val="none" w:sz="0" w:space="0" w:color="auto"/>
            <w:right w:val="none" w:sz="0" w:space="0" w:color="auto"/>
          </w:divBdr>
          <w:divsChild>
            <w:div w:id="1066877041">
              <w:marLeft w:val="0"/>
              <w:marRight w:val="0"/>
              <w:marTop w:val="0"/>
              <w:marBottom w:val="0"/>
              <w:divBdr>
                <w:top w:val="none" w:sz="0" w:space="0" w:color="auto"/>
                <w:left w:val="none" w:sz="0" w:space="0" w:color="auto"/>
                <w:bottom w:val="none" w:sz="0" w:space="0" w:color="auto"/>
                <w:right w:val="none" w:sz="0" w:space="0" w:color="auto"/>
              </w:divBdr>
            </w:div>
          </w:divsChild>
        </w:div>
        <w:div w:id="1123575486">
          <w:marLeft w:val="0"/>
          <w:marRight w:val="0"/>
          <w:marTop w:val="0"/>
          <w:marBottom w:val="0"/>
          <w:divBdr>
            <w:top w:val="none" w:sz="0" w:space="0" w:color="auto"/>
            <w:left w:val="none" w:sz="0" w:space="0" w:color="auto"/>
            <w:bottom w:val="none" w:sz="0" w:space="0" w:color="auto"/>
            <w:right w:val="none" w:sz="0" w:space="0" w:color="auto"/>
          </w:divBdr>
          <w:divsChild>
            <w:div w:id="1746494716">
              <w:marLeft w:val="0"/>
              <w:marRight w:val="0"/>
              <w:marTop w:val="0"/>
              <w:marBottom w:val="0"/>
              <w:divBdr>
                <w:top w:val="none" w:sz="0" w:space="0" w:color="auto"/>
                <w:left w:val="none" w:sz="0" w:space="0" w:color="auto"/>
                <w:bottom w:val="none" w:sz="0" w:space="0" w:color="auto"/>
                <w:right w:val="none" w:sz="0" w:space="0" w:color="auto"/>
              </w:divBdr>
            </w:div>
          </w:divsChild>
        </w:div>
        <w:div w:id="1166285334">
          <w:marLeft w:val="0"/>
          <w:marRight w:val="0"/>
          <w:marTop w:val="0"/>
          <w:marBottom w:val="0"/>
          <w:divBdr>
            <w:top w:val="none" w:sz="0" w:space="0" w:color="auto"/>
            <w:left w:val="none" w:sz="0" w:space="0" w:color="auto"/>
            <w:bottom w:val="none" w:sz="0" w:space="0" w:color="auto"/>
            <w:right w:val="none" w:sz="0" w:space="0" w:color="auto"/>
          </w:divBdr>
          <w:divsChild>
            <w:div w:id="2090345489">
              <w:marLeft w:val="0"/>
              <w:marRight w:val="0"/>
              <w:marTop w:val="0"/>
              <w:marBottom w:val="0"/>
              <w:divBdr>
                <w:top w:val="none" w:sz="0" w:space="0" w:color="auto"/>
                <w:left w:val="none" w:sz="0" w:space="0" w:color="auto"/>
                <w:bottom w:val="none" w:sz="0" w:space="0" w:color="auto"/>
                <w:right w:val="none" w:sz="0" w:space="0" w:color="auto"/>
              </w:divBdr>
            </w:div>
          </w:divsChild>
        </w:div>
        <w:div w:id="1183202762">
          <w:marLeft w:val="0"/>
          <w:marRight w:val="0"/>
          <w:marTop w:val="0"/>
          <w:marBottom w:val="0"/>
          <w:divBdr>
            <w:top w:val="none" w:sz="0" w:space="0" w:color="auto"/>
            <w:left w:val="none" w:sz="0" w:space="0" w:color="auto"/>
            <w:bottom w:val="none" w:sz="0" w:space="0" w:color="auto"/>
            <w:right w:val="none" w:sz="0" w:space="0" w:color="auto"/>
          </w:divBdr>
          <w:divsChild>
            <w:div w:id="556664571">
              <w:marLeft w:val="0"/>
              <w:marRight w:val="0"/>
              <w:marTop w:val="0"/>
              <w:marBottom w:val="0"/>
              <w:divBdr>
                <w:top w:val="none" w:sz="0" w:space="0" w:color="auto"/>
                <w:left w:val="none" w:sz="0" w:space="0" w:color="auto"/>
                <w:bottom w:val="none" w:sz="0" w:space="0" w:color="auto"/>
                <w:right w:val="none" w:sz="0" w:space="0" w:color="auto"/>
              </w:divBdr>
            </w:div>
          </w:divsChild>
        </w:div>
        <w:div w:id="1188832097">
          <w:marLeft w:val="0"/>
          <w:marRight w:val="0"/>
          <w:marTop w:val="0"/>
          <w:marBottom w:val="0"/>
          <w:divBdr>
            <w:top w:val="none" w:sz="0" w:space="0" w:color="auto"/>
            <w:left w:val="none" w:sz="0" w:space="0" w:color="auto"/>
            <w:bottom w:val="none" w:sz="0" w:space="0" w:color="auto"/>
            <w:right w:val="none" w:sz="0" w:space="0" w:color="auto"/>
          </w:divBdr>
          <w:divsChild>
            <w:div w:id="1093478795">
              <w:marLeft w:val="0"/>
              <w:marRight w:val="0"/>
              <w:marTop w:val="0"/>
              <w:marBottom w:val="0"/>
              <w:divBdr>
                <w:top w:val="none" w:sz="0" w:space="0" w:color="auto"/>
                <w:left w:val="none" w:sz="0" w:space="0" w:color="auto"/>
                <w:bottom w:val="none" w:sz="0" w:space="0" w:color="auto"/>
                <w:right w:val="none" w:sz="0" w:space="0" w:color="auto"/>
              </w:divBdr>
            </w:div>
          </w:divsChild>
        </w:div>
        <w:div w:id="1251279464">
          <w:marLeft w:val="0"/>
          <w:marRight w:val="0"/>
          <w:marTop w:val="0"/>
          <w:marBottom w:val="0"/>
          <w:divBdr>
            <w:top w:val="none" w:sz="0" w:space="0" w:color="auto"/>
            <w:left w:val="none" w:sz="0" w:space="0" w:color="auto"/>
            <w:bottom w:val="none" w:sz="0" w:space="0" w:color="auto"/>
            <w:right w:val="none" w:sz="0" w:space="0" w:color="auto"/>
          </w:divBdr>
          <w:divsChild>
            <w:div w:id="1639723000">
              <w:marLeft w:val="0"/>
              <w:marRight w:val="0"/>
              <w:marTop w:val="0"/>
              <w:marBottom w:val="0"/>
              <w:divBdr>
                <w:top w:val="none" w:sz="0" w:space="0" w:color="auto"/>
                <w:left w:val="none" w:sz="0" w:space="0" w:color="auto"/>
                <w:bottom w:val="none" w:sz="0" w:space="0" w:color="auto"/>
                <w:right w:val="none" w:sz="0" w:space="0" w:color="auto"/>
              </w:divBdr>
            </w:div>
          </w:divsChild>
        </w:div>
        <w:div w:id="1332635238">
          <w:marLeft w:val="0"/>
          <w:marRight w:val="0"/>
          <w:marTop w:val="0"/>
          <w:marBottom w:val="0"/>
          <w:divBdr>
            <w:top w:val="none" w:sz="0" w:space="0" w:color="auto"/>
            <w:left w:val="none" w:sz="0" w:space="0" w:color="auto"/>
            <w:bottom w:val="none" w:sz="0" w:space="0" w:color="auto"/>
            <w:right w:val="none" w:sz="0" w:space="0" w:color="auto"/>
          </w:divBdr>
          <w:divsChild>
            <w:div w:id="1373730353">
              <w:marLeft w:val="0"/>
              <w:marRight w:val="0"/>
              <w:marTop w:val="0"/>
              <w:marBottom w:val="0"/>
              <w:divBdr>
                <w:top w:val="none" w:sz="0" w:space="0" w:color="auto"/>
                <w:left w:val="none" w:sz="0" w:space="0" w:color="auto"/>
                <w:bottom w:val="none" w:sz="0" w:space="0" w:color="auto"/>
                <w:right w:val="none" w:sz="0" w:space="0" w:color="auto"/>
              </w:divBdr>
            </w:div>
          </w:divsChild>
        </w:div>
        <w:div w:id="1368289837">
          <w:marLeft w:val="0"/>
          <w:marRight w:val="0"/>
          <w:marTop w:val="0"/>
          <w:marBottom w:val="0"/>
          <w:divBdr>
            <w:top w:val="none" w:sz="0" w:space="0" w:color="auto"/>
            <w:left w:val="none" w:sz="0" w:space="0" w:color="auto"/>
            <w:bottom w:val="none" w:sz="0" w:space="0" w:color="auto"/>
            <w:right w:val="none" w:sz="0" w:space="0" w:color="auto"/>
          </w:divBdr>
          <w:divsChild>
            <w:div w:id="1661813009">
              <w:marLeft w:val="0"/>
              <w:marRight w:val="0"/>
              <w:marTop w:val="0"/>
              <w:marBottom w:val="0"/>
              <w:divBdr>
                <w:top w:val="none" w:sz="0" w:space="0" w:color="auto"/>
                <w:left w:val="none" w:sz="0" w:space="0" w:color="auto"/>
                <w:bottom w:val="none" w:sz="0" w:space="0" w:color="auto"/>
                <w:right w:val="none" w:sz="0" w:space="0" w:color="auto"/>
              </w:divBdr>
            </w:div>
          </w:divsChild>
        </w:div>
        <w:div w:id="1579830904">
          <w:marLeft w:val="0"/>
          <w:marRight w:val="0"/>
          <w:marTop w:val="0"/>
          <w:marBottom w:val="0"/>
          <w:divBdr>
            <w:top w:val="none" w:sz="0" w:space="0" w:color="auto"/>
            <w:left w:val="none" w:sz="0" w:space="0" w:color="auto"/>
            <w:bottom w:val="none" w:sz="0" w:space="0" w:color="auto"/>
            <w:right w:val="none" w:sz="0" w:space="0" w:color="auto"/>
          </w:divBdr>
          <w:divsChild>
            <w:div w:id="1399784421">
              <w:marLeft w:val="0"/>
              <w:marRight w:val="0"/>
              <w:marTop w:val="0"/>
              <w:marBottom w:val="0"/>
              <w:divBdr>
                <w:top w:val="none" w:sz="0" w:space="0" w:color="auto"/>
                <w:left w:val="none" w:sz="0" w:space="0" w:color="auto"/>
                <w:bottom w:val="none" w:sz="0" w:space="0" w:color="auto"/>
                <w:right w:val="none" w:sz="0" w:space="0" w:color="auto"/>
              </w:divBdr>
            </w:div>
          </w:divsChild>
        </w:div>
        <w:div w:id="1649167766">
          <w:marLeft w:val="0"/>
          <w:marRight w:val="0"/>
          <w:marTop w:val="0"/>
          <w:marBottom w:val="0"/>
          <w:divBdr>
            <w:top w:val="none" w:sz="0" w:space="0" w:color="auto"/>
            <w:left w:val="none" w:sz="0" w:space="0" w:color="auto"/>
            <w:bottom w:val="none" w:sz="0" w:space="0" w:color="auto"/>
            <w:right w:val="none" w:sz="0" w:space="0" w:color="auto"/>
          </w:divBdr>
          <w:divsChild>
            <w:div w:id="1764060063">
              <w:marLeft w:val="0"/>
              <w:marRight w:val="0"/>
              <w:marTop w:val="0"/>
              <w:marBottom w:val="0"/>
              <w:divBdr>
                <w:top w:val="none" w:sz="0" w:space="0" w:color="auto"/>
                <w:left w:val="none" w:sz="0" w:space="0" w:color="auto"/>
                <w:bottom w:val="none" w:sz="0" w:space="0" w:color="auto"/>
                <w:right w:val="none" w:sz="0" w:space="0" w:color="auto"/>
              </w:divBdr>
            </w:div>
          </w:divsChild>
        </w:div>
        <w:div w:id="1650983423">
          <w:marLeft w:val="0"/>
          <w:marRight w:val="0"/>
          <w:marTop w:val="0"/>
          <w:marBottom w:val="0"/>
          <w:divBdr>
            <w:top w:val="none" w:sz="0" w:space="0" w:color="auto"/>
            <w:left w:val="none" w:sz="0" w:space="0" w:color="auto"/>
            <w:bottom w:val="none" w:sz="0" w:space="0" w:color="auto"/>
            <w:right w:val="none" w:sz="0" w:space="0" w:color="auto"/>
          </w:divBdr>
          <w:divsChild>
            <w:div w:id="690685188">
              <w:marLeft w:val="0"/>
              <w:marRight w:val="0"/>
              <w:marTop w:val="0"/>
              <w:marBottom w:val="0"/>
              <w:divBdr>
                <w:top w:val="none" w:sz="0" w:space="0" w:color="auto"/>
                <w:left w:val="none" w:sz="0" w:space="0" w:color="auto"/>
                <w:bottom w:val="none" w:sz="0" w:space="0" w:color="auto"/>
                <w:right w:val="none" w:sz="0" w:space="0" w:color="auto"/>
              </w:divBdr>
            </w:div>
          </w:divsChild>
        </w:div>
        <w:div w:id="1761178288">
          <w:marLeft w:val="0"/>
          <w:marRight w:val="0"/>
          <w:marTop w:val="0"/>
          <w:marBottom w:val="0"/>
          <w:divBdr>
            <w:top w:val="none" w:sz="0" w:space="0" w:color="auto"/>
            <w:left w:val="none" w:sz="0" w:space="0" w:color="auto"/>
            <w:bottom w:val="none" w:sz="0" w:space="0" w:color="auto"/>
            <w:right w:val="none" w:sz="0" w:space="0" w:color="auto"/>
          </w:divBdr>
          <w:divsChild>
            <w:div w:id="1331718481">
              <w:marLeft w:val="0"/>
              <w:marRight w:val="0"/>
              <w:marTop w:val="0"/>
              <w:marBottom w:val="0"/>
              <w:divBdr>
                <w:top w:val="none" w:sz="0" w:space="0" w:color="auto"/>
                <w:left w:val="none" w:sz="0" w:space="0" w:color="auto"/>
                <w:bottom w:val="none" w:sz="0" w:space="0" w:color="auto"/>
                <w:right w:val="none" w:sz="0" w:space="0" w:color="auto"/>
              </w:divBdr>
            </w:div>
          </w:divsChild>
        </w:div>
        <w:div w:id="1771466514">
          <w:marLeft w:val="0"/>
          <w:marRight w:val="0"/>
          <w:marTop w:val="0"/>
          <w:marBottom w:val="0"/>
          <w:divBdr>
            <w:top w:val="none" w:sz="0" w:space="0" w:color="auto"/>
            <w:left w:val="none" w:sz="0" w:space="0" w:color="auto"/>
            <w:bottom w:val="none" w:sz="0" w:space="0" w:color="auto"/>
            <w:right w:val="none" w:sz="0" w:space="0" w:color="auto"/>
          </w:divBdr>
          <w:divsChild>
            <w:div w:id="537162896">
              <w:marLeft w:val="0"/>
              <w:marRight w:val="0"/>
              <w:marTop w:val="0"/>
              <w:marBottom w:val="0"/>
              <w:divBdr>
                <w:top w:val="none" w:sz="0" w:space="0" w:color="auto"/>
                <w:left w:val="none" w:sz="0" w:space="0" w:color="auto"/>
                <w:bottom w:val="none" w:sz="0" w:space="0" w:color="auto"/>
                <w:right w:val="none" w:sz="0" w:space="0" w:color="auto"/>
              </w:divBdr>
            </w:div>
          </w:divsChild>
        </w:div>
        <w:div w:id="1824542441">
          <w:marLeft w:val="0"/>
          <w:marRight w:val="0"/>
          <w:marTop w:val="0"/>
          <w:marBottom w:val="0"/>
          <w:divBdr>
            <w:top w:val="none" w:sz="0" w:space="0" w:color="auto"/>
            <w:left w:val="none" w:sz="0" w:space="0" w:color="auto"/>
            <w:bottom w:val="none" w:sz="0" w:space="0" w:color="auto"/>
            <w:right w:val="none" w:sz="0" w:space="0" w:color="auto"/>
          </w:divBdr>
          <w:divsChild>
            <w:div w:id="2013607199">
              <w:marLeft w:val="0"/>
              <w:marRight w:val="0"/>
              <w:marTop w:val="0"/>
              <w:marBottom w:val="0"/>
              <w:divBdr>
                <w:top w:val="none" w:sz="0" w:space="0" w:color="auto"/>
                <w:left w:val="none" w:sz="0" w:space="0" w:color="auto"/>
                <w:bottom w:val="none" w:sz="0" w:space="0" w:color="auto"/>
                <w:right w:val="none" w:sz="0" w:space="0" w:color="auto"/>
              </w:divBdr>
            </w:div>
          </w:divsChild>
        </w:div>
        <w:div w:id="1852795453">
          <w:marLeft w:val="0"/>
          <w:marRight w:val="0"/>
          <w:marTop w:val="0"/>
          <w:marBottom w:val="0"/>
          <w:divBdr>
            <w:top w:val="none" w:sz="0" w:space="0" w:color="auto"/>
            <w:left w:val="none" w:sz="0" w:space="0" w:color="auto"/>
            <w:bottom w:val="none" w:sz="0" w:space="0" w:color="auto"/>
            <w:right w:val="none" w:sz="0" w:space="0" w:color="auto"/>
          </w:divBdr>
          <w:divsChild>
            <w:div w:id="589507993">
              <w:marLeft w:val="0"/>
              <w:marRight w:val="0"/>
              <w:marTop w:val="0"/>
              <w:marBottom w:val="0"/>
              <w:divBdr>
                <w:top w:val="none" w:sz="0" w:space="0" w:color="auto"/>
                <w:left w:val="none" w:sz="0" w:space="0" w:color="auto"/>
                <w:bottom w:val="none" w:sz="0" w:space="0" w:color="auto"/>
                <w:right w:val="none" w:sz="0" w:space="0" w:color="auto"/>
              </w:divBdr>
            </w:div>
          </w:divsChild>
        </w:div>
        <w:div w:id="1966886800">
          <w:marLeft w:val="0"/>
          <w:marRight w:val="0"/>
          <w:marTop w:val="0"/>
          <w:marBottom w:val="0"/>
          <w:divBdr>
            <w:top w:val="none" w:sz="0" w:space="0" w:color="auto"/>
            <w:left w:val="none" w:sz="0" w:space="0" w:color="auto"/>
            <w:bottom w:val="none" w:sz="0" w:space="0" w:color="auto"/>
            <w:right w:val="none" w:sz="0" w:space="0" w:color="auto"/>
          </w:divBdr>
          <w:divsChild>
            <w:div w:id="683938824">
              <w:marLeft w:val="0"/>
              <w:marRight w:val="0"/>
              <w:marTop w:val="0"/>
              <w:marBottom w:val="0"/>
              <w:divBdr>
                <w:top w:val="none" w:sz="0" w:space="0" w:color="auto"/>
                <w:left w:val="none" w:sz="0" w:space="0" w:color="auto"/>
                <w:bottom w:val="none" w:sz="0" w:space="0" w:color="auto"/>
                <w:right w:val="none" w:sz="0" w:space="0" w:color="auto"/>
              </w:divBdr>
            </w:div>
          </w:divsChild>
        </w:div>
        <w:div w:id="1977836982">
          <w:marLeft w:val="0"/>
          <w:marRight w:val="0"/>
          <w:marTop w:val="0"/>
          <w:marBottom w:val="0"/>
          <w:divBdr>
            <w:top w:val="none" w:sz="0" w:space="0" w:color="auto"/>
            <w:left w:val="none" w:sz="0" w:space="0" w:color="auto"/>
            <w:bottom w:val="none" w:sz="0" w:space="0" w:color="auto"/>
            <w:right w:val="none" w:sz="0" w:space="0" w:color="auto"/>
          </w:divBdr>
          <w:divsChild>
            <w:div w:id="205021360">
              <w:marLeft w:val="0"/>
              <w:marRight w:val="0"/>
              <w:marTop w:val="0"/>
              <w:marBottom w:val="0"/>
              <w:divBdr>
                <w:top w:val="none" w:sz="0" w:space="0" w:color="auto"/>
                <w:left w:val="none" w:sz="0" w:space="0" w:color="auto"/>
                <w:bottom w:val="none" w:sz="0" w:space="0" w:color="auto"/>
                <w:right w:val="none" w:sz="0" w:space="0" w:color="auto"/>
              </w:divBdr>
            </w:div>
          </w:divsChild>
        </w:div>
        <w:div w:id="2039773161">
          <w:marLeft w:val="0"/>
          <w:marRight w:val="0"/>
          <w:marTop w:val="0"/>
          <w:marBottom w:val="0"/>
          <w:divBdr>
            <w:top w:val="none" w:sz="0" w:space="0" w:color="auto"/>
            <w:left w:val="none" w:sz="0" w:space="0" w:color="auto"/>
            <w:bottom w:val="none" w:sz="0" w:space="0" w:color="auto"/>
            <w:right w:val="none" w:sz="0" w:space="0" w:color="auto"/>
          </w:divBdr>
          <w:divsChild>
            <w:div w:id="986981698">
              <w:marLeft w:val="0"/>
              <w:marRight w:val="0"/>
              <w:marTop w:val="0"/>
              <w:marBottom w:val="0"/>
              <w:divBdr>
                <w:top w:val="none" w:sz="0" w:space="0" w:color="auto"/>
                <w:left w:val="none" w:sz="0" w:space="0" w:color="auto"/>
                <w:bottom w:val="none" w:sz="0" w:space="0" w:color="auto"/>
                <w:right w:val="none" w:sz="0" w:space="0" w:color="auto"/>
              </w:divBdr>
            </w:div>
          </w:divsChild>
        </w:div>
        <w:div w:id="2041124428">
          <w:marLeft w:val="0"/>
          <w:marRight w:val="0"/>
          <w:marTop w:val="0"/>
          <w:marBottom w:val="0"/>
          <w:divBdr>
            <w:top w:val="none" w:sz="0" w:space="0" w:color="auto"/>
            <w:left w:val="none" w:sz="0" w:space="0" w:color="auto"/>
            <w:bottom w:val="none" w:sz="0" w:space="0" w:color="auto"/>
            <w:right w:val="none" w:sz="0" w:space="0" w:color="auto"/>
          </w:divBdr>
          <w:divsChild>
            <w:div w:id="1611469258">
              <w:marLeft w:val="0"/>
              <w:marRight w:val="0"/>
              <w:marTop w:val="0"/>
              <w:marBottom w:val="0"/>
              <w:divBdr>
                <w:top w:val="none" w:sz="0" w:space="0" w:color="auto"/>
                <w:left w:val="none" w:sz="0" w:space="0" w:color="auto"/>
                <w:bottom w:val="none" w:sz="0" w:space="0" w:color="auto"/>
                <w:right w:val="none" w:sz="0" w:space="0" w:color="auto"/>
              </w:divBdr>
            </w:div>
          </w:divsChild>
        </w:div>
        <w:div w:id="2070496031">
          <w:marLeft w:val="0"/>
          <w:marRight w:val="0"/>
          <w:marTop w:val="0"/>
          <w:marBottom w:val="0"/>
          <w:divBdr>
            <w:top w:val="none" w:sz="0" w:space="0" w:color="auto"/>
            <w:left w:val="none" w:sz="0" w:space="0" w:color="auto"/>
            <w:bottom w:val="none" w:sz="0" w:space="0" w:color="auto"/>
            <w:right w:val="none" w:sz="0" w:space="0" w:color="auto"/>
          </w:divBdr>
          <w:divsChild>
            <w:div w:id="1138108579">
              <w:marLeft w:val="0"/>
              <w:marRight w:val="0"/>
              <w:marTop w:val="0"/>
              <w:marBottom w:val="0"/>
              <w:divBdr>
                <w:top w:val="none" w:sz="0" w:space="0" w:color="auto"/>
                <w:left w:val="none" w:sz="0" w:space="0" w:color="auto"/>
                <w:bottom w:val="none" w:sz="0" w:space="0" w:color="auto"/>
                <w:right w:val="none" w:sz="0" w:space="0" w:color="auto"/>
              </w:divBdr>
            </w:div>
          </w:divsChild>
        </w:div>
        <w:div w:id="2135520729">
          <w:marLeft w:val="0"/>
          <w:marRight w:val="0"/>
          <w:marTop w:val="0"/>
          <w:marBottom w:val="0"/>
          <w:divBdr>
            <w:top w:val="none" w:sz="0" w:space="0" w:color="auto"/>
            <w:left w:val="none" w:sz="0" w:space="0" w:color="auto"/>
            <w:bottom w:val="none" w:sz="0" w:space="0" w:color="auto"/>
            <w:right w:val="none" w:sz="0" w:space="0" w:color="auto"/>
          </w:divBdr>
          <w:divsChild>
            <w:div w:id="1186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41946">
      <w:bodyDiv w:val="1"/>
      <w:marLeft w:val="0"/>
      <w:marRight w:val="0"/>
      <w:marTop w:val="0"/>
      <w:marBottom w:val="0"/>
      <w:divBdr>
        <w:top w:val="none" w:sz="0" w:space="0" w:color="auto"/>
        <w:left w:val="none" w:sz="0" w:space="0" w:color="auto"/>
        <w:bottom w:val="none" w:sz="0" w:space="0" w:color="auto"/>
        <w:right w:val="none" w:sz="0" w:space="0" w:color="auto"/>
      </w:divBdr>
      <w:divsChild>
        <w:div w:id="158467789">
          <w:marLeft w:val="0"/>
          <w:marRight w:val="0"/>
          <w:marTop w:val="0"/>
          <w:marBottom w:val="0"/>
          <w:divBdr>
            <w:top w:val="none" w:sz="0" w:space="0" w:color="auto"/>
            <w:left w:val="none" w:sz="0" w:space="0" w:color="auto"/>
            <w:bottom w:val="none" w:sz="0" w:space="0" w:color="auto"/>
            <w:right w:val="none" w:sz="0" w:space="0" w:color="auto"/>
          </w:divBdr>
        </w:div>
        <w:div w:id="280461131">
          <w:marLeft w:val="0"/>
          <w:marRight w:val="0"/>
          <w:marTop w:val="0"/>
          <w:marBottom w:val="0"/>
          <w:divBdr>
            <w:top w:val="none" w:sz="0" w:space="0" w:color="auto"/>
            <w:left w:val="none" w:sz="0" w:space="0" w:color="auto"/>
            <w:bottom w:val="none" w:sz="0" w:space="0" w:color="auto"/>
            <w:right w:val="none" w:sz="0" w:space="0" w:color="auto"/>
          </w:divBdr>
        </w:div>
        <w:div w:id="339162822">
          <w:marLeft w:val="0"/>
          <w:marRight w:val="0"/>
          <w:marTop w:val="0"/>
          <w:marBottom w:val="0"/>
          <w:divBdr>
            <w:top w:val="none" w:sz="0" w:space="0" w:color="auto"/>
            <w:left w:val="none" w:sz="0" w:space="0" w:color="auto"/>
            <w:bottom w:val="none" w:sz="0" w:space="0" w:color="auto"/>
            <w:right w:val="none" w:sz="0" w:space="0" w:color="auto"/>
          </w:divBdr>
        </w:div>
        <w:div w:id="347952146">
          <w:marLeft w:val="0"/>
          <w:marRight w:val="0"/>
          <w:marTop w:val="0"/>
          <w:marBottom w:val="0"/>
          <w:divBdr>
            <w:top w:val="none" w:sz="0" w:space="0" w:color="auto"/>
            <w:left w:val="none" w:sz="0" w:space="0" w:color="auto"/>
            <w:bottom w:val="none" w:sz="0" w:space="0" w:color="auto"/>
            <w:right w:val="none" w:sz="0" w:space="0" w:color="auto"/>
          </w:divBdr>
        </w:div>
        <w:div w:id="363406338">
          <w:marLeft w:val="0"/>
          <w:marRight w:val="0"/>
          <w:marTop w:val="0"/>
          <w:marBottom w:val="0"/>
          <w:divBdr>
            <w:top w:val="none" w:sz="0" w:space="0" w:color="auto"/>
            <w:left w:val="none" w:sz="0" w:space="0" w:color="auto"/>
            <w:bottom w:val="none" w:sz="0" w:space="0" w:color="auto"/>
            <w:right w:val="none" w:sz="0" w:space="0" w:color="auto"/>
          </w:divBdr>
        </w:div>
        <w:div w:id="388769257">
          <w:marLeft w:val="0"/>
          <w:marRight w:val="0"/>
          <w:marTop w:val="0"/>
          <w:marBottom w:val="0"/>
          <w:divBdr>
            <w:top w:val="none" w:sz="0" w:space="0" w:color="auto"/>
            <w:left w:val="none" w:sz="0" w:space="0" w:color="auto"/>
            <w:bottom w:val="none" w:sz="0" w:space="0" w:color="auto"/>
            <w:right w:val="none" w:sz="0" w:space="0" w:color="auto"/>
          </w:divBdr>
        </w:div>
        <w:div w:id="392896052">
          <w:marLeft w:val="0"/>
          <w:marRight w:val="0"/>
          <w:marTop w:val="0"/>
          <w:marBottom w:val="0"/>
          <w:divBdr>
            <w:top w:val="none" w:sz="0" w:space="0" w:color="auto"/>
            <w:left w:val="none" w:sz="0" w:space="0" w:color="auto"/>
            <w:bottom w:val="none" w:sz="0" w:space="0" w:color="auto"/>
            <w:right w:val="none" w:sz="0" w:space="0" w:color="auto"/>
          </w:divBdr>
        </w:div>
        <w:div w:id="583802677">
          <w:marLeft w:val="0"/>
          <w:marRight w:val="0"/>
          <w:marTop w:val="0"/>
          <w:marBottom w:val="0"/>
          <w:divBdr>
            <w:top w:val="none" w:sz="0" w:space="0" w:color="auto"/>
            <w:left w:val="none" w:sz="0" w:space="0" w:color="auto"/>
            <w:bottom w:val="none" w:sz="0" w:space="0" w:color="auto"/>
            <w:right w:val="none" w:sz="0" w:space="0" w:color="auto"/>
          </w:divBdr>
          <w:divsChild>
            <w:div w:id="179046841">
              <w:marLeft w:val="0"/>
              <w:marRight w:val="0"/>
              <w:marTop w:val="0"/>
              <w:marBottom w:val="0"/>
              <w:divBdr>
                <w:top w:val="none" w:sz="0" w:space="0" w:color="auto"/>
                <w:left w:val="none" w:sz="0" w:space="0" w:color="auto"/>
                <w:bottom w:val="none" w:sz="0" w:space="0" w:color="auto"/>
                <w:right w:val="none" w:sz="0" w:space="0" w:color="auto"/>
              </w:divBdr>
            </w:div>
            <w:div w:id="179122051">
              <w:marLeft w:val="0"/>
              <w:marRight w:val="0"/>
              <w:marTop w:val="0"/>
              <w:marBottom w:val="0"/>
              <w:divBdr>
                <w:top w:val="none" w:sz="0" w:space="0" w:color="auto"/>
                <w:left w:val="none" w:sz="0" w:space="0" w:color="auto"/>
                <w:bottom w:val="none" w:sz="0" w:space="0" w:color="auto"/>
                <w:right w:val="none" w:sz="0" w:space="0" w:color="auto"/>
              </w:divBdr>
            </w:div>
            <w:div w:id="239410859">
              <w:marLeft w:val="0"/>
              <w:marRight w:val="0"/>
              <w:marTop w:val="0"/>
              <w:marBottom w:val="0"/>
              <w:divBdr>
                <w:top w:val="none" w:sz="0" w:space="0" w:color="auto"/>
                <w:left w:val="none" w:sz="0" w:space="0" w:color="auto"/>
                <w:bottom w:val="none" w:sz="0" w:space="0" w:color="auto"/>
                <w:right w:val="none" w:sz="0" w:space="0" w:color="auto"/>
              </w:divBdr>
            </w:div>
            <w:div w:id="278801919">
              <w:marLeft w:val="0"/>
              <w:marRight w:val="0"/>
              <w:marTop w:val="0"/>
              <w:marBottom w:val="0"/>
              <w:divBdr>
                <w:top w:val="none" w:sz="0" w:space="0" w:color="auto"/>
                <w:left w:val="none" w:sz="0" w:space="0" w:color="auto"/>
                <w:bottom w:val="none" w:sz="0" w:space="0" w:color="auto"/>
                <w:right w:val="none" w:sz="0" w:space="0" w:color="auto"/>
              </w:divBdr>
            </w:div>
            <w:div w:id="415173720">
              <w:marLeft w:val="0"/>
              <w:marRight w:val="0"/>
              <w:marTop w:val="0"/>
              <w:marBottom w:val="0"/>
              <w:divBdr>
                <w:top w:val="none" w:sz="0" w:space="0" w:color="auto"/>
                <w:left w:val="none" w:sz="0" w:space="0" w:color="auto"/>
                <w:bottom w:val="none" w:sz="0" w:space="0" w:color="auto"/>
                <w:right w:val="none" w:sz="0" w:space="0" w:color="auto"/>
              </w:divBdr>
            </w:div>
            <w:div w:id="493378744">
              <w:marLeft w:val="0"/>
              <w:marRight w:val="0"/>
              <w:marTop w:val="0"/>
              <w:marBottom w:val="0"/>
              <w:divBdr>
                <w:top w:val="none" w:sz="0" w:space="0" w:color="auto"/>
                <w:left w:val="none" w:sz="0" w:space="0" w:color="auto"/>
                <w:bottom w:val="none" w:sz="0" w:space="0" w:color="auto"/>
                <w:right w:val="none" w:sz="0" w:space="0" w:color="auto"/>
              </w:divBdr>
            </w:div>
            <w:div w:id="579218202">
              <w:marLeft w:val="0"/>
              <w:marRight w:val="0"/>
              <w:marTop w:val="0"/>
              <w:marBottom w:val="0"/>
              <w:divBdr>
                <w:top w:val="none" w:sz="0" w:space="0" w:color="auto"/>
                <w:left w:val="none" w:sz="0" w:space="0" w:color="auto"/>
                <w:bottom w:val="none" w:sz="0" w:space="0" w:color="auto"/>
                <w:right w:val="none" w:sz="0" w:space="0" w:color="auto"/>
              </w:divBdr>
            </w:div>
            <w:div w:id="633147144">
              <w:marLeft w:val="0"/>
              <w:marRight w:val="0"/>
              <w:marTop w:val="0"/>
              <w:marBottom w:val="0"/>
              <w:divBdr>
                <w:top w:val="none" w:sz="0" w:space="0" w:color="auto"/>
                <w:left w:val="none" w:sz="0" w:space="0" w:color="auto"/>
                <w:bottom w:val="none" w:sz="0" w:space="0" w:color="auto"/>
                <w:right w:val="none" w:sz="0" w:space="0" w:color="auto"/>
              </w:divBdr>
            </w:div>
            <w:div w:id="659240238">
              <w:marLeft w:val="0"/>
              <w:marRight w:val="0"/>
              <w:marTop w:val="0"/>
              <w:marBottom w:val="0"/>
              <w:divBdr>
                <w:top w:val="none" w:sz="0" w:space="0" w:color="auto"/>
                <w:left w:val="none" w:sz="0" w:space="0" w:color="auto"/>
                <w:bottom w:val="none" w:sz="0" w:space="0" w:color="auto"/>
                <w:right w:val="none" w:sz="0" w:space="0" w:color="auto"/>
              </w:divBdr>
            </w:div>
            <w:div w:id="1044065750">
              <w:marLeft w:val="0"/>
              <w:marRight w:val="0"/>
              <w:marTop w:val="0"/>
              <w:marBottom w:val="0"/>
              <w:divBdr>
                <w:top w:val="none" w:sz="0" w:space="0" w:color="auto"/>
                <w:left w:val="none" w:sz="0" w:space="0" w:color="auto"/>
                <w:bottom w:val="none" w:sz="0" w:space="0" w:color="auto"/>
                <w:right w:val="none" w:sz="0" w:space="0" w:color="auto"/>
              </w:divBdr>
            </w:div>
            <w:div w:id="1113330770">
              <w:marLeft w:val="0"/>
              <w:marRight w:val="0"/>
              <w:marTop w:val="0"/>
              <w:marBottom w:val="0"/>
              <w:divBdr>
                <w:top w:val="none" w:sz="0" w:space="0" w:color="auto"/>
                <w:left w:val="none" w:sz="0" w:space="0" w:color="auto"/>
                <w:bottom w:val="none" w:sz="0" w:space="0" w:color="auto"/>
                <w:right w:val="none" w:sz="0" w:space="0" w:color="auto"/>
              </w:divBdr>
            </w:div>
            <w:div w:id="1144271473">
              <w:marLeft w:val="0"/>
              <w:marRight w:val="0"/>
              <w:marTop w:val="0"/>
              <w:marBottom w:val="0"/>
              <w:divBdr>
                <w:top w:val="none" w:sz="0" w:space="0" w:color="auto"/>
                <w:left w:val="none" w:sz="0" w:space="0" w:color="auto"/>
                <w:bottom w:val="none" w:sz="0" w:space="0" w:color="auto"/>
                <w:right w:val="none" w:sz="0" w:space="0" w:color="auto"/>
              </w:divBdr>
            </w:div>
            <w:div w:id="1431469826">
              <w:marLeft w:val="0"/>
              <w:marRight w:val="0"/>
              <w:marTop w:val="0"/>
              <w:marBottom w:val="0"/>
              <w:divBdr>
                <w:top w:val="none" w:sz="0" w:space="0" w:color="auto"/>
                <w:left w:val="none" w:sz="0" w:space="0" w:color="auto"/>
                <w:bottom w:val="none" w:sz="0" w:space="0" w:color="auto"/>
                <w:right w:val="none" w:sz="0" w:space="0" w:color="auto"/>
              </w:divBdr>
            </w:div>
            <w:div w:id="1517573149">
              <w:marLeft w:val="0"/>
              <w:marRight w:val="0"/>
              <w:marTop w:val="0"/>
              <w:marBottom w:val="0"/>
              <w:divBdr>
                <w:top w:val="none" w:sz="0" w:space="0" w:color="auto"/>
                <w:left w:val="none" w:sz="0" w:space="0" w:color="auto"/>
                <w:bottom w:val="none" w:sz="0" w:space="0" w:color="auto"/>
                <w:right w:val="none" w:sz="0" w:space="0" w:color="auto"/>
              </w:divBdr>
            </w:div>
            <w:div w:id="1656757812">
              <w:marLeft w:val="0"/>
              <w:marRight w:val="0"/>
              <w:marTop w:val="0"/>
              <w:marBottom w:val="0"/>
              <w:divBdr>
                <w:top w:val="none" w:sz="0" w:space="0" w:color="auto"/>
                <w:left w:val="none" w:sz="0" w:space="0" w:color="auto"/>
                <w:bottom w:val="none" w:sz="0" w:space="0" w:color="auto"/>
                <w:right w:val="none" w:sz="0" w:space="0" w:color="auto"/>
              </w:divBdr>
            </w:div>
            <w:div w:id="1877690325">
              <w:marLeft w:val="0"/>
              <w:marRight w:val="0"/>
              <w:marTop w:val="0"/>
              <w:marBottom w:val="0"/>
              <w:divBdr>
                <w:top w:val="none" w:sz="0" w:space="0" w:color="auto"/>
                <w:left w:val="none" w:sz="0" w:space="0" w:color="auto"/>
                <w:bottom w:val="none" w:sz="0" w:space="0" w:color="auto"/>
                <w:right w:val="none" w:sz="0" w:space="0" w:color="auto"/>
              </w:divBdr>
            </w:div>
            <w:div w:id="2147233993">
              <w:marLeft w:val="0"/>
              <w:marRight w:val="0"/>
              <w:marTop w:val="0"/>
              <w:marBottom w:val="0"/>
              <w:divBdr>
                <w:top w:val="none" w:sz="0" w:space="0" w:color="auto"/>
                <w:left w:val="none" w:sz="0" w:space="0" w:color="auto"/>
                <w:bottom w:val="none" w:sz="0" w:space="0" w:color="auto"/>
                <w:right w:val="none" w:sz="0" w:space="0" w:color="auto"/>
              </w:divBdr>
            </w:div>
          </w:divsChild>
        </w:div>
        <w:div w:id="798884621">
          <w:marLeft w:val="0"/>
          <w:marRight w:val="0"/>
          <w:marTop w:val="0"/>
          <w:marBottom w:val="0"/>
          <w:divBdr>
            <w:top w:val="none" w:sz="0" w:space="0" w:color="auto"/>
            <w:left w:val="none" w:sz="0" w:space="0" w:color="auto"/>
            <w:bottom w:val="none" w:sz="0" w:space="0" w:color="auto"/>
            <w:right w:val="none" w:sz="0" w:space="0" w:color="auto"/>
          </w:divBdr>
        </w:div>
        <w:div w:id="1037581145">
          <w:marLeft w:val="0"/>
          <w:marRight w:val="0"/>
          <w:marTop w:val="0"/>
          <w:marBottom w:val="0"/>
          <w:divBdr>
            <w:top w:val="none" w:sz="0" w:space="0" w:color="auto"/>
            <w:left w:val="none" w:sz="0" w:space="0" w:color="auto"/>
            <w:bottom w:val="none" w:sz="0" w:space="0" w:color="auto"/>
            <w:right w:val="none" w:sz="0" w:space="0" w:color="auto"/>
          </w:divBdr>
        </w:div>
        <w:div w:id="1121874354">
          <w:marLeft w:val="0"/>
          <w:marRight w:val="0"/>
          <w:marTop w:val="0"/>
          <w:marBottom w:val="0"/>
          <w:divBdr>
            <w:top w:val="none" w:sz="0" w:space="0" w:color="auto"/>
            <w:left w:val="none" w:sz="0" w:space="0" w:color="auto"/>
            <w:bottom w:val="none" w:sz="0" w:space="0" w:color="auto"/>
            <w:right w:val="none" w:sz="0" w:space="0" w:color="auto"/>
          </w:divBdr>
        </w:div>
        <w:div w:id="1123111749">
          <w:marLeft w:val="0"/>
          <w:marRight w:val="0"/>
          <w:marTop w:val="0"/>
          <w:marBottom w:val="0"/>
          <w:divBdr>
            <w:top w:val="none" w:sz="0" w:space="0" w:color="auto"/>
            <w:left w:val="none" w:sz="0" w:space="0" w:color="auto"/>
            <w:bottom w:val="none" w:sz="0" w:space="0" w:color="auto"/>
            <w:right w:val="none" w:sz="0" w:space="0" w:color="auto"/>
          </w:divBdr>
        </w:div>
        <w:div w:id="1398242432">
          <w:marLeft w:val="0"/>
          <w:marRight w:val="0"/>
          <w:marTop w:val="0"/>
          <w:marBottom w:val="0"/>
          <w:divBdr>
            <w:top w:val="none" w:sz="0" w:space="0" w:color="auto"/>
            <w:left w:val="none" w:sz="0" w:space="0" w:color="auto"/>
            <w:bottom w:val="none" w:sz="0" w:space="0" w:color="auto"/>
            <w:right w:val="none" w:sz="0" w:space="0" w:color="auto"/>
          </w:divBdr>
        </w:div>
        <w:div w:id="1563059511">
          <w:marLeft w:val="0"/>
          <w:marRight w:val="0"/>
          <w:marTop w:val="0"/>
          <w:marBottom w:val="0"/>
          <w:divBdr>
            <w:top w:val="none" w:sz="0" w:space="0" w:color="auto"/>
            <w:left w:val="none" w:sz="0" w:space="0" w:color="auto"/>
            <w:bottom w:val="none" w:sz="0" w:space="0" w:color="auto"/>
            <w:right w:val="none" w:sz="0" w:space="0" w:color="auto"/>
          </w:divBdr>
        </w:div>
        <w:div w:id="1604612004">
          <w:marLeft w:val="0"/>
          <w:marRight w:val="0"/>
          <w:marTop w:val="0"/>
          <w:marBottom w:val="0"/>
          <w:divBdr>
            <w:top w:val="none" w:sz="0" w:space="0" w:color="auto"/>
            <w:left w:val="none" w:sz="0" w:space="0" w:color="auto"/>
            <w:bottom w:val="none" w:sz="0" w:space="0" w:color="auto"/>
            <w:right w:val="none" w:sz="0" w:space="0" w:color="auto"/>
          </w:divBdr>
        </w:div>
        <w:div w:id="1696465976">
          <w:marLeft w:val="0"/>
          <w:marRight w:val="0"/>
          <w:marTop w:val="0"/>
          <w:marBottom w:val="0"/>
          <w:divBdr>
            <w:top w:val="none" w:sz="0" w:space="0" w:color="auto"/>
            <w:left w:val="none" w:sz="0" w:space="0" w:color="auto"/>
            <w:bottom w:val="none" w:sz="0" w:space="0" w:color="auto"/>
            <w:right w:val="none" w:sz="0" w:space="0" w:color="auto"/>
          </w:divBdr>
        </w:div>
        <w:div w:id="1703942566">
          <w:marLeft w:val="0"/>
          <w:marRight w:val="0"/>
          <w:marTop w:val="0"/>
          <w:marBottom w:val="0"/>
          <w:divBdr>
            <w:top w:val="none" w:sz="0" w:space="0" w:color="auto"/>
            <w:left w:val="none" w:sz="0" w:space="0" w:color="auto"/>
            <w:bottom w:val="none" w:sz="0" w:space="0" w:color="auto"/>
            <w:right w:val="none" w:sz="0" w:space="0" w:color="auto"/>
          </w:divBdr>
        </w:div>
        <w:div w:id="1717199963">
          <w:marLeft w:val="0"/>
          <w:marRight w:val="0"/>
          <w:marTop w:val="0"/>
          <w:marBottom w:val="0"/>
          <w:divBdr>
            <w:top w:val="none" w:sz="0" w:space="0" w:color="auto"/>
            <w:left w:val="none" w:sz="0" w:space="0" w:color="auto"/>
            <w:bottom w:val="none" w:sz="0" w:space="0" w:color="auto"/>
            <w:right w:val="none" w:sz="0" w:space="0" w:color="auto"/>
          </w:divBdr>
        </w:div>
        <w:div w:id="1756123607">
          <w:marLeft w:val="0"/>
          <w:marRight w:val="0"/>
          <w:marTop w:val="0"/>
          <w:marBottom w:val="0"/>
          <w:divBdr>
            <w:top w:val="none" w:sz="0" w:space="0" w:color="auto"/>
            <w:left w:val="none" w:sz="0" w:space="0" w:color="auto"/>
            <w:bottom w:val="none" w:sz="0" w:space="0" w:color="auto"/>
            <w:right w:val="none" w:sz="0" w:space="0" w:color="auto"/>
          </w:divBdr>
        </w:div>
        <w:div w:id="1846280326">
          <w:marLeft w:val="0"/>
          <w:marRight w:val="0"/>
          <w:marTop w:val="0"/>
          <w:marBottom w:val="0"/>
          <w:divBdr>
            <w:top w:val="none" w:sz="0" w:space="0" w:color="auto"/>
            <w:left w:val="none" w:sz="0" w:space="0" w:color="auto"/>
            <w:bottom w:val="none" w:sz="0" w:space="0" w:color="auto"/>
            <w:right w:val="none" w:sz="0" w:space="0" w:color="auto"/>
          </w:divBdr>
        </w:div>
        <w:div w:id="2082755985">
          <w:marLeft w:val="0"/>
          <w:marRight w:val="0"/>
          <w:marTop w:val="0"/>
          <w:marBottom w:val="0"/>
          <w:divBdr>
            <w:top w:val="none" w:sz="0" w:space="0" w:color="auto"/>
            <w:left w:val="none" w:sz="0" w:space="0" w:color="auto"/>
            <w:bottom w:val="none" w:sz="0" w:space="0" w:color="auto"/>
            <w:right w:val="none" w:sz="0" w:space="0" w:color="auto"/>
          </w:divBdr>
        </w:div>
      </w:divsChild>
    </w:div>
    <w:div w:id="1400245653">
      <w:bodyDiv w:val="1"/>
      <w:marLeft w:val="0"/>
      <w:marRight w:val="0"/>
      <w:marTop w:val="0"/>
      <w:marBottom w:val="0"/>
      <w:divBdr>
        <w:top w:val="none" w:sz="0" w:space="0" w:color="auto"/>
        <w:left w:val="none" w:sz="0" w:space="0" w:color="auto"/>
        <w:bottom w:val="none" w:sz="0" w:space="0" w:color="auto"/>
        <w:right w:val="none" w:sz="0" w:space="0" w:color="auto"/>
      </w:divBdr>
    </w:div>
    <w:div w:id="1417092740">
      <w:bodyDiv w:val="1"/>
      <w:marLeft w:val="0"/>
      <w:marRight w:val="0"/>
      <w:marTop w:val="0"/>
      <w:marBottom w:val="0"/>
      <w:divBdr>
        <w:top w:val="none" w:sz="0" w:space="0" w:color="auto"/>
        <w:left w:val="none" w:sz="0" w:space="0" w:color="auto"/>
        <w:bottom w:val="none" w:sz="0" w:space="0" w:color="auto"/>
        <w:right w:val="none" w:sz="0" w:space="0" w:color="auto"/>
      </w:divBdr>
      <w:divsChild>
        <w:div w:id="724262273">
          <w:marLeft w:val="0"/>
          <w:marRight w:val="0"/>
          <w:marTop w:val="0"/>
          <w:marBottom w:val="0"/>
          <w:divBdr>
            <w:top w:val="none" w:sz="0" w:space="0" w:color="auto"/>
            <w:left w:val="none" w:sz="0" w:space="0" w:color="auto"/>
            <w:bottom w:val="none" w:sz="0" w:space="0" w:color="auto"/>
            <w:right w:val="none" w:sz="0" w:space="0" w:color="auto"/>
          </w:divBdr>
        </w:div>
        <w:div w:id="744032948">
          <w:marLeft w:val="0"/>
          <w:marRight w:val="0"/>
          <w:marTop w:val="0"/>
          <w:marBottom w:val="0"/>
          <w:divBdr>
            <w:top w:val="none" w:sz="0" w:space="0" w:color="auto"/>
            <w:left w:val="none" w:sz="0" w:space="0" w:color="auto"/>
            <w:bottom w:val="none" w:sz="0" w:space="0" w:color="auto"/>
            <w:right w:val="none" w:sz="0" w:space="0" w:color="auto"/>
          </w:divBdr>
        </w:div>
        <w:div w:id="1257401146">
          <w:marLeft w:val="0"/>
          <w:marRight w:val="0"/>
          <w:marTop w:val="0"/>
          <w:marBottom w:val="0"/>
          <w:divBdr>
            <w:top w:val="none" w:sz="0" w:space="0" w:color="auto"/>
            <w:left w:val="none" w:sz="0" w:space="0" w:color="auto"/>
            <w:bottom w:val="none" w:sz="0" w:space="0" w:color="auto"/>
            <w:right w:val="none" w:sz="0" w:space="0" w:color="auto"/>
          </w:divBdr>
        </w:div>
      </w:divsChild>
    </w:div>
    <w:div w:id="1478453149">
      <w:bodyDiv w:val="1"/>
      <w:marLeft w:val="0"/>
      <w:marRight w:val="0"/>
      <w:marTop w:val="0"/>
      <w:marBottom w:val="0"/>
      <w:divBdr>
        <w:top w:val="none" w:sz="0" w:space="0" w:color="auto"/>
        <w:left w:val="none" w:sz="0" w:space="0" w:color="auto"/>
        <w:bottom w:val="none" w:sz="0" w:space="0" w:color="auto"/>
        <w:right w:val="none" w:sz="0" w:space="0" w:color="auto"/>
      </w:divBdr>
      <w:divsChild>
        <w:div w:id="15156116">
          <w:marLeft w:val="0"/>
          <w:marRight w:val="0"/>
          <w:marTop w:val="0"/>
          <w:marBottom w:val="0"/>
          <w:divBdr>
            <w:top w:val="none" w:sz="0" w:space="0" w:color="auto"/>
            <w:left w:val="none" w:sz="0" w:space="0" w:color="auto"/>
            <w:bottom w:val="none" w:sz="0" w:space="0" w:color="auto"/>
            <w:right w:val="none" w:sz="0" w:space="0" w:color="auto"/>
          </w:divBdr>
          <w:divsChild>
            <w:div w:id="352154051">
              <w:marLeft w:val="0"/>
              <w:marRight w:val="0"/>
              <w:marTop w:val="0"/>
              <w:marBottom w:val="0"/>
              <w:divBdr>
                <w:top w:val="none" w:sz="0" w:space="0" w:color="auto"/>
                <w:left w:val="none" w:sz="0" w:space="0" w:color="auto"/>
                <w:bottom w:val="none" w:sz="0" w:space="0" w:color="auto"/>
                <w:right w:val="none" w:sz="0" w:space="0" w:color="auto"/>
              </w:divBdr>
            </w:div>
          </w:divsChild>
        </w:div>
        <w:div w:id="48499458">
          <w:marLeft w:val="0"/>
          <w:marRight w:val="0"/>
          <w:marTop w:val="0"/>
          <w:marBottom w:val="0"/>
          <w:divBdr>
            <w:top w:val="none" w:sz="0" w:space="0" w:color="auto"/>
            <w:left w:val="none" w:sz="0" w:space="0" w:color="auto"/>
            <w:bottom w:val="none" w:sz="0" w:space="0" w:color="auto"/>
            <w:right w:val="none" w:sz="0" w:space="0" w:color="auto"/>
          </w:divBdr>
          <w:divsChild>
            <w:div w:id="1386367258">
              <w:marLeft w:val="0"/>
              <w:marRight w:val="0"/>
              <w:marTop w:val="0"/>
              <w:marBottom w:val="0"/>
              <w:divBdr>
                <w:top w:val="none" w:sz="0" w:space="0" w:color="auto"/>
                <w:left w:val="none" w:sz="0" w:space="0" w:color="auto"/>
                <w:bottom w:val="none" w:sz="0" w:space="0" w:color="auto"/>
                <w:right w:val="none" w:sz="0" w:space="0" w:color="auto"/>
              </w:divBdr>
            </w:div>
          </w:divsChild>
        </w:div>
        <w:div w:id="51122774">
          <w:marLeft w:val="0"/>
          <w:marRight w:val="0"/>
          <w:marTop w:val="0"/>
          <w:marBottom w:val="0"/>
          <w:divBdr>
            <w:top w:val="none" w:sz="0" w:space="0" w:color="auto"/>
            <w:left w:val="none" w:sz="0" w:space="0" w:color="auto"/>
            <w:bottom w:val="none" w:sz="0" w:space="0" w:color="auto"/>
            <w:right w:val="none" w:sz="0" w:space="0" w:color="auto"/>
          </w:divBdr>
          <w:divsChild>
            <w:div w:id="1111708207">
              <w:marLeft w:val="0"/>
              <w:marRight w:val="0"/>
              <w:marTop w:val="0"/>
              <w:marBottom w:val="0"/>
              <w:divBdr>
                <w:top w:val="none" w:sz="0" w:space="0" w:color="auto"/>
                <w:left w:val="none" w:sz="0" w:space="0" w:color="auto"/>
                <w:bottom w:val="none" w:sz="0" w:space="0" w:color="auto"/>
                <w:right w:val="none" w:sz="0" w:space="0" w:color="auto"/>
              </w:divBdr>
            </w:div>
          </w:divsChild>
        </w:div>
        <w:div w:id="69356349">
          <w:marLeft w:val="0"/>
          <w:marRight w:val="0"/>
          <w:marTop w:val="0"/>
          <w:marBottom w:val="0"/>
          <w:divBdr>
            <w:top w:val="none" w:sz="0" w:space="0" w:color="auto"/>
            <w:left w:val="none" w:sz="0" w:space="0" w:color="auto"/>
            <w:bottom w:val="none" w:sz="0" w:space="0" w:color="auto"/>
            <w:right w:val="none" w:sz="0" w:space="0" w:color="auto"/>
          </w:divBdr>
          <w:divsChild>
            <w:div w:id="1111969594">
              <w:marLeft w:val="0"/>
              <w:marRight w:val="0"/>
              <w:marTop w:val="0"/>
              <w:marBottom w:val="0"/>
              <w:divBdr>
                <w:top w:val="none" w:sz="0" w:space="0" w:color="auto"/>
                <w:left w:val="none" w:sz="0" w:space="0" w:color="auto"/>
                <w:bottom w:val="none" w:sz="0" w:space="0" w:color="auto"/>
                <w:right w:val="none" w:sz="0" w:space="0" w:color="auto"/>
              </w:divBdr>
            </w:div>
          </w:divsChild>
        </w:div>
        <w:div w:id="116680365">
          <w:marLeft w:val="0"/>
          <w:marRight w:val="0"/>
          <w:marTop w:val="0"/>
          <w:marBottom w:val="0"/>
          <w:divBdr>
            <w:top w:val="none" w:sz="0" w:space="0" w:color="auto"/>
            <w:left w:val="none" w:sz="0" w:space="0" w:color="auto"/>
            <w:bottom w:val="none" w:sz="0" w:space="0" w:color="auto"/>
            <w:right w:val="none" w:sz="0" w:space="0" w:color="auto"/>
          </w:divBdr>
          <w:divsChild>
            <w:div w:id="672269629">
              <w:marLeft w:val="0"/>
              <w:marRight w:val="0"/>
              <w:marTop w:val="0"/>
              <w:marBottom w:val="0"/>
              <w:divBdr>
                <w:top w:val="none" w:sz="0" w:space="0" w:color="auto"/>
                <w:left w:val="none" w:sz="0" w:space="0" w:color="auto"/>
                <w:bottom w:val="none" w:sz="0" w:space="0" w:color="auto"/>
                <w:right w:val="none" w:sz="0" w:space="0" w:color="auto"/>
              </w:divBdr>
            </w:div>
          </w:divsChild>
        </w:div>
        <w:div w:id="117573668">
          <w:marLeft w:val="0"/>
          <w:marRight w:val="0"/>
          <w:marTop w:val="0"/>
          <w:marBottom w:val="0"/>
          <w:divBdr>
            <w:top w:val="none" w:sz="0" w:space="0" w:color="auto"/>
            <w:left w:val="none" w:sz="0" w:space="0" w:color="auto"/>
            <w:bottom w:val="none" w:sz="0" w:space="0" w:color="auto"/>
            <w:right w:val="none" w:sz="0" w:space="0" w:color="auto"/>
          </w:divBdr>
          <w:divsChild>
            <w:div w:id="2063865694">
              <w:marLeft w:val="0"/>
              <w:marRight w:val="0"/>
              <w:marTop w:val="0"/>
              <w:marBottom w:val="0"/>
              <w:divBdr>
                <w:top w:val="none" w:sz="0" w:space="0" w:color="auto"/>
                <w:left w:val="none" w:sz="0" w:space="0" w:color="auto"/>
                <w:bottom w:val="none" w:sz="0" w:space="0" w:color="auto"/>
                <w:right w:val="none" w:sz="0" w:space="0" w:color="auto"/>
              </w:divBdr>
            </w:div>
          </w:divsChild>
        </w:div>
        <w:div w:id="118644268">
          <w:marLeft w:val="0"/>
          <w:marRight w:val="0"/>
          <w:marTop w:val="0"/>
          <w:marBottom w:val="0"/>
          <w:divBdr>
            <w:top w:val="none" w:sz="0" w:space="0" w:color="auto"/>
            <w:left w:val="none" w:sz="0" w:space="0" w:color="auto"/>
            <w:bottom w:val="none" w:sz="0" w:space="0" w:color="auto"/>
            <w:right w:val="none" w:sz="0" w:space="0" w:color="auto"/>
          </w:divBdr>
          <w:divsChild>
            <w:div w:id="1987974816">
              <w:marLeft w:val="0"/>
              <w:marRight w:val="0"/>
              <w:marTop w:val="0"/>
              <w:marBottom w:val="0"/>
              <w:divBdr>
                <w:top w:val="none" w:sz="0" w:space="0" w:color="auto"/>
                <w:left w:val="none" w:sz="0" w:space="0" w:color="auto"/>
                <w:bottom w:val="none" w:sz="0" w:space="0" w:color="auto"/>
                <w:right w:val="none" w:sz="0" w:space="0" w:color="auto"/>
              </w:divBdr>
            </w:div>
          </w:divsChild>
        </w:div>
        <w:div w:id="126704395">
          <w:marLeft w:val="0"/>
          <w:marRight w:val="0"/>
          <w:marTop w:val="0"/>
          <w:marBottom w:val="0"/>
          <w:divBdr>
            <w:top w:val="none" w:sz="0" w:space="0" w:color="auto"/>
            <w:left w:val="none" w:sz="0" w:space="0" w:color="auto"/>
            <w:bottom w:val="none" w:sz="0" w:space="0" w:color="auto"/>
            <w:right w:val="none" w:sz="0" w:space="0" w:color="auto"/>
          </w:divBdr>
          <w:divsChild>
            <w:div w:id="1059403436">
              <w:marLeft w:val="0"/>
              <w:marRight w:val="0"/>
              <w:marTop w:val="0"/>
              <w:marBottom w:val="0"/>
              <w:divBdr>
                <w:top w:val="none" w:sz="0" w:space="0" w:color="auto"/>
                <w:left w:val="none" w:sz="0" w:space="0" w:color="auto"/>
                <w:bottom w:val="none" w:sz="0" w:space="0" w:color="auto"/>
                <w:right w:val="none" w:sz="0" w:space="0" w:color="auto"/>
              </w:divBdr>
            </w:div>
          </w:divsChild>
        </w:div>
        <w:div w:id="146552984">
          <w:marLeft w:val="0"/>
          <w:marRight w:val="0"/>
          <w:marTop w:val="0"/>
          <w:marBottom w:val="0"/>
          <w:divBdr>
            <w:top w:val="none" w:sz="0" w:space="0" w:color="auto"/>
            <w:left w:val="none" w:sz="0" w:space="0" w:color="auto"/>
            <w:bottom w:val="none" w:sz="0" w:space="0" w:color="auto"/>
            <w:right w:val="none" w:sz="0" w:space="0" w:color="auto"/>
          </w:divBdr>
          <w:divsChild>
            <w:div w:id="1407263189">
              <w:marLeft w:val="0"/>
              <w:marRight w:val="0"/>
              <w:marTop w:val="0"/>
              <w:marBottom w:val="0"/>
              <w:divBdr>
                <w:top w:val="none" w:sz="0" w:space="0" w:color="auto"/>
                <w:left w:val="none" w:sz="0" w:space="0" w:color="auto"/>
                <w:bottom w:val="none" w:sz="0" w:space="0" w:color="auto"/>
                <w:right w:val="none" w:sz="0" w:space="0" w:color="auto"/>
              </w:divBdr>
            </w:div>
          </w:divsChild>
        </w:div>
        <w:div w:id="187641153">
          <w:marLeft w:val="0"/>
          <w:marRight w:val="0"/>
          <w:marTop w:val="0"/>
          <w:marBottom w:val="0"/>
          <w:divBdr>
            <w:top w:val="none" w:sz="0" w:space="0" w:color="auto"/>
            <w:left w:val="none" w:sz="0" w:space="0" w:color="auto"/>
            <w:bottom w:val="none" w:sz="0" w:space="0" w:color="auto"/>
            <w:right w:val="none" w:sz="0" w:space="0" w:color="auto"/>
          </w:divBdr>
          <w:divsChild>
            <w:div w:id="1694110631">
              <w:marLeft w:val="0"/>
              <w:marRight w:val="0"/>
              <w:marTop w:val="0"/>
              <w:marBottom w:val="0"/>
              <w:divBdr>
                <w:top w:val="none" w:sz="0" w:space="0" w:color="auto"/>
                <w:left w:val="none" w:sz="0" w:space="0" w:color="auto"/>
                <w:bottom w:val="none" w:sz="0" w:space="0" w:color="auto"/>
                <w:right w:val="none" w:sz="0" w:space="0" w:color="auto"/>
              </w:divBdr>
            </w:div>
          </w:divsChild>
        </w:div>
        <w:div w:id="245263017">
          <w:marLeft w:val="0"/>
          <w:marRight w:val="0"/>
          <w:marTop w:val="0"/>
          <w:marBottom w:val="0"/>
          <w:divBdr>
            <w:top w:val="none" w:sz="0" w:space="0" w:color="auto"/>
            <w:left w:val="none" w:sz="0" w:space="0" w:color="auto"/>
            <w:bottom w:val="none" w:sz="0" w:space="0" w:color="auto"/>
            <w:right w:val="none" w:sz="0" w:space="0" w:color="auto"/>
          </w:divBdr>
          <w:divsChild>
            <w:div w:id="1619943701">
              <w:marLeft w:val="0"/>
              <w:marRight w:val="0"/>
              <w:marTop w:val="0"/>
              <w:marBottom w:val="0"/>
              <w:divBdr>
                <w:top w:val="none" w:sz="0" w:space="0" w:color="auto"/>
                <w:left w:val="none" w:sz="0" w:space="0" w:color="auto"/>
                <w:bottom w:val="none" w:sz="0" w:space="0" w:color="auto"/>
                <w:right w:val="none" w:sz="0" w:space="0" w:color="auto"/>
              </w:divBdr>
            </w:div>
          </w:divsChild>
        </w:div>
        <w:div w:id="263075280">
          <w:marLeft w:val="0"/>
          <w:marRight w:val="0"/>
          <w:marTop w:val="0"/>
          <w:marBottom w:val="0"/>
          <w:divBdr>
            <w:top w:val="none" w:sz="0" w:space="0" w:color="auto"/>
            <w:left w:val="none" w:sz="0" w:space="0" w:color="auto"/>
            <w:bottom w:val="none" w:sz="0" w:space="0" w:color="auto"/>
            <w:right w:val="none" w:sz="0" w:space="0" w:color="auto"/>
          </w:divBdr>
          <w:divsChild>
            <w:div w:id="874074435">
              <w:marLeft w:val="0"/>
              <w:marRight w:val="0"/>
              <w:marTop w:val="0"/>
              <w:marBottom w:val="0"/>
              <w:divBdr>
                <w:top w:val="none" w:sz="0" w:space="0" w:color="auto"/>
                <w:left w:val="none" w:sz="0" w:space="0" w:color="auto"/>
                <w:bottom w:val="none" w:sz="0" w:space="0" w:color="auto"/>
                <w:right w:val="none" w:sz="0" w:space="0" w:color="auto"/>
              </w:divBdr>
            </w:div>
          </w:divsChild>
        </w:div>
        <w:div w:id="281545310">
          <w:marLeft w:val="0"/>
          <w:marRight w:val="0"/>
          <w:marTop w:val="0"/>
          <w:marBottom w:val="0"/>
          <w:divBdr>
            <w:top w:val="none" w:sz="0" w:space="0" w:color="auto"/>
            <w:left w:val="none" w:sz="0" w:space="0" w:color="auto"/>
            <w:bottom w:val="none" w:sz="0" w:space="0" w:color="auto"/>
            <w:right w:val="none" w:sz="0" w:space="0" w:color="auto"/>
          </w:divBdr>
          <w:divsChild>
            <w:div w:id="559679062">
              <w:marLeft w:val="0"/>
              <w:marRight w:val="0"/>
              <w:marTop w:val="0"/>
              <w:marBottom w:val="0"/>
              <w:divBdr>
                <w:top w:val="none" w:sz="0" w:space="0" w:color="auto"/>
                <w:left w:val="none" w:sz="0" w:space="0" w:color="auto"/>
                <w:bottom w:val="none" w:sz="0" w:space="0" w:color="auto"/>
                <w:right w:val="none" w:sz="0" w:space="0" w:color="auto"/>
              </w:divBdr>
            </w:div>
          </w:divsChild>
        </w:div>
        <w:div w:id="402290456">
          <w:marLeft w:val="0"/>
          <w:marRight w:val="0"/>
          <w:marTop w:val="0"/>
          <w:marBottom w:val="0"/>
          <w:divBdr>
            <w:top w:val="none" w:sz="0" w:space="0" w:color="auto"/>
            <w:left w:val="none" w:sz="0" w:space="0" w:color="auto"/>
            <w:bottom w:val="none" w:sz="0" w:space="0" w:color="auto"/>
            <w:right w:val="none" w:sz="0" w:space="0" w:color="auto"/>
          </w:divBdr>
          <w:divsChild>
            <w:div w:id="1178693597">
              <w:marLeft w:val="0"/>
              <w:marRight w:val="0"/>
              <w:marTop w:val="0"/>
              <w:marBottom w:val="0"/>
              <w:divBdr>
                <w:top w:val="none" w:sz="0" w:space="0" w:color="auto"/>
                <w:left w:val="none" w:sz="0" w:space="0" w:color="auto"/>
                <w:bottom w:val="none" w:sz="0" w:space="0" w:color="auto"/>
                <w:right w:val="none" w:sz="0" w:space="0" w:color="auto"/>
              </w:divBdr>
            </w:div>
          </w:divsChild>
        </w:div>
        <w:div w:id="421340739">
          <w:marLeft w:val="0"/>
          <w:marRight w:val="0"/>
          <w:marTop w:val="0"/>
          <w:marBottom w:val="0"/>
          <w:divBdr>
            <w:top w:val="none" w:sz="0" w:space="0" w:color="auto"/>
            <w:left w:val="none" w:sz="0" w:space="0" w:color="auto"/>
            <w:bottom w:val="none" w:sz="0" w:space="0" w:color="auto"/>
            <w:right w:val="none" w:sz="0" w:space="0" w:color="auto"/>
          </w:divBdr>
          <w:divsChild>
            <w:div w:id="135924921">
              <w:marLeft w:val="0"/>
              <w:marRight w:val="0"/>
              <w:marTop w:val="0"/>
              <w:marBottom w:val="0"/>
              <w:divBdr>
                <w:top w:val="none" w:sz="0" w:space="0" w:color="auto"/>
                <w:left w:val="none" w:sz="0" w:space="0" w:color="auto"/>
                <w:bottom w:val="none" w:sz="0" w:space="0" w:color="auto"/>
                <w:right w:val="none" w:sz="0" w:space="0" w:color="auto"/>
              </w:divBdr>
            </w:div>
          </w:divsChild>
        </w:div>
        <w:div w:id="489564785">
          <w:marLeft w:val="0"/>
          <w:marRight w:val="0"/>
          <w:marTop w:val="0"/>
          <w:marBottom w:val="0"/>
          <w:divBdr>
            <w:top w:val="none" w:sz="0" w:space="0" w:color="auto"/>
            <w:left w:val="none" w:sz="0" w:space="0" w:color="auto"/>
            <w:bottom w:val="none" w:sz="0" w:space="0" w:color="auto"/>
            <w:right w:val="none" w:sz="0" w:space="0" w:color="auto"/>
          </w:divBdr>
          <w:divsChild>
            <w:div w:id="1872262993">
              <w:marLeft w:val="0"/>
              <w:marRight w:val="0"/>
              <w:marTop w:val="0"/>
              <w:marBottom w:val="0"/>
              <w:divBdr>
                <w:top w:val="none" w:sz="0" w:space="0" w:color="auto"/>
                <w:left w:val="none" w:sz="0" w:space="0" w:color="auto"/>
                <w:bottom w:val="none" w:sz="0" w:space="0" w:color="auto"/>
                <w:right w:val="none" w:sz="0" w:space="0" w:color="auto"/>
              </w:divBdr>
            </w:div>
          </w:divsChild>
        </w:div>
        <w:div w:id="490830942">
          <w:marLeft w:val="0"/>
          <w:marRight w:val="0"/>
          <w:marTop w:val="0"/>
          <w:marBottom w:val="0"/>
          <w:divBdr>
            <w:top w:val="none" w:sz="0" w:space="0" w:color="auto"/>
            <w:left w:val="none" w:sz="0" w:space="0" w:color="auto"/>
            <w:bottom w:val="none" w:sz="0" w:space="0" w:color="auto"/>
            <w:right w:val="none" w:sz="0" w:space="0" w:color="auto"/>
          </w:divBdr>
          <w:divsChild>
            <w:div w:id="279990682">
              <w:marLeft w:val="0"/>
              <w:marRight w:val="0"/>
              <w:marTop w:val="0"/>
              <w:marBottom w:val="0"/>
              <w:divBdr>
                <w:top w:val="none" w:sz="0" w:space="0" w:color="auto"/>
                <w:left w:val="none" w:sz="0" w:space="0" w:color="auto"/>
                <w:bottom w:val="none" w:sz="0" w:space="0" w:color="auto"/>
                <w:right w:val="none" w:sz="0" w:space="0" w:color="auto"/>
              </w:divBdr>
            </w:div>
          </w:divsChild>
        </w:div>
        <w:div w:id="495533377">
          <w:marLeft w:val="0"/>
          <w:marRight w:val="0"/>
          <w:marTop w:val="0"/>
          <w:marBottom w:val="0"/>
          <w:divBdr>
            <w:top w:val="none" w:sz="0" w:space="0" w:color="auto"/>
            <w:left w:val="none" w:sz="0" w:space="0" w:color="auto"/>
            <w:bottom w:val="none" w:sz="0" w:space="0" w:color="auto"/>
            <w:right w:val="none" w:sz="0" w:space="0" w:color="auto"/>
          </w:divBdr>
          <w:divsChild>
            <w:div w:id="1759868270">
              <w:marLeft w:val="0"/>
              <w:marRight w:val="0"/>
              <w:marTop w:val="0"/>
              <w:marBottom w:val="0"/>
              <w:divBdr>
                <w:top w:val="none" w:sz="0" w:space="0" w:color="auto"/>
                <w:left w:val="none" w:sz="0" w:space="0" w:color="auto"/>
                <w:bottom w:val="none" w:sz="0" w:space="0" w:color="auto"/>
                <w:right w:val="none" w:sz="0" w:space="0" w:color="auto"/>
              </w:divBdr>
            </w:div>
          </w:divsChild>
        </w:div>
        <w:div w:id="495997365">
          <w:marLeft w:val="0"/>
          <w:marRight w:val="0"/>
          <w:marTop w:val="0"/>
          <w:marBottom w:val="0"/>
          <w:divBdr>
            <w:top w:val="none" w:sz="0" w:space="0" w:color="auto"/>
            <w:left w:val="none" w:sz="0" w:space="0" w:color="auto"/>
            <w:bottom w:val="none" w:sz="0" w:space="0" w:color="auto"/>
            <w:right w:val="none" w:sz="0" w:space="0" w:color="auto"/>
          </w:divBdr>
          <w:divsChild>
            <w:div w:id="604965512">
              <w:marLeft w:val="0"/>
              <w:marRight w:val="0"/>
              <w:marTop w:val="0"/>
              <w:marBottom w:val="0"/>
              <w:divBdr>
                <w:top w:val="none" w:sz="0" w:space="0" w:color="auto"/>
                <w:left w:val="none" w:sz="0" w:space="0" w:color="auto"/>
                <w:bottom w:val="none" w:sz="0" w:space="0" w:color="auto"/>
                <w:right w:val="none" w:sz="0" w:space="0" w:color="auto"/>
              </w:divBdr>
            </w:div>
          </w:divsChild>
        </w:div>
        <w:div w:id="510605852">
          <w:marLeft w:val="0"/>
          <w:marRight w:val="0"/>
          <w:marTop w:val="0"/>
          <w:marBottom w:val="0"/>
          <w:divBdr>
            <w:top w:val="none" w:sz="0" w:space="0" w:color="auto"/>
            <w:left w:val="none" w:sz="0" w:space="0" w:color="auto"/>
            <w:bottom w:val="none" w:sz="0" w:space="0" w:color="auto"/>
            <w:right w:val="none" w:sz="0" w:space="0" w:color="auto"/>
          </w:divBdr>
          <w:divsChild>
            <w:div w:id="208764604">
              <w:marLeft w:val="0"/>
              <w:marRight w:val="0"/>
              <w:marTop w:val="0"/>
              <w:marBottom w:val="0"/>
              <w:divBdr>
                <w:top w:val="none" w:sz="0" w:space="0" w:color="auto"/>
                <w:left w:val="none" w:sz="0" w:space="0" w:color="auto"/>
                <w:bottom w:val="none" w:sz="0" w:space="0" w:color="auto"/>
                <w:right w:val="none" w:sz="0" w:space="0" w:color="auto"/>
              </w:divBdr>
            </w:div>
          </w:divsChild>
        </w:div>
        <w:div w:id="532693486">
          <w:marLeft w:val="0"/>
          <w:marRight w:val="0"/>
          <w:marTop w:val="0"/>
          <w:marBottom w:val="0"/>
          <w:divBdr>
            <w:top w:val="none" w:sz="0" w:space="0" w:color="auto"/>
            <w:left w:val="none" w:sz="0" w:space="0" w:color="auto"/>
            <w:bottom w:val="none" w:sz="0" w:space="0" w:color="auto"/>
            <w:right w:val="none" w:sz="0" w:space="0" w:color="auto"/>
          </w:divBdr>
          <w:divsChild>
            <w:div w:id="188420421">
              <w:marLeft w:val="0"/>
              <w:marRight w:val="0"/>
              <w:marTop w:val="0"/>
              <w:marBottom w:val="0"/>
              <w:divBdr>
                <w:top w:val="none" w:sz="0" w:space="0" w:color="auto"/>
                <w:left w:val="none" w:sz="0" w:space="0" w:color="auto"/>
                <w:bottom w:val="none" w:sz="0" w:space="0" w:color="auto"/>
                <w:right w:val="none" w:sz="0" w:space="0" w:color="auto"/>
              </w:divBdr>
            </w:div>
          </w:divsChild>
        </w:div>
        <w:div w:id="559753909">
          <w:marLeft w:val="0"/>
          <w:marRight w:val="0"/>
          <w:marTop w:val="0"/>
          <w:marBottom w:val="0"/>
          <w:divBdr>
            <w:top w:val="none" w:sz="0" w:space="0" w:color="auto"/>
            <w:left w:val="none" w:sz="0" w:space="0" w:color="auto"/>
            <w:bottom w:val="none" w:sz="0" w:space="0" w:color="auto"/>
            <w:right w:val="none" w:sz="0" w:space="0" w:color="auto"/>
          </w:divBdr>
          <w:divsChild>
            <w:div w:id="1315374261">
              <w:marLeft w:val="0"/>
              <w:marRight w:val="0"/>
              <w:marTop w:val="0"/>
              <w:marBottom w:val="0"/>
              <w:divBdr>
                <w:top w:val="none" w:sz="0" w:space="0" w:color="auto"/>
                <w:left w:val="none" w:sz="0" w:space="0" w:color="auto"/>
                <w:bottom w:val="none" w:sz="0" w:space="0" w:color="auto"/>
                <w:right w:val="none" w:sz="0" w:space="0" w:color="auto"/>
              </w:divBdr>
            </w:div>
          </w:divsChild>
        </w:div>
        <w:div w:id="573859148">
          <w:marLeft w:val="0"/>
          <w:marRight w:val="0"/>
          <w:marTop w:val="0"/>
          <w:marBottom w:val="0"/>
          <w:divBdr>
            <w:top w:val="none" w:sz="0" w:space="0" w:color="auto"/>
            <w:left w:val="none" w:sz="0" w:space="0" w:color="auto"/>
            <w:bottom w:val="none" w:sz="0" w:space="0" w:color="auto"/>
            <w:right w:val="none" w:sz="0" w:space="0" w:color="auto"/>
          </w:divBdr>
          <w:divsChild>
            <w:div w:id="1565869592">
              <w:marLeft w:val="0"/>
              <w:marRight w:val="0"/>
              <w:marTop w:val="0"/>
              <w:marBottom w:val="0"/>
              <w:divBdr>
                <w:top w:val="none" w:sz="0" w:space="0" w:color="auto"/>
                <w:left w:val="none" w:sz="0" w:space="0" w:color="auto"/>
                <w:bottom w:val="none" w:sz="0" w:space="0" w:color="auto"/>
                <w:right w:val="none" w:sz="0" w:space="0" w:color="auto"/>
              </w:divBdr>
            </w:div>
          </w:divsChild>
        </w:div>
        <w:div w:id="614140941">
          <w:marLeft w:val="0"/>
          <w:marRight w:val="0"/>
          <w:marTop w:val="0"/>
          <w:marBottom w:val="0"/>
          <w:divBdr>
            <w:top w:val="none" w:sz="0" w:space="0" w:color="auto"/>
            <w:left w:val="none" w:sz="0" w:space="0" w:color="auto"/>
            <w:bottom w:val="none" w:sz="0" w:space="0" w:color="auto"/>
            <w:right w:val="none" w:sz="0" w:space="0" w:color="auto"/>
          </w:divBdr>
          <w:divsChild>
            <w:div w:id="536355596">
              <w:marLeft w:val="0"/>
              <w:marRight w:val="0"/>
              <w:marTop w:val="0"/>
              <w:marBottom w:val="0"/>
              <w:divBdr>
                <w:top w:val="none" w:sz="0" w:space="0" w:color="auto"/>
                <w:left w:val="none" w:sz="0" w:space="0" w:color="auto"/>
                <w:bottom w:val="none" w:sz="0" w:space="0" w:color="auto"/>
                <w:right w:val="none" w:sz="0" w:space="0" w:color="auto"/>
              </w:divBdr>
            </w:div>
          </w:divsChild>
        </w:div>
        <w:div w:id="618606065">
          <w:marLeft w:val="0"/>
          <w:marRight w:val="0"/>
          <w:marTop w:val="0"/>
          <w:marBottom w:val="0"/>
          <w:divBdr>
            <w:top w:val="none" w:sz="0" w:space="0" w:color="auto"/>
            <w:left w:val="none" w:sz="0" w:space="0" w:color="auto"/>
            <w:bottom w:val="none" w:sz="0" w:space="0" w:color="auto"/>
            <w:right w:val="none" w:sz="0" w:space="0" w:color="auto"/>
          </w:divBdr>
          <w:divsChild>
            <w:div w:id="1531793708">
              <w:marLeft w:val="0"/>
              <w:marRight w:val="0"/>
              <w:marTop w:val="0"/>
              <w:marBottom w:val="0"/>
              <w:divBdr>
                <w:top w:val="none" w:sz="0" w:space="0" w:color="auto"/>
                <w:left w:val="none" w:sz="0" w:space="0" w:color="auto"/>
                <w:bottom w:val="none" w:sz="0" w:space="0" w:color="auto"/>
                <w:right w:val="none" w:sz="0" w:space="0" w:color="auto"/>
              </w:divBdr>
            </w:div>
          </w:divsChild>
        </w:div>
        <w:div w:id="619840497">
          <w:marLeft w:val="0"/>
          <w:marRight w:val="0"/>
          <w:marTop w:val="0"/>
          <w:marBottom w:val="0"/>
          <w:divBdr>
            <w:top w:val="none" w:sz="0" w:space="0" w:color="auto"/>
            <w:left w:val="none" w:sz="0" w:space="0" w:color="auto"/>
            <w:bottom w:val="none" w:sz="0" w:space="0" w:color="auto"/>
            <w:right w:val="none" w:sz="0" w:space="0" w:color="auto"/>
          </w:divBdr>
          <w:divsChild>
            <w:div w:id="1212116463">
              <w:marLeft w:val="0"/>
              <w:marRight w:val="0"/>
              <w:marTop w:val="0"/>
              <w:marBottom w:val="0"/>
              <w:divBdr>
                <w:top w:val="none" w:sz="0" w:space="0" w:color="auto"/>
                <w:left w:val="none" w:sz="0" w:space="0" w:color="auto"/>
                <w:bottom w:val="none" w:sz="0" w:space="0" w:color="auto"/>
                <w:right w:val="none" w:sz="0" w:space="0" w:color="auto"/>
              </w:divBdr>
            </w:div>
          </w:divsChild>
        </w:div>
        <w:div w:id="632515945">
          <w:marLeft w:val="0"/>
          <w:marRight w:val="0"/>
          <w:marTop w:val="0"/>
          <w:marBottom w:val="0"/>
          <w:divBdr>
            <w:top w:val="none" w:sz="0" w:space="0" w:color="auto"/>
            <w:left w:val="none" w:sz="0" w:space="0" w:color="auto"/>
            <w:bottom w:val="none" w:sz="0" w:space="0" w:color="auto"/>
            <w:right w:val="none" w:sz="0" w:space="0" w:color="auto"/>
          </w:divBdr>
          <w:divsChild>
            <w:div w:id="1585725619">
              <w:marLeft w:val="0"/>
              <w:marRight w:val="0"/>
              <w:marTop w:val="0"/>
              <w:marBottom w:val="0"/>
              <w:divBdr>
                <w:top w:val="none" w:sz="0" w:space="0" w:color="auto"/>
                <w:left w:val="none" w:sz="0" w:space="0" w:color="auto"/>
                <w:bottom w:val="none" w:sz="0" w:space="0" w:color="auto"/>
                <w:right w:val="none" w:sz="0" w:space="0" w:color="auto"/>
              </w:divBdr>
            </w:div>
          </w:divsChild>
        </w:div>
        <w:div w:id="704449804">
          <w:marLeft w:val="0"/>
          <w:marRight w:val="0"/>
          <w:marTop w:val="0"/>
          <w:marBottom w:val="0"/>
          <w:divBdr>
            <w:top w:val="none" w:sz="0" w:space="0" w:color="auto"/>
            <w:left w:val="none" w:sz="0" w:space="0" w:color="auto"/>
            <w:bottom w:val="none" w:sz="0" w:space="0" w:color="auto"/>
            <w:right w:val="none" w:sz="0" w:space="0" w:color="auto"/>
          </w:divBdr>
          <w:divsChild>
            <w:div w:id="1210920274">
              <w:marLeft w:val="0"/>
              <w:marRight w:val="0"/>
              <w:marTop w:val="0"/>
              <w:marBottom w:val="0"/>
              <w:divBdr>
                <w:top w:val="none" w:sz="0" w:space="0" w:color="auto"/>
                <w:left w:val="none" w:sz="0" w:space="0" w:color="auto"/>
                <w:bottom w:val="none" w:sz="0" w:space="0" w:color="auto"/>
                <w:right w:val="none" w:sz="0" w:space="0" w:color="auto"/>
              </w:divBdr>
            </w:div>
          </w:divsChild>
        </w:div>
        <w:div w:id="719288170">
          <w:marLeft w:val="0"/>
          <w:marRight w:val="0"/>
          <w:marTop w:val="0"/>
          <w:marBottom w:val="0"/>
          <w:divBdr>
            <w:top w:val="none" w:sz="0" w:space="0" w:color="auto"/>
            <w:left w:val="none" w:sz="0" w:space="0" w:color="auto"/>
            <w:bottom w:val="none" w:sz="0" w:space="0" w:color="auto"/>
            <w:right w:val="none" w:sz="0" w:space="0" w:color="auto"/>
          </w:divBdr>
          <w:divsChild>
            <w:div w:id="366297667">
              <w:marLeft w:val="0"/>
              <w:marRight w:val="0"/>
              <w:marTop w:val="0"/>
              <w:marBottom w:val="0"/>
              <w:divBdr>
                <w:top w:val="none" w:sz="0" w:space="0" w:color="auto"/>
                <w:left w:val="none" w:sz="0" w:space="0" w:color="auto"/>
                <w:bottom w:val="none" w:sz="0" w:space="0" w:color="auto"/>
                <w:right w:val="none" w:sz="0" w:space="0" w:color="auto"/>
              </w:divBdr>
            </w:div>
          </w:divsChild>
        </w:div>
        <w:div w:id="846603177">
          <w:marLeft w:val="0"/>
          <w:marRight w:val="0"/>
          <w:marTop w:val="0"/>
          <w:marBottom w:val="0"/>
          <w:divBdr>
            <w:top w:val="none" w:sz="0" w:space="0" w:color="auto"/>
            <w:left w:val="none" w:sz="0" w:space="0" w:color="auto"/>
            <w:bottom w:val="none" w:sz="0" w:space="0" w:color="auto"/>
            <w:right w:val="none" w:sz="0" w:space="0" w:color="auto"/>
          </w:divBdr>
          <w:divsChild>
            <w:div w:id="1853567808">
              <w:marLeft w:val="0"/>
              <w:marRight w:val="0"/>
              <w:marTop w:val="0"/>
              <w:marBottom w:val="0"/>
              <w:divBdr>
                <w:top w:val="none" w:sz="0" w:space="0" w:color="auto"/>
                <w:left w:val="none" w:sz="0" w:space="0" w:color="auto"/>
                <w:bottom w:val="none" w:sz="0" w:space="0" w:color="auto"/>
                <w:right w:val="none" w:sz="0" w:space="0" w:color="auto"/>
              </w:divBdr>
            </w:div>
          </w:divsChild>
        </w:div>
        <w:div w:id="849216901">
          <w:marLeft w:val="0"/>
          <w:marRight w:val="0"/>
          <w:marTop w:val="0"/>
          <w:marBottom w:val="0"/>
          <w:divBdr>
            <w:top w:val="none" w:sz="0" w:space="0" w:color="auto"/>
            <w:left w:val="none" w:sz="0" w:space="0" w:color="auto"/>
            <w:bottom w:val="none" w:sz="0" w:space="0" w:color="auto"/>
            <w:right w:val="none" w:sz="0" w:space="0" w:color="auto"/>
          </w:divBdr>
          <w:divsChild>
            <w:div w:id="1128159510">
              <w:marLeft w:val="0"/>
              <w:marRight w:val="0"/>
              <w:marTop w:val="0"/>
              <w:marBottom w:val="0"/>
              <w:divBdr>
                <w:top w:val="none" w:sz="0" w:space="0" w:color="auto"/>
                <w:left w:val="none" w:sz="0" w:space="0" w:color="auto"/>
                <w:bottom w:val="none" w:sz="0" w:space="0" w:color="auto"/>
                <w:right w:val="none" w:sz="0" w:space="0" w:color="auto"/>
              </w:divBdr>
            </w:div>
          </w:divsChild>
        </w:div>
        <w:div w:id="866453864">
          <w:marLeft w:val="0"/>
          <w:marRight w:val="0"/>
          <w:marTop w:val="0"/>
          <w:marBottom w:val="0"/>
          <w:divBdr>
            <w:top w:val="none" w:sz="0" w:space="0" w:color="auto"/>
            <w:left w:val="none" w:sz="0" w:space="0" w:color="auto"/>
            <w:bottom w:val="none" w:sz="0" w:space="0" w:color="auto"/>
            <w:right w:val="none" w:sz="0" w:space="0" w:color="auto"/>
          </w:divBdr>
          <w:divsChild>
            <w:div w:id="838665891">
              <w:marLeft w:val="0"/>
              <w:marRight w:val="0"/>
              <w:marTop w:val="0"/>
              <w:marBottom w:val="0"/>
              <w:divBdr>
                <w:top w:val="none" w:sz="0" w:space="0" w:color="auto"/>
                <w:left w:val="none" w:sz="0" w:space="0" w:color="auto"/>
                <w:bottom w:val="none" w:sz="0" w:space="0" w:color="auto"/>
                <w:right w:val="none" w:sz="0" w:space="0" w:color="auto"/>
              </w:divBdr>
            </w:div>
          </w:divsChild>
        </w:div>
        <w:div w:id="868689636">
          <w:marLeft w:val="0"/>
          <w:marRight w:val="0"/>
          <w:marTop w:val="0"/>
          <w:marBottom w:val="0"/>
          <w:divBdr>
            <w:top w:val="none" w:sz="0" w:space="0" w:color="auto"/>
            <w:left w:val="none" w:sz="0" w:space="0" w:color="auto"/>
            <w:bottom w:val="none" w:sz="0" w:space="0" w:color="auto"/>
            <w:right w:val="none" w:sz="0" w:space="0" w:color="auto"/>
          </w:divBdr>
          <w:divsChild>
            <w:div w:id="732506009">
              <w:marLeft w:val="0"/>
              <w:marRight w:val="0"/>
              <w:marTop w:val="0"/>
              <w:marBottom w:val="0"/>
              <w:divBdr>
                <w:top w:val="none" w:sz="0" w:space="0" w:color="auto"/>
                <w:left w:val="none" w:sz="0" w:space="0" w:color="auto"/>
                <w:bottom w:val="none" w:sz="0" w:space="0" w:color="auto"/>
                <w:right w:val="none" w:sz="0" w:space="0" w:color="auto"/>
              </w:divBdr>
            </w:div>
          </w:divsChild>
        </w:div>
        <w:div w:id="895549714">
          <w:marLeft w:val="0"/>
          <w:marRight w:val="0"/>
          <w:marTop w:val="0"/>
          <w:marBottom w:val="0"/>
          <w:divBdr>
            <w:top w:val="none" w:sz="0" w:space="0" w:color="auto"/>
            <w:left w:val="none" w:sz="0" w:space="0" w:color="auto"/>
            <w:bottom w:val="none" w:sz="0" w:space="0" w:color="auto"/>
            <w:right w:val="none" w:sz="0" w:space="0" w:color="auto"/>
          </w:divBdr>
          <w:divsChild>
            <w:div w:id="282543103">
              <w:marLeft w:val="0"/>
              <w:marRight w:val="0"/>
              <w:marTop w:val="0"/>
              <w:marBottom w:val="0"/>
              <w:divBdr>
                <w:top w:val="none" w:sz="0" w:space="0" w:color="auto"/>
                <w:left w:val="none" w:sz="0" w:space="0" w:color="auto"/>
                <w:bottom w:val="none" w:sz="0" w:space="0" w:color="auto"/>
                <w:right w:val="none" w:sz="0" w:space="0" w:color="auto"/>
              </w:divBdr>
            </w:div>
          </w:divsChild>
        </w:div>
        <w:div w:id="927883134">
          <w:marLeft w:val="0"/>
          <w:marRight w:val="0"/>
          <w:marTop w:val="0"/>
          <w:marBottom w:val="0"/>
          <w:divBdr>
            <w:top w:val="none" w:sz="0" w:space="0" w:color="auto"/>
            <w:left w:val="none" w:sz="0" w:space="0" w:color="auto"/>
            <w:bottom w:val="none" w:sz="0" w:space="0" w:color="auto"/>
            <w:right w:val="none" w:sz="0" w:space="0" w:color="auto"/>
          </w:divBdr>
          <w:divsChild>
            <w:div w:id="1816406567">
              <w:marLeft w:val="0"/>
              <w:marRight w:val="0"/>
              <w:marTop w:val="0"/>
              <w:marBottom w:val="0"/>
              <w:divBdr>
                <w:top w:val="none" w:sz="0" w:space="0" w:color="auto"/>
                <w:left w:val="none" w:sz="0" w:space="0" w:color="auto"/>
                <w:bottom w:val="none" w:sz="0" w:space="0" w:color="auto"/>
                <w:right w:val="none" w:sz="0" w:space="0" w:color="auto"/>
              </w:divBdr>
            </w:div>
          </w:divsChild>
        </w:div>
        <w:div w:id="1040209081">
          <w:marLeft w:val="0"/>
          <w:marRight w:val="0"/>
          <w:marTop w:val="0"/>
          <w:marBottom w:val="0"/>
          <w:divBdr>
            <w:top w:val="none" w:sz="0" w:space="0" w:color="auto"/>
            <w:left w:val="none" w:sz="0" w:space="0" w:color="auto"/>
            <w:bottom w:val="none" w:sz="0" w:space="0" w:color="auto"/>
            <w:right w:val="none" w:sz="0" w:space="0" w:color="auto"/>
          </w:divBdr>
          <w:divsChild>
            <w:div w:id="986864241">
              <w:marLeft w:val="0"/>
              <w:marRight w:val="0"/>
              <w:marTop w:val="0"/>
              <w:marBottom w:val="0"/>
              <w:divBdr>
                <w:top w:val="none" w:sz="0" w:space="0" w:color="auto"/>
                <w:left w:val="none" w:sz="0" w:space="0" w:color="auto"/>
                <w:bottom w:val="none" w:sz="0" w:space="0" w:color="auto"/>
                <w:right w:val="none" w:sz="0" w:space="0" w:color="auto"/>
              </w:divBdr>
            </w:div>
          </w:divsChild>
        </w:div>
        <w:div w:id="1078526314">
          <w:marLeft w:val="0"/>
          <w:marRight w:val="0"/>
          <w:marTop w:val="0"/>
          <w:marBottom w:val="0"/>
          <w:divBdr>
            <w:top w:val="none" w:sz="0" w:space="0" w:color="auto"/>
            <w:left w:val="none" w:sz="0" w:space="0" w:color="auto"/>
            <w:bottom w:val="none" w:sz="0" w:space="0" w:color="auto"/>
            <w:right w:val="none" w:sz="0" w:space="0" w:color="auto"/>
          </w:divBdr>
          <w:divsChild>
            <w:div w:id="226843329">
              <w:marLeft w:val="0"/>
              <w:marRight w:val="0"/>
              <w:marTop w:val="0"/>
              <w:marBottom w:val="0"/>
              <w:divBdr>
                <w:top w:val="none" w:sz="0" w:space="0" w:color="auto"/>
                <w:left w:val="none" w:sz="0" w:space="0" w:color="auto"/>
                <w:bottom w:val="none" w:sz="0" w:space="0" w:color="auto"/>
                <w:right w:val="none" w:sz="0" w:space="0" w:color="auto"/>
              </w:divBdr>
            </w:div>
          </w:divsChild>
        </w:div>
        <w:div w:id="1084573404">
          <w:marLeft w:val="0"/>
          <w:marRight w:val="0"/>
          <w:marTop w:val="0"/>
          <w:marBottom w:val="0"/>
          <w:divBdr>
            <w:top w:val="none" w:sz="0" w:space="0" w:color="auto"/>
            <w:left w:val="none" w:sz="0" w:space="0" w:color="auto"/>
            <w:bottom w:val="none" w:sz="0" w:space="0" w:color="auto"/>
            <w:right w:val="none" w:sz="0" w:space="0" w:color="auto"/>
          </w:divBdr>
          <w:divsChild>
            <w:div w:id="1898665571">
              <w:marLeft w:val="0"/>
              <w:marRight w:val="0"/>
              <w:marTop w:val="0"/>
              <w:marBottom w:val="0"/>
              <w:divBdr>
                <w:top w:val="none" w:sz="0" w:space="0" w:color="auto"/>
                <w:left w:val="none" w:sz="0" w:space="0" w:color="auto"/>
                <w:bottom w:val="none" w:sz="0" w:space="0" w:color="auto"/>
                <w:right w:val="none" w:sz="0" w:space="0" w:color="auto"/>
              </w:divBdr>
            </w:div>
          </w:divsChild>
        </w:div>
        <w:div w:id="1129933724">
          <w:marLeft w:val="0"/>
          <w:marRight w:val="0"/>
          <w:marTop w:val="0"/>
          <w:marBottom w:val="0"/>
          <w:divBdr>
            <w:top w:val="none" w:sz="0" w:space="0" w:color="auto"/>
            <w:left w:val="none" w:sz="0" w:space="0" w:color="auto"/>
            <w:bottom w:val="none" w:sz="0" w:space="0" w:color="auto"/>
            <w:right w:val="none" w:sz="0" w:space="0" w:color="auto"/>
          </w:divBdr>
          <w:divsChild>
            <w:div w:id="1475180327">
              <w:marLeft w:val="0"/>
              <w:marRight w:val="0"/>
              <w:marTop w:val="0"/>
              <w:marBottom w:val="0"/>
              <w:divBdr>
                <w:top w:val="none" w:sz="0" w:space="0" w:color="auto"/>
                <w:left w:val="none" w:sz="0" w:space="0" w:color="auto"/>
                <w:bottom w:val="none" w:sz="0" w:space="0" w:color="auto"/>
                <w:right w:val="none" w:sz="0" w:space="0" w:color="auto"/>
              </w:divBdr>
            </w:div>
          </w:divsChild>
        </w:div>
        <w:div w:id="1143037810">
          <w:marLeft w:val="0"/>
          <w:marRight w:val="0"/>
          <w:marTop w:val="0"/>
          <w:marBottom w:val="0"/>
          <w:divBdr>
            <w:top w:val="none" w:sz="0" w:space="0" w:color="auto"/>
            <w:left w:val="none" w:sz="0" w:space="0" w:color="auto"/>
            <w:bottom w:val="none" w:sz="0" w:space="0" w:color="auto"/>
            <w:right w:val="none" w:sz="0" w:space="0" w:color="auto"/>
          </w:divBdr>
          <w:divsChild>
            <w:div w:id="1454863086">
              <w:marLeft w:val="0"/>
              <w:marRight w:val="0"/>
              <w:marTop w:val="0"/>
              <w:marBottom w:val="0"/>
              <w:divBdr>
                <w:top w:val="none" w:sz="0" w:space="0" w:color="auto"/>
                <w:left w:val="none" w:sz="0" w:space="0" w:color="auto"/>
                <w:bottom w:val="none" w:sz="0" w:space="0" w:color="auto"/>
                <w:right w:val="none" w:sz="0" w:space="0" w:color="auto"/>
              </w:divBdr>
            </w:div>
          </w:divsChild>
        </w:div>
        <w:div w:id="1173103556">
          <w:marLeft w:val="0"/>
          <w:marRight w:val="0"/>
          <w:marTop w:val="0"/>
          <w:marBottom w:val="0"/>
          <w:divBdr>
            <w:top w:val="none" w:sz="0" w:space="0" w:color="auto"/>
            <w:left w:val="none" w:sz="0" w:space="0" w:color="auto"/>
            <w:bottom w:val="none" w:sz="0" w:space="0" w:color="auto"/>
            <w:right w:val="none" w:sz="0" w:space="0" w:color="auto"/>
          </w:divBdr>
          <w:divsChild>
            <w:div w:id="1358771292">
              <w:marLeft w:val="0"/>
              <w:marRight w:val="0"/>
              <w:marTop w:val="0"/>
              <w:marBottom w:val="0"/>
              <w:divBdr>
                <w:top w:val="none" w:sz="0" w:space="0" w:color="auto"/>
                <w:left w:val="none" w:sz="0" w:space="0" w:color="auto"/>
                <w:bottom w:val="none" w:sz="0" w:space="0" w:color="auto"/>
                <w:right w:val="none" w:sz="0" w:space="0" w:color="auto"/>
              </w:divBdr>
            </w:div>
          </w:divsChild>
        </w:div>
        <w:div w:id="1230311383">
          <w:marLeft w:val="0"/>
          <w:marRight w:val="0"/>
          <w:marTop w:val="0"/>
          <w:marBottom w:val="0"/>
          <w:divBdr>
            <w:top w:val="none" w:sz="0" w:space="0" w:color="auto"/>
            <w:left w:val="none" w:sz="0" w:space="0" w:color="auto"/>
            <w:bottom w:val="none" w:sz="0" w:space="0" w:color="auto"/>
            <w:right w:val="none" w:sz="0" w:space="0" w:color="auto"/>
          </w:divBdr>
          <w:divsChild>
            <w:div w:id="1103114702">
              <w:marLeft w:val="0"/>
              <w:marRight w:val="0"/>
              <w:marTop w:val="0"/>
              <w:marBottom w:val="0"/>
              <w:divBdr>
                <w:top w:val="none" w:sz="0" w:space="0" w:color="auto"/>
                <w:left w:val="none" w:sz="0" w:space="0" w:color="auto"/>
                <w:bottom w:val="none" w:sz="0" w:space="0" w:color="auto"/>
                <w:right w:val="none" w:sz="0" w:space="0" w:color="auto"/>
              </w:divBdr>
            </w:div>
          </w:divsChild>
        </w:div>
        <w:div w:id="1239898321">
          <w:marLeft w:val="0"/>
          <w:marRight w:val="0"/>
          <w:marTop w:val="0"/>
          <w:marBottom w:val="0"/>
          <w:divBdr>
            <w:top w:val="none" w:sz="0" w:space="0" w:color="auto"/>
            <w:left w:val="none" w:sz="0" w:space="0" w:color="auto"/>
            <w:bottom w:val="none" w:sz="0" w:space="0" w:color="auto"/>
            <w:right w:val="none" w:sz="0" w:space="0" w:color="auto"/>
          </w:divBdr>
          <w:divsChild>
            <w:div w:id="1277176860">
              <w:marLeft w:val="0"/>
              <w:marRight w:val="0"/>
              <w:marTop w:val="0"/>
              <w:marBottom w:val="0"/>
              <w:divBdr>
                <w:top w:val="none" w:sz="0" w:space="0" w:color="auto"/>
                <w:left w:val="none" w:sz="0" w:space="0" w:color="auto"/>
                <w:bottom w:val="none" w:sz="0" w:space="0" w:color="auto"/>
                <w:right w:val="none" w:sz="0" w:space="0" w:color="auto"/>
              </w:divBdr>
            </w:div>
          </w:divsChild>
        </w:div>
        <w:div w:id="1255086377">
          <w:marLeft w:val="0"/>
          <w:marRight w:val="0"/>
          <w:marTop w:val="0"/>
          <w:marBottom w:val="0"/>
          <w:divBdr>
            <w:top w:val="none" w:sz="0" w:space="0" w:color="auto"/>
            <w:left w:val="none" w:sz="0" w:space="0" w:color="auto"/>
            <w:bottom w:val="none" w:sz="0" w:space="0" w:color="auto"/>
            <w:right w:val="none" w:sz="0" w:space="0" w:color="auto"/>
          </w:divBdr>
          <w:divsChild>
            <w:div w:id="72512565">
              <w:marLeft w:val="0"/>
              <w:marRight w:val="0"/>
              <w:marTop w:val="0"/>
              <w:marBottom w:val="0"/>
              <w:divBdr>
                <w:top w:val="none" w:sz="0" w:space="0" w:color="auto"/>
                <w:left w:val="none" w:sz="0" w:space="0" w:color="auto"/>
                <w:bottom w:val="none" w:sz="0" w:space="0" w:color="auto"/>
                <w:right w:val="none" w:sz="0" w:space="0" w:color="auto"/>
              </w:divBdr>
            </w:div>
          </w:divsChild>
        </w:div>
        <w:div w:id="1273199035">
          <w:marLeft w:val="0"/>
          <w:marRight w:val="0"/>
          <w:marTop w:val="0"/>
          <w:marBottom w:val="0"/>
          <w:divBdr>
            <w:top w:val="none" w:sz="0" w:space="0" w:color="auto"/>
            <w:left w:val="none" w:sz="0" w:space="0" w:color="auto"/>
            <w:bottom w:val="none" w:sz="0" w:space="0" w:color="auto"/>
            <w:right w:val="none" w:sz="0" w:space="0" w:color="auto"/>
          </w:divBdr>
          <w:divsChild>
            <w:div w:id="207838356">
              <w:marLeft w:val="0"/>
              <w:marRight w:val="0"/>
              <w:marTop w:val="0"/>
              <w:marBottom w:val="0"/>
              <w:divBdr>
                <w:top w:val="none" w:sz="0" w:space="0" w:color="auto"/>
                <w:left w:val="none" w:sz="0" w:space="0" w:color="auto"/>
                <w:bottom w:val="none" w:sz="0" w:space="0" w:color="auto"/>
                <w:right w:val="none" w:sz="0" w:space="0" w:color="auto"/>
              </w:divBdr>
            </w:div>
          </w:divsChild>
        </w:div>
        <w:div w:id="1289581651">
          <w:marLeft w:val="0"/>
          <w:marRight w:val="0"/>
          <w:marTop w:val="0"/>
          <w:marBottom w:val="0"/>
          <w:divBdr>
            <w:top w:val="none" w:sz="0" w:space="0" w:color="auto"/>
            <w:left w:val="none" w:sz="0" w:space="0" w:color="auto"/>
            <w:bottom w:val="none" w:sz="0" w:space="0" w:color="auto"/>
            <w:right w:val="none" w:sz="0" w:space="0" w:color="auto"/>
          </w:divBdr>
          <w:divsChild>
            <w:div w:id="597179168">
              <w:marLeft w:val="0"/>
              <w:marRight w:val="0"/>
              <w:marTop w:val="0"/>
              <w:marBottom w:val="0"/>
              <w:divBdr>
                <w:top w:val="none" w:sz="0" w:space="0" w:color="auto"/>
                <w:left w:val="none" w:sz="0" w:space="0" w:color="auto"/>
                <w:bottom w:val="none" w:sz="0" w:space="0" w:color="auto"/>
                <w:right w:val="none" w:sz="0" w:space="0" w:color="auto"/>
              </w:divBdr>
            </w:div>
          </w:divsChild>
        </w:div>
        <w:div w:id="1291519671">
          <w:marLeft w:val="0"/>
          <w:marRight w:val="0"/>
          <w:marTop w:val="0"/>
          <w:marBottom w:val="0"/>
          <w:divBdr>
            <w:top w:val="none" w:sz="0" w:space="0" w:color="auto"/>
            <w:left w:val="none" w:sz="0" w:space="0" w:color="auto"/>
            <w:bottom w:val="none" w:sz="0" w:space="0" w:color="auto"/>
            <w:right w:val="none" w:sz="0" w:space="0" w:color="auto"/>
          </w:divBdr>
          <w:divsChild>
            <w:div w:id="1327245540">
              <w:marLeft w:val="0"/>
              <w:marRight w:val="0"/>
              <w:marTop w:val="0"/>
              <w:marBottom w:val="0"/>
              <w:divBdr>
                <w:top w:val="none" w:sz="0" w:space="0" w:color="auto"/>
                <w:left w:val="none" w:sz="0" w:space="0" w:color="auto"/>
                <w:bottom w:val="none" w:sz="0" w:space="0" w:color="auto"/>
                <w:right w:val="none" w:sz="0" w:space="0" w:color="auto"/>
              </w:divBdr>
            </w:div>
          </w:divsChild>
        </w:div>
        <w:div w:id="1317764362">
          <w:marLeft w:val="0"/>
          <w:marRight w:val="0"/>
          <w:marTop w:val="0"/>
          <w:marBottom w:val="0"/>
          <w:divBdr>
            <w:top w:val="none" w:sz="0" w:space="0" w:color="auto"/>
            <w:left w:val="none" w:sz="0" w:space="0" w:color="auto"/>
            <w:bottom w:val="none" w:sz="0" w:space="0" w:color="auto"/>
            <w:right w:val="none" w:sz="0" w:space="0" w:color="auto"/>
          </w:divBdr>
          <w:divsChild>
            <w:div w:id="334764312">
              <w:marLeft w:val="0"/>
              <w:marRight w:val="0"/>
              <w:marTop w:val="0"/>
              <w:marBottom w:val="0"/>
              <w:divBdr>
                <w:top w:val="none" w:sz="0" w:space="0" w:color="auto"/>
                <w:left w:val="none" w:sz="0" w:space="0" w:color="auto"/>
                <w:bottom w:val="none" w:sz="0" w:space="0" w:color="auto"/>
                <w:right w:val="none" w:sz="0" w:space="0" w:color="auto"/>
              </w:divBdr>
            </w:div>
          </w:divsChild>
        </w:div>
        <w:div w:id="1321739676">
          <w:marLeft w:val="0"/>
          <w:marRight w:val="0"/>
          <w:marTop w:val="0"/>
          <w:marBottom w:val="0"/>
          <w:divBdr>
            <w:top w:val="none" w:sz="0" w:space="0" w:color="auto"/>
            <w:left w:val="none" w:sz="0" w:space="0" w:color="auto"/>
            <w:bottom w:val="none" w:sz="0" w:space="0" w:color="auto"/>
            <w:right w:val="none" w:sz="0" w:space="0" w:color="auto"/>
          </w:divBdr>
          <w:divsChild>
            <w:div w:id="604190582">
              <w:marLeft w:val="0"/>
              <w:marRight w:val="0"/>
              <w:marTop w:val="0"/>
              <w:marBottom w:val="0"/>
              <w:divBdr>
                <w:top w:val="none" w:sz="0" w:space="0" w:color="auto"/>
                <w:left w:val="none" w:sz="0" w:space="0" w:color="auto"/>
                <w:bottom w:val="none" w:sz="0" w:space="0" w:color="auto"/>
                <w:right w:val="none" w:sz="0" w:space="0" w:color="auto"/>
              </w:divBdr>
            </w:div>
          </w:divsChild>
        </w:div>
        <w:div w:id="1337541949">
          <w:marLeft w:val="0"/>
          <w:marRight w:val="0"/>
          <w:marTop w:val="0"/>
          <w:marBottom w:val="0"/>
          <w:divBdr>
            <w:top w:val="none" w:sz="0" w:space="0" w:color="auto"/>
            <w:left w:val="none" w:sz="0" w:space="0" w:color="auto"/>
            <w:bottom w:val="none" w:sz="0" w:space="0" w:color="auto"/>
            <w:right w:val="none" w:sz="0" w:space="0" w:color="auto"/>
          </w:divBdr>
          <w:divsChild>
            <w:div w:id="1794981140">
              <w:marLeft w:val="0"/>
              <w:marRight w:val="0"/>
              <w:marTop w:val="0"/>
              <w:marBottom w:val="0"/>
              <w:divBdr>
                <w:top w:val="none" w:sz="0" w:space="0" w:color="auto"/>
                <w:left w:val="none" w:sz="0" w:space="0" w:color="auto"/>
                <w:bottom w:val="none" w:sz="0" w:space="0" w:color="auto"/>
                <w:right w:val="none" w:sz="0" w:space="0" w:color="auto"/>
              </w:divBdr>
            </w:div>
          </w:divsChild>
        </w:div>
        <w:div w:id="1348481647">
          <w:marLeft w:val="0"/>
          <w:marRight w:val="0"/>
          <w:marTop w:val="0"/>
          <w:marBottom w:val="0"/>
          <w:divBdr>
            <w:top w:val="none" w:sz="0" w:space="0" w:color="auto"/>
            <w:left w:val="none" w:sz="0" w:space="0" w:color="auto"/>
            <w:bottom w:val="none" w:sz="0" w:space="0" w:color="auto"/>
            <w:right w:val="none" w:sz="0" w:space="0" w:color="auto"/>
          </w:divBdr>
          <w:divsChild>
            <w:div w:id="1907571812">
              <w:marLeft w:val="0"/>
              <w:marRight w:val="0"/>
              <w:marTop w:val="0"/>
              <w:marBottom w:val="0"/>
              <w:divBdr>
                <w:top w:val="none" w:sz="0" w:space="0" w:color="auto"/>
                <w:left w:val="none" w:sz="0" w:space="0" w:color="auto"/>
                <w:bottom w:val="none" w:sz="0" w:space="0" w:color="auto"/>
                <w:right w:val="none" w:sz="0" w:space="0" w:color="auto"/>
              </w:divBdr>
            </w:div>
          </w:divsChild>
        </w:div>
        <w:div w:id="1414623991">
          <w:marLeft w:val="0"/>
          <w:marRight w:val="0"/>
          <w:marTop w:val="0"/>
          <w:marBottom w:val="0"/>
          <w:divBdr>
            <w:top w:val="none" w:sz="0" w:space="0" w:color="auto"/>
            <w:left w:val="none" w:sz="0" w:space="0" w:color="auto"/>
            <w:bottom w:val="none" w:sz="0" w:space="0" w:color="auto"/>
            <w:right w:val="none" w:sz="0" w:space="0" w:color="auto"/>
          </w:divBdr>
          <w:divsChild>
            <w:div w:id="439957216">
              <w:marLeft w:val="0"/>
              <w:marRight w:val="0"/>
              <w:marTop w:val="0"/>
              <w:marBottom w:val="0"/>
              <w:divBdr>
                <w:top w:val="none" w:sz="0" w:space="0" w:color="auto"/>
                <w:left w:val="none" w:sz="0" w:space="0" w:color="auto"/>
                <w:bottom w:val="none" w:sz="0" w:space="0" w:color="auto"/>
                <w:right w:val="none" w:sz="0" w:space="0" w:color="auto"/>
              </w:divBdr>
            </w:div>
          </w:divsChild>
        </w:div>
        <w:div w:id="1456144424">
          <w:marLeft w:val="0"/>
          <w:marRight w:val="0"/>
          <w:marTop w:val="0"/>
          <w:marBottom w:val="0"/>
          <w:divBdr>
            <w:top w:val="none" w:sz="0" w:space="0" w:color="auto"/>
            <w:left w:val="none" w:sz="0" w:space="0" w:color="auto"/>
            <w:bottom w:val="none" w:sz="0" w:space="0" w:color="auto"/>
            <w:right w:val="none" w:sz="0" w:space="0" w:color="auto"/>
          </w:divBdr>
          <w:divsChild>
            <w:div w:id="1628395058">
              <w:marLeft w:val="0"/>
              <w:marRight w:val="0"/>
              <w:marTop w:val="0"/>
              <w:marBottom w:val="0"/>
              <w:divBdr>
                <w:top w:val="none" w:sz="0" w:space="0" w:color="auto"/>
                <w:left w:val="none" w:sz="0" w:space="0" w:color="auto"/>
                <w:bottom w:val="none" w:sz="0" w:space="0" w:color="auto"/>
                <w:right w:val="none" w:sz="0" w:space="0" w:color="auto"/>
              </w:divBdr>
            </w:div>
          </w:divsChild>
        </w:div>
        <w:div w:id="1456604839">
          <w:marLeft w:val="0"/>
          <w:marRight w:val="0"/>
          <w:marTop w:val="0"/>
          <w:marBottom w:val="0"/>
          <w:divBdr>
            <w:top w:val="none" w:sz="0" w:space="0" w:color="auto"/>
            <w:left w:val="none" w:sz="0" w:space="0" w:color="auto"/>
            <w:bottom w:val="none" w:sz="0" w:space="0" w:color="auto"/>
            <w:right w:val="none" w:sz="0" w:space="0" w:color="auto"/>
          </w:divBdr>
          <w:divsChild>
            <w:div w:id="620722013">
              <w:marLeft w:val="0"/>
              <w:marRight w:val="0"/>
              <w:marTop w:val="0"/>
              <w:marBottom w:val="0"/>
              <w:divBdr>
                <w:top w:val="none" w:sz="0" w:space="0" w:color="auto"/>
                <w:left w:val="none" w:sz="0" w:space="0" w:color="auto"/>
                <w:bottom w:val="none" w:sz="0" w:space="0" w:color="auto"/>
                <w:right w:val="none" w:sz="0" w:space="0" w:color="auto"/>
              </w:divBdr>
            </w:div>
          </w:divsChild>
        </w:div>
        <w:div w:id="1474713205">
          <w:marLeft w:val="0"/>
          <w:marRight w:val="0"/>
          <w:marTop w:val="0"/>
          <w:marBottom w:val="0"/>
          <w:divBdr>
            <w:top w:val="none" w:sz="0" w:space="0" w:color="auto"/>
            <w:left w:val="none" w:sz="0" w:space="0" w:color="auto"/>
            <w:bottom w:val="none" w:sz="0" w:space="0" w:color="auto"/>
            <w:right w:val="none" w:sz="0" w:space="0" w:color="auto"/>
          </w:divBdr>
          <w:divsChild>
            <w:div w:id="1868134434">
              <w:marLeft w:val="0"/>
              <w:marRight w:val="0"/>
              <w:marTop w:val="0"/>
              <w:marBottom w:val="0"/>
              <w:divBdr>
                <w:top w:val="none" w:sz="0" w:space="0" w:color="auto"/>
                <w:left w:val="none" w:sz="0" w:space="0" w:color="auto"/>
                <w:bottom w:val="none" w:sz="0" w:space="0" w:color="auto"/>
                <w:right w:val="none" w:sz="0" w:space="0" w:color="auto"/>
              </w:divBdr>
            </w:div>
          </w:divsChild>
        </w:div>
        <w:div w:id="1496846583">
          <w:marLeft w:val="0"/>
          <w:marRight w:val="0"/>
          <w:marTop w:val="0"/>
          <w:marBottom w:val="0"/>
          <w:divBdr>
            <w:top w:val="none" w:sz="0" w:space="0" w:color="auto"/>
            <w:left w:val="none" w:sz="0" w:space="0" w:color="auto"/>
            <w:bottom w:val="none" w:sz="0" w:space="0" w:color="auto"/>
            <w:right w:val="none" w:sz="0" w:space="0" w:color="auto"/>
          </w:divBdr>
          <w:divsChild>
            <w:div w:id="1653370877">
              <w:marLeft w:val="0"/>
              <w:marRight w:val="0"/>
              <w:marTop w:val="0"/>
              <w:marBottom w:val="0"/>
              <w:divBdr>
                <w:top w:val="none" w:sz="0" w:space="0" w:color="auto"/>
                <w:left w:val="none" w:sz="0" w:space="0" w:color="auto"/>
                <w:bottom w:val="none" w:sz="0" w:space="0" w:color="auto"/>
                <w:right w:val="none" w:sz="0" w:space="0" w:color="auto"/>
              </w:divBdr>
            </w:div>
          </w:divsChild>
        </w:div>
        <w:div w:id="1528256687">
          <w:marLeft w:val="0"/>
          <w:marRight w:val="0"/>
          <w:marTop w:val="0"/>
          <w:marBottom w:val="0"/>
          <w:divBdr>
            <w:top w:val="none" w:sz="0" w:space="0" w:color="auto"/>
            <w:left w:val="none" w:sz="0" w:space="0" w:color="auto"/>
            <w:bottom w:val="none" w:sz="0" w:space="0" w:color="auto"/>
            <w:right w:val="none" w:sz="0" w:space="0" w:color="auto"/>
          </w:divBdr>
          <w:divsChild>
            <w:div w:id="466511057">
              <w:marLeft w:val="0"/>
              <w:marRight w:val="0"/>
              <w:marTop w:val="0"/>
              <w:marBottom w:val="0"/>
              <w:divBdr>
                <w:top w:val="none" w:sz="0" w:space="0" w:color="auto"/>
                <w:left w:val="none" w:sz="0" w:space="0" w:color="auto"/>
                <w:bottom w:val="none" w:sz="0" w:space="0" w:color="auto"/>
                <w:right w:val="none" w:sz="0" w:space="0" w:color="auto"/>
              </w:divBdr>
            </w:div>
          </w:divsChild>
        </w:div>
        <w:div w:id="1533954965">
          <w:marLeft w:val="0"/>
          <w:marRight w:val="0"/>
          <w:marTop w:val="0"/>
          <w:marBottom w:val="0"/>
          <w:divBdr>
            <w:top w:val="none" w:sz="0" w:space="0" w:color="auto"/>
            <w:left w:val="none" w:sz="0" w:space="0" w:color="auto"/>
            <w:bottom w:val="none" w:sz="0" w:space="0" w:color="auto"/>
            <w:right w:val="none" w:sz="0" w:space="0" w:color="auto"/>
          </w:divBdr>
          <w:divsChild>
            <w:div w:id="1907373035">
              <w:marLeft w:val="0"/>
              <w:marRight w:val="0"/>
              <w:marTop w:val="0"/>
              <w:marBottom w:val="0"/>
              <w:divBdr>
                <w:top w:val="none" w:sz="0" w:space="0" w:color="auto"/>
                <w:left w:val="none" w:sz="0" w:space="0" w:color="auto"/>
                <w:bottom w:val="none" w:sz="0" w:space="0" w:color="auto"/>
                <w:right w:val="none" w:sz="0" w:space="0" w:color="auto"/>
              </w:divBdr>
            </w:div>
          </w:divsChild>
        </w:div>
        <w:div w:id="1584680565">
          <w:marLeft w:val="0"/>
          <w:marRight w:val="0"/>
          <w:marTop w:val="0"/>
          <w:marBottom w:val="0"/>
          <w:divBdr>
            <w:top w:val="none" w:sz="0" w:space="0" w:color="auto"/>
            <w:left w:val="none" w:sz="0" w:space="0" w:color="auto"/>
            <w:bottom w:val="none" w:sz="0" w:space="0" w:color="auto"/>
            <w:right w:val="none" w:sz="0" w:space="0" w:color="auto"/>
          </w:divBdr>
          <w:divsChild>
            <w:div w:id="2132044056">
              <w:marLeft w:val="0"/>
              <w:marRight w:val="0"/>
              <w:marTop w:val="0"/>
              <w:marBottom w:val="0"/>
              <w:divBdr>
                <w:top w:val="none" w:sz="0" w:space="0" w:color="auto"/>
                <w:left w:val="none" w:sz="0" w:space="0" w:color="auto"/>
                <w:bottom w:val="none" w:sz="0" w:space="0" w:color="auto"/>
                <w:right w:val="none" w:sz="0" w:space="0" w:color="auto"/>
              </w:divBdr>
            </w:div>
          </w:divsChild>
        </w:div>
        <w:div w:id="1590966096">
          <w:marLeft w:val="0"/>
          <w:marRight w:val="0"/>
          <w:marTop w:val="0"/>
          <w:marBottom w:val="0"/>
          <w:divBdr>
            <w:top w:val="none" w:sz="0" w:space="0" w:color="auto"/>
            <w:left w:val="none" w:sz="0" w:space="0" w:color="auto"/>
            <w:bottom w:val="none" w:sz="0" w:space="0" w:color="auto"/>
            <w:right w:val="none" w:sz="0" w:space="0" w:color="auto"/>
          </w:divBdr>
          <w:divsChild>
            <w:div w:id="863127436">
              <w:marLeft w:val="0"/>
              <w:marRight w:val="0"/>
              <w:marTop w:val="0"/>
              <w:marBottom w:val="0"/>
              <w:divBdr>
                <w:top w:val="none" w:sz="0" w:space="0" w:color="auto"/>
                <w:left w:val="none" w:sz="0" w:space="0" w:color="auto"/>
                <w:bottom w:val="none" w:sz="0" w:space="0" w:color="auto"/>
                <w:right w:val="none" w:sz="0" w:space="0" w:color="auto"/>
              </w:divBdr>
            </w:div>
          </w:divsChild>
        </w:div>
        <w:div w:id="1604679867">
          <w:marLeft w:val="0"/>
          <w:marRight w:val="0"/>
          <w:marTop w:val="0"/>
          <w:marBottom w:val="0"/>
          <w:divBdr>
            <w:top w:val="none" w:sz="0" w:space="0" w:color="auto"/>
            <w:left w:val="none" w:sz="0" w:space="0" w:color="auto"/>
            <w:bottom w:val="none" w:sz="0" w:space="0" w:color="auto"/>
            <w:right w:val="none" w:sz="0" w:space="0" w:color="auto"/>
          </w:divBdr>
          <w:divsChild>
            <w:div w:id="307443652">
              <w:marLeft w:val="0"/>
              <w:marRight w:val="0"/>
              <w:marTop w:val="0"/>
              <w:marBottom w:val="0"/>
              <w:divBdr>
                <w:top w:val="none" w:sz="0" w:space="0" w:color="auto"/>
                <w:left w:val="none" w:sz="0" w:space="0" w:color="auto"/>
                <w:bottom w:val="none" w:sz="0" w:space="0" w:color="auto"/>
                <w:right w:val="none" w:sz="0" w:space="0" w:color="auto"/>
              </w:divBdr>
            </w:div>
          </w:divsChild>
        </w:div>
        <w:div w:id="1605649526">
          <w:marLeft w:val="0"/>
          <w:marRight w:val="0"/>
          <w:marTop w:val="0"/>
          <w:marBottom w:val="0"/>
          <w:divBdr>
            <w:top w:val="none" w:sz="0" w:space="0" w:color="auto"/>
            <w:left w:val="none" w:sz="0" w:space="0" w:color="auto"/>
            <w:bottom w:val="none" w:sz="0" w:space="0" w:color="auto"/>
            <w:right w:val="none" w:sz="0" w:space="0" w:color="auto"/>
          </w:divBdr>
          <w:divsChild>
            <w:div w:id="1518351356">
              <w:marLeft w:val="0"/>
              <w:marRight w:val="0"/>
              <w:marTop w:val="0"/>
              <w:marBottom w:val="0"/>
              <w:divBdr>
                <w:top w:val="none" w:sz="0" w:space="0" w:color="auto"/>
                <w:left w:val="none" w:sz="0" w:space="0" w:color="auto"/>
                <w:bottom w:val="none" w:sz="0" w:space="0" w:color="auto"/>
                <w:right w:val="none" w:sz="0" w:space="0" w:color="auto"/>
              </w:divBdr>
            </w:div>
          </w:divsChild>
        </w:div>
        <w:div w:id="1625306503">
          <w:marLeft w:val="0"/>
          <w:marRight w:val="0"/>
          <w:marTop w:val="0"/>
          <w:marBottom w:val="0"/>
          <w:divBdr>
            <w:top w:val="none" w:sz="0" w:space="0" w:color="auto"/>
            <w:left w:val="none" w:sz="0" w:space="0" w:color="auto"/>
            <w:bottom w:val="none" w:sz="0" w:space="0" w:color="auto"/>
            <w:right w:val="none" w:sz="0" w:space="0" w:color="auto"/>
          </w:divBdr>
          <w:divsChild>
            <w:div w:id="1491629837">
              <w:marLeft w:val="0"/>
              <w:marRight w:val="0"/>
              <w:marTop w:val="0"/>
              <w:marBottom w:val="0"/>
              <w:divBdr>
                <w:top w:val="none" w:sz="0" w:space="0" w:color="auto"/>
                <w:left w:val="none" w:sz="0" w:space="0" w:color="auto"/>
                <w:bottom w:val="none" w:sz="0" w:space="0" w:color="auto"/>
                <w:right w:val="none" w:sz="0" w:space="0" w:color="auto"/>
              </w:divBdr>
            </w:div>
          </w:divsChild>
        </w:div>
        <w:div w:id="1668438637">
          <w:marLeft w:val="0"/>
          <w:marRight w:val="0"/>
          <w:marTop w:val="0"/>
          <w:marBottom w:val="0"/>
          <w:divBdr>
            <w:top w:val="none" w:sz="0" w:space="0" w:color="auto"/>
            <w:left w:val="none" w:sz="0" w:space="0" w:color="auto"/>
            <w:bottom w:val="none" w:sz="0" w:space="0" w:color="auto"/>
            <w:right w:val="none" w:sz="0" w:space="0" w:color="auto"/>
          </w:divBdr>
          <w:divsChild>
            <w:div w:id="1938295745">
              <w:marLeft w:val="0"/>
              <w:marRight w:val="0"/>
              <w:marTop w:val="0"/>
              <w:marBottom w:val="0"/>
              <w:divBdr>
                <w:top w:val="none" w:sz="0" w:space="0" w:color="auto"/>
                <w:left w:val="none" w:sz="0" w:space="0" w:color="auto"/>
                <w:bottom w:val="none" w:sz="0" w:space="0" w:color="auto"/>
                <w:right w:val="none" w:sz="0" w:space="0" w:color="auto"/>
              </w:divBdr>
            </w:div>
          </w:divsChild>
        </w:div>
        <w:div w:id="1677803982">
          <w:marLeft w:val="0"/>
          <w:marRight w:val="0"/>
          <w:marTop w:val="0"/>
          <w:marBottom w:val="0"/>
          <w:divBdr>
            <w:top w:val="none" w:sz="0" w:space="0" w:color="auto"/>
            <w:left w:val="none" w:sz="0" w:space="0" w:color="auto"/>
            <w:bottom w:val="none" w:sz="0" w:space="0" w:color="auto"/>
            <w:right w:val="none" w:sz="0" w:space="0" w:color="auto"/>
          </w:divBdr>
          <w:divsChild>
            <w:div w:id="1235355551">
              <w:marLeft w:val="0"/>
              <w:marRight w:val="0"/>
              <w:marTop w:val="0"/>
              <w:marBottom w:val="0"/>
              <w:divBdr>
                <w:top w:val="none" w:sz="0" w:space="0" w:color="auto"/>
                <w:left w:val="none" w:sz="0" w:space="0" w:color="auto"/>
                <w:bottom w:val="none" w:sz="0" w:space="0" w:color="auto"/>
                <w:right w:val="none" w:sz="0" w:space="0" w:color="auto"/>
              </w:divBdr>
            </w:div>
          </w:divsChild>
        </w:div>
        <w:div w:id="1688827515">
          <w:marLeft w:val="0"/>
          <w:marRight w:val="0"/>
          <w:marTop w:val="0"/>
          <w:marBottom w:val="0"/>
          <w:divBdr>
            <w:top w:val="none" w:sz="0" w:space="0" w:color="auto"/>
            <w:left w:val="none" w:sz="0" w:space="0" w:color="auto"/>
            <w:bottom w:val="none" w:sz="0" w:space="0" w:color="auto"/>
            <w:right w:val="none" w:sz="0" w:space="0" w:color="auto"/>
          </w:divBdr>
          <w:divsChild>
            <w:div w:id="1682200711">
              <w:marLeft w:val="0"/>
              <w:marRight w:val="0"/>
              <w:marTop w:val="0"/>
              <w:marBottom w:val="0"/>
              <w:divBdr>
                <w:top w:val="none" w:sz="0" w:space="0" w:color="auto"/>
                <w:left w:val="none" w:sz="0" w:space="0" w:color="auto"/>
                <w:bottom w:val="none" w:sz="0" w:space="0" w:color="auto"/>
                <w:right w:val="none" w:sz="0" w:space="0" w:color="auto"/>
              </w:divBdr>
            </w:div>
          </w:divsChild>
        </w:div>
        <w:div w:id="1694988927">
          <w:marLeft w:val="0"/>
          <w:marRight w:val="0"/>
          <w:marTop w:val="0"/>
          <w:marBottom w:val="0"/>
          <w:divBdr>
            <w:top w:val="none" w:sz="0" w:space="0" w:color="auto"/>
            <w:left w:val="none" w:sz="0" w:space="0" w:color="auto"/>
            <w:bottom w:val="none" w:sz="0" w:space="0" w:color="auto"/>
            <w:right w:val="none" w:sz="0" w:space="0" w:color="auto"/>
          </w:divBdr>
          <w:divsChild>
            <w:div w:id="329794574">
              <w:marLeft w:val="0"/>
              <w:marRight w:val="0"/>
              <w:marTop w:val="0"/>
              <w:marBottom w:val="0"/>
              <w:divBdr>
                <w:top w:val="none" w:sz="0" w:space="0" w:color="auto"/>
                <w:left w:val="none" w:sz="0" w:space="0" w:color="auto"/>
                <w:bottom w:val="none" w:sz="0" w:space="0" w:color="auto"/>
                <w:right w:val="none" w:sz="0" w:space="0" w:color="auto"/>
              </w:divBdr>
            </w:div>
          </w:divsChild>
        </w:div>
        <w:div w:id="1698240092">
          <w:marLeft w:val="0"/>
          <w:marRight w:val="0"/>
          <w:marTop w:val="0"/>
          <w:marBottom w:val="0"/>
          <w:divBdr>
            <w:top w:val="none" w:sz="0" w:space="0" w:color="auto"/>
            <w:left w:val="none" w:sz="0" w:space="0" w:color="auto"/>
            <w:bottom w:val="none" w:sz="0" w:space="0" w:color="auto"/>
            <w:right w:val="none" w:sz="0" w:space="0" w:color="auto"/>
          </w:divBdr>
          <w:divsChild>
            <w:div w:id="544560407">
              <w:marLeft w:val="0"/>
              <w:marRight w:val="0"/>
              <w:marTop w:val="0"/>
              <w:marBottom w:val="0"/>
              <w:divBdr>
                <w:top w:val="none" w:sz="0" w:space="0" w:color="auto"/>
                <w:left w:val="none" w:sz="0" w:space="0" w:color="auto"/>
                <w:bottom w:val="none" w:sz="0" w:space="0" w:color="auto"/>
                <w:right w:val="none" w:sz="0" w:space="0" w:color="auto"/>
              </w:divBdr>
            </w:div>
          </w:divsChild>
        </w:div>
        <w:div w:id="1718626894">
          <w:marLeft w:val="0"/>
          <w:marRight w:val="0"/>
          <w:marTop w:val="0"/>
          <w:marBottom w:val="0"/>
          <w:divBdr>
            <w:top w:val="none" w:sz="0" w:space="0" w:color="auto"/>
            <w:left w:val="none" w:sz="0" w:space="0" w:color="auto"/>
            <w:bottom w:val="none" w:sz="0" w:space="0" w:color="auto"/>
            <w:right w:val="none" w:sz="0" w:space="0" w:color="auto"/>
          </w:divBdr>
          <w:divsChild>
            <w:div w:id="412901645">
              <w:marLeft w:val="0"/>
              <w:marRight w:val="0"/>
              <w:marTop w:val="0"/>
              <w:marBottom w:val="0"/>
              <w:divBdr>
                <w:top w:val="none" w:sz="0" w:space="0" w:color="auto"/>
                <w:left w:val="none" w:sz="0" w:space="0" w:color="auto"/>
                <w:bottom w:val="none" w:sz="0" w:space="0" w:color="auto"/>
                <w:right w:val="none" w:sz="0" w:space="0" w:color="auto"/>
              </w:divBdr>
            </w:div>
          </w:divsChild>
        </w:div>
        <w:div w:id="1736125357">
          <w:marLeft w:val="0"/>
          <w:marRight w:val="0"/>
          <w:marTop w:val="0"/>
          <w:marBottom w:val="0"/>
          <w:divBdr>
            <w:top w:val="none" w:sz="0" w:space="0" w:color="auto"/>
            <w:left w:val="none" w:sz="0" w:space="0" w:color="auto"/>
            <w:bottom w:val="none" w:sz="0" w:space="0" w:color="auto"/>
            <w:right w:val="none" w:sz="0" w:space="0" w:color="auto"/>
          </w:divBdr>
          <w:divsChild>
            <w:div w:id="584918555">
              <w:marLeft w:val="0"/>
              <w:marRight w:val="0"/>
              <w:marTop w:val="0"/>
              <w:marBottom w:val="0"/>
              <w:divBdr>
                <w:top w:val="none" w:sz="0" w:space="0" w:color="auto"/>
                <w:left w:val="none" w:sz="0" w:space="0" w:color="auto"/>
                <w:bottom w:val="none" w:sz="0" w:space="0" w:color="auto"/>
                <w:right w:val="none" w:sz="0" w:space="0" w:color="auto"/>
              </w:divBdr>
            </w:div>
          </w:divsChild>
        </w:div>
        <w:div w:id="1775636255">
          <w:marLeft w:val="0"/>
          <w:marRight w:val="0"/>
          <w:marTop w:val="0"/>
          <w:marBottom w:val="0"/>
          <w:divBdr>
            <w:top w:val="none" w:sz="0" w:space="0" w:color="auto"/>
            <w:left w:val="none" w:sz="0" w:space="0" w:color="auto"/>
            <w:bottom w:val="none" w:sz="0" w:space="0" w:color="auto"/>
            <w:right w:val="none" w:sz="0" w:space="0" w:color="auto"/>
          </w:divBdr>
          <w:divsChild>
            <w:div w:id="1444613927">
              <w:marLeft w:val="0"/>
              <w:marRight w:val="0"/>
              <w:marTop w:val="0"/>
              <w:marBottom w:val="0"/>
              <w:divBdr>
                <w:top w:val="none" w:sz="0" w:space="0" w:color="auto"/>
                <w:left w:val="none" w:sz="0" w:space="0" w:color="auto"/>
                <w:bottom w:val="none" w:sz="0" w:space="0" w:color="auto"/>
                <w:right w:val="none" w:sz="0" w:space="0" w:color="auto"/>
              </w:divBdr>
            </w:div>
          </w:divsChild>
        </w:div>
        <w:div w:id="1855219878">
          <w:marLeft w:val="0"/>
          <w:marRight w:val="0"/>
          <w:marTop w:val="0"/>
          <w:marBottom w:val="0"/>
          <w:divBdr>
            <w:top w:val="none" w:sz="0" w:space="0" w:color="auto"/>
            <w:left w:val="none" w:sz="0" w:space="0" w:color="auto"/>
            <w:bottom w:val="none" w:sz="0" w:space="0" w:color="auto"/>
            <w:right w:val="none" w:sz="0" w:space="0" w:color="auto"/>
          </w:divBdr>
          <w:divsChild>
            <w:div w:id="1981572503">
              <w:marLeft w:val="0"/>
              <w:marRight w:val="0"/>
              <w:marTop w:val="0"/>
              <w:marBottom w:val="0"/>
              <w:divBdr>
                <w:top w:val="none" w:sz="0" w:space="0" w:color="auto"/>
                <w:left w:val="none" w:sz="0" w:space="0" w:color="auto"/>
                <w:bottom w:val="none" w:sz="0" w:space="0" w:color="auto"/>
                <w:right w:val="none" w:sz="0" w:space="0" w:color="auto"/>
              </w:divBdr>
            </w:div>
          </w:divsChild>
        </w:div>
        <w:div w:id="1856311277">
          <w:marLeft w:val="0"/>
          <w:marRight w:val="0"/>
          <w:marTop w:val="0"/>
          <w:marBottom w:val="0"/>
          <w:divBdr>
            <w:top w:val="none" w:sz="0" w:space="0" w:color="auto"/>
            <w:left w:val="none" w:sz="0" w:space="0" w:color="auto"/>
            <w:bottom w:val="none" w:sz="0" w:space="0" w:color="auto"/>
            <w:right w:val="none" w:sz="0" w:space="0" w:color="auto"/>
          </w:divBdr>
          <w:divsChild>
            <w:div w:id="41294102">
              <w:marLeft w:val="0"/>
              <w:marRight w:val="0"/>
              <w:marTop w:val="0"/>
              <w:marBottom w:val="0"/>
              <w:divBdr>
                <w:top w:val="none" w:sz="0" w:space="0" w:color="auto"/>
                <w:left w:val="none" w:sz="0" w:space="0" w:color="auto"/>
                <w:bottom w:val="none" w:sz="0" w:space="0" w:color="auto"/>
                <w:right w:val="none" w:sz="0" w:space="0" w:color="auto"/>
              </w:divBdr>
            </w:div>
          </w:divsChild>
        </w:div>
        <w:div w:id="1905069483">
          <w:marLeft w:val="0"/>
          <w:marRight w:val="0"/>
          <w:marTop w:val="0"/>
          <w:marBottom w:val="0"/>
          <w:divBdr>
            <w:top w:val="none" w:sz="0" w:space="0" w:color="auto"/>
            <w:left w:val="none" w:sz="0" w:space="0" w:color="auto"/>
            <w:bottom w:val="none" w:sz="0" w:space="0" w:color="auto"/>
            <w:right w:val="none" w:sz="0" w:space="0" w:color="auto"/>
          </w:divBdr>
          <w:divsChild>
            <w:div w:id="1612669638">
              <w:marLeft w:val="0"/>
              <w:marRight w:val="0"/>
              <w:marTop w:val="0"/>
              <w:marBottom w:val="0"/>
              <w:divBdr>
                <w:top w:val="none" w:sz="0" w:space="0" w:color="auto"/>
                <w:left w:val="none" w:sz="0" w:space="0" w:color="auto"/>
                <w:bottom w:val="none" w:sz="0" w:space="0" w:color="auto"/>
                <w:right w:val="none" w:sz="0" w:space="0" w:color="auto"/>
              </w:divBdr>
            </w:div>
          </w:divsChild>
        </w:div>
        <w:div w:id="1995448880">
          <w:marLeft w:val="0"/>
          <w:marRight w:val="0"/>
          <w:marTop w:val="0"/>
          <w:marBottom w:val="0"/>
          <w:divBdr>
            <w:top w:val="none" w:sz="0" w:space="0" w:color="auto"/>
            <w:left w:val="none" w:sz="0" w:space="0" w:color="auto"/>
            <w:bottom w:val="none" w:sz="0" w:space="0" w:color="auto"/>
            <w:right w:val="none" w:sz="0" w:space="0" w:color="auto"/>
          </w:divBdr>
          <w:divsChild>
            <w:div w:id="142165690">
              <w:marLeft w:val="0"/>
              <w:marRight w:val="0"/>
              <w:marTop w:val="0"/>
              <w:marBottom w:val="0"/>
              <w:divBdr>
                <w:top w:val="none" w:sz="0" w:space="0" w:color="auto"/>
                <w:left w:val="none" w:sz="0" w:space="0" w:color="auto"/>
                <w:bottom w:val="none" w:sz="0" w:space="0" w:color="auto"/>
                <w:right w:val="none" w:sz="0" w:space="0" w:color="auto"/>
              </w:divBdr>
            </w:div>
          </w:divsChild>
        </w:div>
        <w:div w:id="2052807171">
          <w:marLeft w:val="0"/>
          <w:marRight w:val="0"/>
          <w:marTop w:val="0"/>
          <w:marBottom w:val="0"/>
          <w:divBdr>
            <w:top w:val="none" w:sz="0" w:space="0" w:color="auto"/>
            <w:left w:val="none" w:sz="0" w:space="0" w:color="auto"/>
            <w:bottom w:val="none" w:sz="0" w:space="0" w:color="auto"/>
            <w:right w:val="none" w:sz="0" w:space="0" w:color="auto"/>
          </w:divBdr>
          <w:divsChild>
            <w:div w:id="845824228">
              <w:marLeft w:val="0"/>
              <w:marRight w:val="0"/>
              <w:marTop w:val="0"/>
              <w:marBottom w:val="0"/>
              <w:divBdr>
                <w:top w:val="none" w:sz="0" w:space="0" w:color="auto"/>
                <w:left w:val="none" w:sz="0" w:space="0" w:color="auto"/>
                <w:bottom w:val="none" w:sz="0" w:space="0" w:color="auto"/>
                <w:right w:val="none" w:sz="0" w:space="0" w:color="auto"/>
              </w:divBdr>
            </w:div>
          </w:divsChild>
        </w:div>
        <w:div w:id="2092000083">
          <w:marLeft w:val="0"/>
          <w:marRight w:val="0"/>
          <w:marTop w:val="0"/>
          <w:marBottom w:val="0"/>
          <w:divBdr>
            <w:top w:val="none" w:sz="0" w:space="0" w:color="auto"/>
            <w:left w:val="none" w:sz="0" w:space="0" w:color="auto"/>
            <w:bottom w:val="none" w:sz="0" w:space="0" w:color="auto"/>
            <w:right w:val="none" w:sz="0" w:space="0" w:color="auto"/>
          </w:divBdr>
          <w:divsChild>
            <w:div w:id="942685692">
              <w:marLeft w:val="0"/>
              <w:marRight w:val="0"/>
              <w:marTop w:val="0"/>
              <w:marBottom w:val="0"/>
              <w:divBdr>
                <w:top w:val="none" w:sz="0" w:space="0" w:color="auto"/>
                <w:left w:val="none" w:sz="0" w:space="0" w:color="auto"/>
                <w:bottom w:val="none" w:sz="0" w:space="0" w:color="auto"/>
                <w:right w:val="none" w:sz="0" w:space="0" w:color="auto"/>
              </w:divBdr>
            </w:div>
          </w:divsChild>
        </w:div>
        <w:div w:id="2141268171">
          <w:marLeft w:val="0"/>
          <w:marRight w:val="0"/>
          <w:marTop w:val="0"/>
          <w:marBottom w:val="0"/>
          <w:divBdr>
            <w:top w:val="none" w:sz="0" w:space="0" w:color="auto"/>
            <w:left w:val="none" w:sz="0" w:space="0" w:color="auto"/>
            <w:bottom w:val="none" w:sz="0" w:space="0" w:color="auto"/>
            <w:right w:val="none" w:sz="0" w:space="0" w:color="auto"/>
          </w:divBdr>
          <w:divsChild>
            <w:div w:id="28319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499548">
      <w:bodyDiv w:val="1"/>
      <w:marLeft w:val="0"/>
      <w:marRight w:val="0"/>
      <w:marTop w:val="0"/>
      <w:marBottom w:val="0"/>
      <w:divBdr>
        <w:top w:val="none" w:sz="0" w:space="0" w:color="auto"/>
        <w:left w:val="none" w:sz="0" w:space="0" w:color="auto"/>
        <w:bottom w:val="none" w:sz="0" w:space="0" w:color="auto"/>
        <w:right w:val="none" w:sz="0" w:space="0" w:color="auto"/>
      </w:divBdr>
    </w:div>
    <w:div w:id="1538393456">
      <w:bodyDiv w:val="1"/>
      <w:marLeft w:val="0"/>
      <w:marRight w:val="0"/>
      <w:marTop w:val="0"/>
      <w:marBottom w:val="0"/>
      <w:divBdr>
        <w:top w:val="none" w:sz="0" w:space="0" w:color="auto"/>
        <w:left w:val="none" w:sz="0" w:space="0" w:color="auto"/>
        <w:bottom w:val="none" w:sz="0" w:space="0" w:color="auto"/>
        <w:right w:val="none" w:sz="0" w:space="0" w:color="auto"/>
      </w:divBdr>
      <w:divsChild>
        <w:div w:id="120731280">
          <w:marLeft w:val="0"/>
          <w:marRight w:val="0"/>
          <w:marTop w:val="0"/>
          <w:marBottom w:val="0"/>
          <w:divBdr>
            <w:top w:val="none" w:sz="0" w:space="0" w:color="auto"/>
            <w:left w:val="none" w:sz="0" w:space="0" w:color="auto"/>
            <w:bottom w:val="none" w:sz="0" w:space="0" w:color="auto"/>
            <w:right w:val="none" w:sz="0" w:space="0" w:color="auto"/>
          </w:divBdr>
        </w:div>
        <w:div w:id="1694531353">
          <w:marLeft w:val="0"/>
          <w:marRight w:val="0"/>
          <w:marTop w:val="0"/>
          <w:marBottom w:val="0"/>
          <w:divBdr>
            <w:top w:val="none" w:sz="0" w:space="0" w:color="auto"/>
            <w:left w:val="none" w:sz="0" w:space="0" w:color="auto"/>
            <w:bottom w:val="none" w:sz="0" w:space="0" w:color="auto"/>
            <w:right w:val="none" w:sz="0" w:space="0" w:color="auto"/>
          </w:divBdr>
        </w:div>
      </w:divsChild>
    </w:div>
    <w:div w:id="1552880023">
      <w:bodyDiv w:val="1"/>
      <w:marLeft w:val="0"/>
      <w:marRight w:val="0"/>
      <w:marTop w:val="0"/>
      <w:marBottom w:val="0"/>
      <w:divBdr>
        <w:top w:val="none" w:sz="0" w:space="0" w:color="auto"/>
        <w:left w:val="none" w:sz="0" w:space="0" w:color="auto"/>
        <w:bottom w:val="none" w:sz="0" w:space="0" w:color="auto"/>
        <w:right w:val="none" w:sz="0" w:space="0" w:color="auto"/>
      </w:divBdr>
      <w:divsChild>
        <w:div w:id="22488373">
          <w:marLeft w:val="0"/>
          <w:marRight w:val="0"/>
          <w:marTop w:val="0"/>
          <w:marBottom w:val="0"/>
          <w:divBdr>
            <w:top w:val="none" w:sz="0" w:space="0" w:color="auto"/>
            <w:left w:val="none" w:sz="0" w:space="0" w:color="auto"/>
            <w:bottom w:val="none" w:sz="0" w:space="0" w:color="auto"/>
            <w:right w:val="none" w:sz="0" w:space="0" w:color="auto"/>
          </w:divBdr>
        </w:div>
        <w:div w:id="69161826">
          <w:marLeft w:val="0"/>
          <w:marRight w:val="0"/>
          <w:marTop w:val="0"/>
          <w:marBottom w:val="0"/>
          <w:divBdr>
            <w:top w:val="none" w:sz="0" w:space="0" w:color="auto"/>
            <w:left w:val="none" w:sz="0" w:space="0" w:color="auto"/>
            <w:bottom w:val="none" w:sz="0" w:space="0" w:color="auto"/>
            <w:right w:val="none" w:sz="0" w:space="0" w:color="auto"/>
          </w:divBdr>
        </w:div>
        <w:div w:id="103774905">
          <w:marLeft w:val="0"/>
          <w:marRight w:val="0"/>
          <w:marTop w:val="0"/>
          <w:marBottom w:val="0"/>
          <w:divBdr>
            <w:top w:val="none" w:sz="0" w:space="0" w:color="auto"/>
            <w:left w:val="none" w:sz="0" w:space="0" w:color="auto"/>
            <w:bottom w:val="none" w:sz="0" w:space="0" w:color="auto"/>
            <w:right w:val="none" w:sz="0" w:space="0" w:color="auto"/>
          </w:divBdr>
        </w:div>
        <w:div w:id="180752917">
          <w:marLeft w:val="0"/>
          <w:marRight w:val="0"/>
          <w:marTop w:val="0"/>
          <w:marBottom w:val="0"/>
          <w:divBdr>
            <w:top w:val="none" w:sz="0" w:space="0" w:color="auto"/>
            <w:left w:val="none" w:sz="0" w:space="0" w:color="auto"/>
            <w:bottom w:val="none" w:sz="0" w:space="0" w:color="auto"/>
            <w:right w:val="none" w:sz="0" w:space="0" w:color="auto"/>
          </w:divBdr>
        </w:div>
        <w:div w:id="475681738">
          <w:marLeft w:val="0"/>
          <w:marRight w:val="0"/>
          <w:marTop w:val="0"/>
          <w:marBottom w:val="0"/>
          <w:divBdr>
            <w:top w:val="none" w:sz="0" w:space="0" w:color="auto"/>
            <w:left w:val="none" w:sz="0" w:space="0" w:color="auto"/>
            <w:bottom w:val="none" w:sz="0" w:space="0" w:color="auto"/>
            <w:right w:val="none" w:sz="0" w:space="0" w:color="auto"/>
          </w:divBdr>
        </w:div>
        <w:div w:id="840661157">
          <w:marLeft w:val="0"/>
          <w:marRight w:val="0"/>
          <w:marTop w:val="0"/>
          <w:marBottom w:val="0"/>
          <w:divBdr>
            <w:top w:val="none" w:sz="0" w:space="0" w:color="auto"/>
            <w:left w:val="none" w:sz="0" w:space="0" w:color="auto"/>
            <w:bottom w:val="none" w:sz="0" w:space="0" w:color="auto"/>
            <w:right w:val="none" w:sz="0" w:space="0" w:color="auto"/>
          </w:divBdr>
        </w:div>
        <w:div w:id="866258530">
          <w:marLeft w:val="0"/>
          <w:marRight w:val="0"/>
          <w:marTop w:val="0"/>
          <w:marBottom w:val="0"/>
          <w:divBdr>
            <w:top w:val="none" w:sz="0" w:space="0" w:color="auto"/>
            <w:left w:val="none" w:sz="0" w:space="0" w:color="auto"/>
            <w:bottom w:val="none" w:sz="0" w:space="0" w:color="auto"/>
            <w:right w:val="none" w:sz="0" w:space="0" w:color="auto"/>
          </w:divBdr>
        </w:div>
        <w:div w:id="1089931646">
          <w:marLeft w:val="0"/>
          <w:marRight w:val="0"/>
          <w:marTop w:val="0"/>
          <w:marBottom w:val="0"/>
          <w:divBdr>
            <w:top w:val="none" w:sz="0" w:space="0" w:color="auto"/>
            <w:left w:val="none" w:sz="0" w:space="0" w:color="auto"/>
            <w:bottom w:val="none" w:sz="0" w:space="0" w:color="auto"/>
            <w:right w:val="none" w:sz="0" w:space="0" w:color="auto"/>
          </w:divBdr>
        </w:div>
        <w:div w:id="1169372247">
          <w:marLeft w:val="0"/>
          <w:marRight w:val="0"/>
          <w:marTop w:val="0"/>
          <w:marBottom w:val="0"/>
          <w:divBdr>
            <w:top w:val="none" w:sz="0" w:space="0" w:color="auto"/>
            <w:left w:val="none" w:sz="0" w:space="0" w:color="auto"/>
            <w:bottom w:val="none" w:sz="0" w:space="0" w:color="auto"/>
            <w:right w:val="none" w:sz="0" w:space="0" w:color="auto"/>
          </w:divBdr>
        </w:div>
        <w:div w:id="1179006673">
          <w:marLeft w:val="0"/>
          <w:marRight w:val="0"/>
          <w:marTop w:val="0"/>
          <w:marBottom w:val="0"/>
          <w:divBdr>
            <w:top w:val="none" w:sz="0" w:space="0" w:color="auto"/>
            <w:left w:val="none" w:sz="0" w:space="0" w:color="auto"/>
            <w:bottom w:val="none" w:sz="0" w:space="0" w:color="auto"/>
            <w:right w:val="none" w:sz="0" w:space="0" w:color="auto"/>
          </w:divBdr>
        </w:div>
        <w:div w:id="1727994420">
          <w:marLeft w:val="0"/>
          <w:marRight w:val="0"/>
          <w:marTop w:val="0"/>
          <w:marBottom w:val="0"/>
          <w:divBdr>
            <w:top w:val="none" w:sz="0" w:space="0" w:color="auto"/>
            <w:left w:val="none" w:sz="0" w:space="0" w:color="auto"/>
            <w:bottom w:val="none" w:sz="0" w:space="0" w:color="auto"/>
            <w:right w:val="none" w:sz="0" w:space="0" w:color="auto"/>
          </w:divBdr>
        </w:div>
        <w:div w:id="1788698461">
          <w:marLeft w:val="0"/>
          <w:marRight w:val="0"/>
          <w:marTop w:val="0"/>
          <w:marBottom w:val="0"/>
          <w:divBdr>
            <w:top w:val="none" w:sz="0" w:space="0" w:color="auto"/>
            <w:left w:val="none" w:sz="0" w:space="0" w:color="auto"/>
            <w:bottom w:val="none" w:sz="0" w:space="0" w:color="auto"/>
            <w:right w:val="none" w:sz="0" w:space="0" w:color="auto"/>
          </w:divBdr>
        </w:div>
        <w:div w:id="1907757361">
          <w:marLeft w:val="0"/>
          <w:marRight w:val="0"/>
          <w:marTop w:val="0"/>
          <w:marBottom w:val="0"/>
          <w:divBdr>
            <w:top w:val="none" w:sz="0" w:space="0" w:color="auto"/>
            <w:left w:val="none" w:sz="0" w:space="0" w:color="auto"/>
            <w:bottom w:val="none" w:sz="0" w:space="0" w:color="auto"/>
            <w:right w:val="none" w:sz="0" w:space="0" w:color="auto"/>
          </w:divBdr>
        </w:div>
        <w:div w:id="2066416061">
          <w:marLeft w:val="0"/>
          <w:marRight w:val="0"/>
          <w:marTop w:val="0"/>
          <w:marBottom w:val="0"/>
          <w:divBdr>
            <w:top w:val="none" w:sz="0" w:space="0" w:color="auto"/>
            <w:left w:val="none" w:sz="0" w:space="0" w:color="auto"/>
            <w:bottom w:val="none" w:sz="0" w:space="0" w:color="auto"/>
            <w:right w:val="none" w:sz="0" w:space="0" w:color="auto"/>
          </w:divBdr>
        </w:div>
        <w:div w:id="2118451783">
          <w:marLeft w:val="0"/>
          <w:marRight w:val="0"/>
          <w:marTop w:val="0"/>
          <w:marBottom w:val="0"/>
          <w:divBdr>
            <w:top w:val="none" w:sz="0" w:space="0" w:color="auto"/>
            <w:left w:val="none" w:sz="0" w:space="0" w:color="auto"/>
            <w:bottom w:val="none" w:sz="0" w:space="0" w:color="auto"/>
            <w:right w:val="none" w:sz="0" w:space="0" w:color="auto"/>
          </w:divBdr>
        </w:div>
      </w:divsChild>
    </w:div>
    <w:div w:id="1557662094">
      <w:bodyDiv w:val="1"/>
      <w:marLeft w:val="0"/>
      <w:marRight w:val="0"/>
      <w:marTop w:val="0"/>
      <w:marBottom w:val="0"/>
      <w:divBdr>
        <w:top w:val="none" w:sz="0" w:space="0" w:color="auto"/>
        <w:left w:val="none" w:sz="0" w:space="0" w:color="auto"/>
        <w:bottom w:val="none" w:sz="0" w:space="0" w:color="auto"/>
        <w:right w:val="none" w:sz="0" w:space="0" w:color="auto"/>
      </w:divBdr>
    </w:div>
    <w:div w:id="1570651136">
      <w:bodyDiv w:val="1"/>
      <w:marLeft w:val="0"/>
      <w:marRight w:val="0"/>
      <w:marTop w:val="0"/>
      <w:marBottom w:val="0"/>
      <w:divBdr>
        <w:top w:val="none" w:sz="0" w:space="0" w:color="auto"/>
        <w:left w:val="none" w:sz="0" w:space="0" w:color="auto"/>
        <w:bottom w:val="none" w:sz="0" w:space="0" w:color="auto"/>
        <w:right w:val="none" w:sz="0" w:space="0" w:color="auto"/>
      </w:divBdr>
    </w:div>
    <w:div w:id="1587767185">
      <w:bodyDiv w:val="1"/>
      <w:marLeft w:val="0"/>
      <w:marRight w:val="0"/>
      <w:marTop w:val="0"/>
      <w:marBottom w:val="0"/>
      <w:divBdr>
        <w:top w:val="none" w:sz="0" w:space="0" w:color="auto"/>
        <w:left w:val="none" w:sz="0" w:space="0" w:color="auto"/>
        <w:bottom w:val="none" w:sz="0" w:space="0" w:color="auto"/>
        <w:right w:val="none" w:sz="0" w:space="0" w:color="auto"/>
      </w:divBdr>
      <w:divsChild>
        <w:div w:id="596595385">
          <w:marLeft w:val="0"/>
          <w:marRight w:val="0"/>
          <w:marTop w:val="0"/>
          <w:marBottom w:val="0"/>
          <w:divBdr>
            <w:top w:val="none" w:sz="0" w:space="0" w:color="auto"/>
            <w:left w:val="none" w:sz="0" w:space="0" w:color="auto"/>
            <w:bottom w:val="none" w:sz="0" w:space="0" w:color="auto"/>
            <w:right w:val="none" w:sz="0" w:space="0" w:color="auto"/>
          </w:divBdr>
        </w:div>
        <w:div w:id="664475808">
          <w:marLeft w:val="0"/>
          <w:marRight w:val="0"/>
          <w:marTop w:val="0"/>
          <w:marBottom w:val="0"/>
          <w:divBdr>
            <w:top w:val="none" w:sz="0" w:space="0" w:color="auto"/>
            <w:left w:val="none" w:sz="0" w:space="0" w:color="auto"/>
            <w:bottom w:val="none" w:sz="0" w:space="0" w:color="auto"/>
            <w:right w:val="none" w:sz="0" w:space="0" w:color="auto"/>
          </w:divBdr>
        </w:div>
        <w:div w:id="858860216">
          <w:marLeft w:val="0"/>
          <w:marRight w:val="0"/>
          <w:marTop w:val="0"/>
          <w:marBottom w:val="0"/>
          <w:divBdr>
            <w:top w:val="none" w:sz="0" w:space="0" w:color="auto"/>
            <w:left w:val="none" w:sz="0" w:space="0" w:color="auto"/>
            <w:bottom w:val="none" w:sz="0" w:space="0" w:color="auto"/>
            <w:right w:val="none" w:sz="0" w:space="0" w:color="auto"/>
          </w:divBdr>
        </w:div>
        <w:div w:id="1276719239">
          <w:marLeft w:val="0"/>
          <w:marRight w:val="0"/>
          <w:marTop w:val="0"/>
          <w:marBottom w:val="0"/>
          <w:divBdr>
            <w:top w:val="none" w:sz="0" w:space="0" w:color="auto"/>
            <w:left w:val="none" w:sz="0" w:space="0" w:color="auto"/>
            <w:bottom w:val="none" w:sz="0" w:space="0" w:color="auto"/>
            <w:right w:val="none" w:sz="0" w:space="0" w:color="auto"/>
          </w:divBdr>
        </w:div>
        <w:div w:id="2028554514">
          <w:marLeft w:val="0"/>
          <w:marRight w:val="0"/>
          <w:marTop w:val="0"/>
          <w:marBottom w:val="0"/>
          <w:divBdr>
            <w:top w:val="none" w:sz="0" w:space="0" w:color="auto"/>
            <w:left w:val="none" w:sz="0" w:space="0" w:color="auto"/>
            <w:bottom w:val="none" w:sz="0" w:space="0" w:color="auto"/>
            <w:right w:val="none" w:sz="0" w:space="0" w:color="auto"/>
          </w:divBdr>
        </w:div>
      </w:divsChild>
    </w:div>
    <w:div w:id="1603755280">
      <w:bodyDiv w:val="1"/>
      <w:marLeft w:val="0"/>
      <w:marRight w:val="0"/>
      <w:marTop w:val="0"/>
      <w:marBottom w:val="0"/>
      <w:divBdr>
        <w:top w:val="none" w:sz="0" w:space="0" w:color="auto"/>
        <w:left w:val="none" w:sz="0" w:space="0" w:color="auto"/>
        <w:bottom w:val="none" w:sz="0" w:space="0" w:color="auto"/>
        <w:right w:val="none" w:sz="0" w:space="0" w:color="auto"/>
      </w:divBdr>
      <w:divsChild>
        <w:div w:id="826826364">
          <w:marLeft w:val="0"/>
          <w:marRight w:val="0"/>
          <w:marTop w:val="0"/>
          <w:marBottom w:val="0"/>
          <w:divBdr>
            <w:top w:val="none" w:sz="0" w:space="0" w:color="auto"/>
            <w:left w:val="none" w:sz="0" w:space="0" w:color="auto"/>
            <w:bottom w:val="none" w:sz="0" w:space="0" w:color="auto"/>
            <w:right w:val="none" w:sz="0" w:space="0" w:color="auto"/>
          </w:divBdr>
        </w:div>
        <w:div w:id="1478455670">
          <w:marLeft w:val="0"/>
          <w:marRight w:val="0"/>
          <w:marTop w:val="0"/>
          <w:marBottom w:val="0"/>
          <w:divBdr>
            <w:top w:val="none" w:sz="0" w:space="0" w:color="auto"/>
            <w:left w:val="none" w:sz="0" w:space="0" w:color="auto"/>
            <w:bottom w:val="none" w:sz="0" w:space="0" w:color="auto"/>
            <w:right w:val="none" w:sz="0" w:space="0" w:color="auto"/>
          </w:divBdr>
        </w:div>
      </w:divsChild>
    </w:div>
    <w:div w:id="1620410132">
      <w:bodyDiv w:val="1"/>
      <w:marLeft w:val="0"/>
      <w:marRight w:val="0"/>
      <w:marTop w:val="0"/>
      <w:marBottom w:val="0"/>
      <w:divBdr>
        <w:top w:val="none" w:sz="0" w:space="0" w:color="auto"/>
        <w:left w:val="none" w:sz="0" w:space="0" w:color="auto"/>
        <w:bottom w:val="none" w:sz="0" w:space="0" w:color="auto"/>
        <w:right w:val="none" w:sz="0" w:space="0" w:color="auto"/>
      </w:divBdr>
      <w:divsChild>
        <w:div w:id="32853654">
          <w:marLeft w:val="0"/>
          <w:marRight w:val="0"/>
          <w:marTop w:val="0"/>
          <w:marBottom w:val="0"/>
          <w:divBdr>
            <w:top w:val="none" w:sz="0" w:space="0" w:color="auto"/>
            <w:left w:val="none" w:sz="0" w:space="0" w:color="auto"/>
            <w:bottom w:val="none" w:sz="0" w:space="0" w:color="auto"/>
            <w:right w:val="none" w:sz="0" w:space="0" w:color="auto"/>
          </w:divBdr>
          <w:divsChild>
            <w:div w:id="1964072523">
              <w:marLeft w:val="0"/>
              <w:marRight w:val="0"/>
              <w:marTop w:val="0"/>
              <w:marBottom w:val="0"/>
              <w:divBdr>
                <w:top w:val="none" w:sz="0" w:space="0" w:color="auto"/>
                <w:left w:val="none" w:sz="0" w:space="0" w:color="auto"/>
                <w:bottom w:val="none" w:sz="0" w:space="0" w:color="auto"/>
                <w:right w:val="none" w:sz="0" w:space="0" w:color="auto"/>
              </w:divBdr>
            </w:div>
          </w:divsChild>
        </w:div>
        <w:div w:id="46732110">
          <w:marLeft w:val="0"/>
          <w:marRight w:val="0"/>
          <w:marTop w:val="0"/>
          <w:marBottom w:val="0"/>
          <w:divBdr>
            <w:top w:val="none" w:sz="0" w:space="0" w:color="auto"/>
            <w:left w:val="none" w:sz="0" w:space="0" w:color="auto"/>
            <w:bottom w:val="none" w:sz="0" w:space="0" w:color="auto"/>
            <w:right w:val="none" w:sz="0" w:space="0" w:color="auto"/>
          </w:divBdr>
          <w:divsChild>
            <w:div w:id="1442341661">
              <w:marLeft w:val="0"/>
              <w:marRight w:val="0"/>
              <w:marTop w:val="0"/>
              <w:marBottom w:val="0"/>
              <w:divBdr>
                <w:top w:val="none" w:sz="0" w:space="0" w:color="auto"/>
                <w:left w:val="none" w:sz="0" w:space="0" w:color="auto"/>
                <w:bottom w:val="none" w:sz="0" w:space="0" w:color="auto"/>
                <w:right w:val="none" w:sz="0" w:space="0" w:color="auto"/>
              </w:divBdr>
            </w:div>
          </w:divsChild>
        </w:div>
        <w:div w:id="56050644">
          <w:marLeft w:val="0"/>
          <w:marRight w:val="0"/>
          <w:marTop w:val="0"/>
          <w:marBottom w:val="0"/>
          <w:divBdr>
            <w:top w:val="none" w:sz="0" w:space="0" w:color="auto"/>
            <w:left w:val="none" w:sz="0" w:space="0" w:color="auto"/>
            <w:bottom w:val="none" w:sz="0" w:space="0" w:color="auto"/>
            <w:right w:val="none" w:sz="0" w:space="0" w:color="auto"/>
          </w:divBdr>
          <w:divsChild>
            <w:div w:id="1678387973">
              <w:marLeft w:val="0"/>
              <w:marRight w:val="0"/>
              <w:marTop w:val="0"/>
              <w:marBottom w:val="0"/>
              <w:divBdr>
                <w:top w:val="none" w:sz="0" w:space="0" w:color="auto"/>
                <w:left w:val="none" w:sz="0" w:space="0" w:color="auto"/>
                <w:bottom w:val="none" w:sz="0" w:space="0" w:color="auto"/>
                <w:right w:val="none" w:sz="0" w:space="0" w:color="auto"/>
              </w:divBdr>
            </w:div>
          </w:divsChild>
        </w:div>
        <w:div w:id="109863645">
          <w:marLeft w:val="0"/>
          <w:marRight w:val="0"/>
          <w:marTop w:val="0"/>
          <w:marBottom w:val="0"/>
          <w:divBdr>
            <w:top w:val="none" w:sz="0" w:space="0" w:color="auto"/>
            <w:left w:val="none" w:sz="0" w:space="0" w:color="auto"/>
            <w:bottom w:val="none" w:sz="0" w:space="0" w:color="auto"/>
            <w:right w:val="none" w:sz="0" w:space="0" w:color="auto"/>
          </w:divBdr>
          <w:divsChild>
            <w:div w:id="2102288734">
              <w:marLeft w:val="0"/>
              <w:marRight w:val="0"/>
              <w:marTop w:val="0"/>
              <w:marBottom w:val="0"/>
              <w:divBdr>
                <w:top w:val="none" w:sz="0" w:space="0" w:color="auto"/>
                <w:left w:val="none" w:sz="0" w:space="0" w:color="auto"/>
                <w:bottom w:val="none" w:sz="0" w:space="0" w:color="auto"/>
                <w:right w:val="none" w:sz="0" w:space="0" w:color="auto"/>
              </w:divBdr>
            </w:div>
          </w:divsChild>
        </w:div>
        <w:div w:id="117840890">
          <w:marLeft w:val="0"/>
          <w:marRight w:val="0"/>
          <w:marTop w:val="0"/>
          <w:marBottom w:val="0"/>
          <w:divBdr>
            <w:top w:val="none" w:sz="0" w:space="0" w:color="auto"/>
            <w:left w:val="none" w:sz="0" w:space="0" w:color="auto"/>
            <w:bottom w:val="none" w:sz="0" w:space="0" w:color="auto"/>
            <w:right w:val="none" w:sz="0" w:space="0" w:color="auto"/>
          </w:divBdr>
          <w:divsChild>
            <w:div w:id="2085637346">
              <w:marLeft w:val="0"/>
              <w:marRight w:val="0"/>
              <w:marTop w:val="0"/>
              <w:marBottom w:val="0"/>
              <w:divBdr>
                <w:top w:val="none" w:sz="0" w:space="0" w:color="auto"/>
                <w:left w:val="none" w:sz="0" w:space="0" w:color="auto"/>
                <w:bottom w:val="none" w:sz="0" w:space="0" w:color="auto"/>
                <w:right w:val="none" w:sz="0" w:space="0" w:color="auto"/>
              </w:divBdr>
            </w:div>
          </w:divsChild>
        </w:div>
        <w:div w:id="136532866">
          <w:marLeft w:val="0"/>
          <w:marRight w:val="0"/>
          <w:marTop w:val="0"/>
          <w:marBottom w:val="0"/>
          <w:divBdr>
            <w:top w:val="none" w:sz="0" w:space="0" w:color="auto"/>
            <w:left w:val="none" w:sz="0" w:space="0" w:color="auto"/>
            <w:bottom w:val="none" w:sz="0" w:space="0" w:color="auto"/>
            <w:right w:val="none" w:sz="0" w:space="0" w:color="auto"/>
          </w:divBdr>
          <w:divsChild>
            <w:div w:id="1174613909">
              <w:marLeft w:val="0"/>
              <w:marRight w:val="0"/>
              <w:marTop w:val="0"/>
              <w:marBottom w:val="0"/>
              <w:divBdr>
                <w:top w:val="none" w:sz="0" w:space="0" w:color="auto"/>
                <w:left w:val="none" w:sz="0" w:space="0" w:color="auto"/>
                <w:bottom w:val="none" w:sz="0" w:space="0" w:color="auto"/>
                <w:right w:val="none" w:sz="0" w:space="0" w:color="auto"/>
              </w:divBdr>
            </w:div>
          </w:divsChild>
        </w:div>
        <w:div w:id="165675445">
          <w:marLeft w:val="0"/>
          <w:marRight w:val="0"/>
          <w:marTop w:val="0"/>
          <w:marBottom w:val="0"/>
          <w:divBdr>
            <w:top w:val="none" w:sz="0" w:space="0" w:color="auto"/>
            <w:left w:val="none" w:sz="0" w:space="0" w:color="auto"/>
            <w:bottom w:val="none" w:sz="0" w:space="0" w:color="auto"/>
            <w:right w:val="none" w:sz="0" w:space="0" w:color="auto"/>
          </w:divBdr>
          <w:divsChild>
            <w:div w:id="1312827578">
              <w:marLeft w:val="0"/>
              <w:marRight w:val="0"/>
              <w:marTop w:val="0"/>
              <w:marBottom w:val="0"/>
              <w:divBdr>
                <w:top w:val="none" w:sz="0" w:space="0" w:color="auto"/>
                <w:left w:val="none" w:sz="0" w:space="0" w:color="auto"/>
                <w:bottom w:val="none" w:sz="0" w:space="0" w:color="auto"/>
                <w:right w:val="none" w:sz="0" w:space="0" w:color="auto"/>
              </w:divBdr>
            </w:div>
          </w:divsChild>
        </w:div>
        <w:div w:id="229311265">
          <w:marLeft w:val="0"/>
          <w:marRight w:val="0"/>
          <w:marTop w:val="0"/>
          <w:marBottom w:val="0"/>
          <w:divBdr>
            <w:top w:val="none" w:sz="0" w:space="0" w:color="auto"/>
            <w:left w:val="none" w:sz="0" w:space="0" w:color="auto"/>
            <w:bottom w:val="none" w:sz="0" w:space="0" w:color="auto"/>
            <w:right w:val="none" w:sz="0" w:space="0" w:color="auto"/>
          </w:divBdr>
          <w:divsChild>
            <w:div w:id="1526403874">
              <w:marLeft w:val="0"/>
              <w:marRight w:val="0"/>
              <w:marTop w:val="0"/>
              <w:marBottom w:val="0"/>
              <w:divBdr>
                <w:top w:val="none" w:sz="0" w:space="0" w:color="auto"/>
                <w:left w:val="none" w:sz="0" w:space="0" w:color="auto"/>
                <w:bottom w:val="none" w:sz="0" w:space="0" w:color="auto"/>
                <w:right w:val="none" w:sz="0" w:space="0" w:color="auto"/>
              </w:divBdr>
            </w:div>
          </w:divsChild>
        </w:div>
        <w:div w:id="346837425">
          <w:marLeft w:val="0"/>
          <w:marRight w:val="0"/>
          <w:marTop w:val="0"/>
          <w:marBottom w:val="0"/>
          <w:divBdr>
            <w:top w:val="none" w:sz="0" w:space="0" w:color="auto"/>
            <w:left w:val="none" w:sz="0" w:space="0" w:color="auto"/>
            <w:bottom w:val="none" w:sz="0" w:space="0" w:color="auto"/>
            <w:right w:val="none" w:sz="0" w:space="0" w:color="auto"/>
          </w:divBdr>
          <w:divsChild>
            <w:div w:id="1175261426">
              <w:marLeft w:val="0"/>
              <w:marRight w:val="0"/>
              <w:marTop w:val="0"/>
              <w:marBottom w:val="0"/>
              <w:divBdr>
                <w:top w:val="none" w:sz="0" w:space="0" w:color="auto"/>
                <w:left w:val="none" w:sz="0" w:space="0" w:color="auto"/>
                <w:bottom w:val="none" w:sz="0" w:space="0" w:color="auto"/>
                <w:right w:val="none" w:sz="0" w:space="0" w:color="auto"/>
              </w:divBdr>
            </w:div>
          </w:divsChild>
        </w:div>
        <w:div w:id="363097891">
          <w:marLeft w:val="0"/>
          <w:marRight w:val="0"/>
          <w:marTop w:val="0"/>
          <w:marBottom w:val="0"/>
          <w:divBdr>
            <w:top w:val="none" w:sz="0" w:space="0" w:color="auto"/>
            <w:left w:val="none" w:sz="0" w:space="0" w:color="auto"/>
            <w:bottom w:val="none" w:sz="0" w:space="0" w:color="auto"/>
            <w:right w:val="none" w:sz="0" w:space="0" w:color="auto"/>
          </w:divBdr>
          <w:divsChild>
            <w:div w:id="1052313147">
              <w:marLeft w:val="0"/>
              <w:marRight w:val="0"/>
              <w:marTop w:val="0"/>
              <w:marBottom w:val="0"/>
              <w:divBdr>
                <w:top w:val="none" w:sz="0" w:space="0" w:color="auto"/>
                <w:left w:val="none" w:sz="0" w:space="0" w:color="auto"/>
                <w:bottom w:val="none" w:sz="0" w:space="0" w:color="auto"/>
                <w:right w:val="none" w:sz="0" w:space="0" w:color="auto"/>
              </w:divBdr>
            </w:div>
          </w:divsChild>
        </w:div>
        <w:div w:id="384262233">
          <w:marLeft w:val="0"/>
          <w:marRight w:val="0"/>
          <w:marTop w:val="0"/>
          <w:marBottom w:val="0"/>
          <w:divBdr>
            <w:top w:val="none" w:sz="0" w:space="0" w:color="auto"/>
            <w:left w:val="none" w:sz="0" w:space="0" w:color="auto"/>
            <w:bottom w:val="none" w:sz="0" w:space="0" w:color="auto"/>
            <w:right w:val="none" w:sz="0" w:space="0" w:color="auto"/>
          </w:divBdr>
          <w:divsChild>
            <w:div w:id="145633627">
              <w:marLeft w:val="0"/>
              <w:marRight w:val="0"/>
              <w:marTop w:val="0"/>
              <w:marBottom w:val="0"/>
              <w:divBdr>
                <w:top w:val="none" w:sz="0" w:space="0" w:color="auto"/>
                <w:left w:val="none" w:sz="0" w:space="0" w:color="auto"/>
                <w:bottom w:val="none" w:sz="0" w:space="0" w:color="auto"/>
                <w:right w:val="none" w:sz="0" w:space="0" w:color="auto"/>
              </w:divBdr>
            </w:div>
          </w:divsChild>
        </w:div>
        <w:div w:id="479737802">
          <w:marLeft w:val="0"/>
          <w:marRight w:val="0"/>
          <w:marTop w:val="0"/>
          <w:marBottom w:val="0"/>
          <w:divBdr>
            <w:top w:val="none" w:sz="0" w:space="0" w:color="auto"/>
            <w:left w:val="none" w:sz="0" w:space="0" w:color="auto"/>
            <w:bottom w:val="none" w:sz="0" w:space="0" w:color="auto"/>
            <w:right w:val="none" w:sz="0" w:space="0" w:color="auto"/>
          </w:divBdr>
          <w:divsChild>
            <w:div w:id="1310859837">
              <w:marLeft w:val="0"/>
              <w:marRight w:val="0"/>
              <w:marTop w:val="0"/>
              <w:marBottom w:val="0"/>
              <w:divBdr>
                <w:top w:val="none" w:sz="0" w:space="0" w:color="auto"/>
                <w:left w:val="none" w:sz="0" w:space="0" w:color="auto"/>
                <w:bottom w:val="none" w:sz="0" w:space="0" w:color="auto"/>
                <w:right w:val="none" w:sz="0" w:space="0" w:color="auto"/>
              </w:divBdr>
            </w:div>
          </w:divsChild>
        </w:div>
        <w:div w:id="503396031">
          <w:marLeft w:val="0"/>
          <w:marRight w:val="0"/>
          <w:marTop w:val="0"/>
          <w:marBottom w:val="0"/>
          <w:divBdr>
            <w:top w:val="none" w:sz="0" w:space="0" w:color="auto"/>
            <w:left w:val="none" w:sz="0" w:space="0" w:color="auto"/>
            <w:bottom w:val="none" w:sz="0" w:space="0" w:color="auto"/>
            <w:right w:val="none" w:sz="0" w:space="0" w:color="auto"/>
          </w:divBdr>
          <w:divsChild>
            <w:div w:id="1792625723">
              <w:marLeft w:val="0"/>
              <w:marRight w:val="0"/>
              <w:marTop w:val="0"/>
              <w:marBottom w:val="0"/>
              <w:divBdr>
                <w:top w:val="none" w:sz="0" w:space="0" w:color="auto"/>
                <w:left w:val="none" w:sz="0" w:space="0" w:color="auto"/>
                <w:bottom w:val="none" w:sz="0" w:space="0" w:color="auto"/>
                <w:right w:val="none" w:sz="0" w:space="0" w:color="auto"/>
              </w:divBdr>
            </w:div>
          </w:divsChild>
        </w:div>
        <w:div w:id="505636945">
          <w:marLeft w:val="0"/>
          <w:marRight w:val="0"/>
          <w:marTop w:val="0"/>
          <w:marBottom w:val="0"/>
          <w:divBdr>
            <w:top w:val="none" w:sz="0" w:space="0" w:color="auto"/>
            <w:left w:val="none" w:sz="0" w:space="0" w:color="auto"/>
            <w:bottom w:val="none" w:sz="0" w:space="0" w:color="auto"/>
            <w:right w:val="none" w:sz="0" w:space="0" w:color="auto"/>
          </w:divBdr>
          <w:divsChild>
            <w:div w:id="1763450092">
              <w:marLeft w:val="0"/>
              <w:marRight w:val="0"/>
              <w:marTop w:val="0"/>
              <w:marBottom w:val="0"/>
              <w:divBdr>
                <w:top w:val="none" w:sz="0" w:space="0" w:color="auto"/>
                <w:left w:val="none" w:sz="0" w:space="0" w:color="auto"/>
                <w:bottom w:val="none" w:sz="0" w:space="0" w:color="auto"/>
                <w:right w:val="none" w:sz="0" w:space="0" w:color="auto"/>
              </w:divBdr>
            </w:div>
          </w:divsChild>
        </w:div>
        <w:div w:id="510989236">
          <w:marLeft w:val="0"/>
          <w:marRight w:val="0"/>
          <w:marTop w:val="0"/>
          <w:marBottom w:val="0"/>
          <w:divBdr>
            <w:top w:val="none" w:sz="0" w:space="0" w:color="auto"/>
            <w:left w:val="none" w:sz="0" w:space="0" w:color="auto"/>
            <w:bottom w:val="none" w:sz="0" w:space="0" w:color="auto"/>
            <w:right w:val="none" w:sz="0" w:space="0" w:color="auto"/>
          </w:divBdr>
          <w:divsChild>
            <w:div w:id="1511795355">
              <w:marLeft w:val="0"/>
              <w:marRight w:val="0"/>
              <w:marTop w:val="0"/>
              <w:marBottom w:val="0"/>
              <w:divBdr>
                <w:top w:val="none" w:sz="0" w:space="0" w:color="auto"/>
                <w:left w:val="none" w:sz="0" w:space="0" w:color="auto"/>
                <w:bottom w:val="none" w:sz="0" w:space="0" w:color="auto"/>
                <w:right w:val="none" w:sz="0" w:space="0" w:color="auto"/>
              </w:divBdr>
            </w:div>
          </w:divsChild>
        </w:div>
        <w:div w:id="524442509">
          <w:marLeft w:val="0"/>
          <w:marRight w:val="0"/>
          <w:marTop w:val="0"/>
          <w:marBottom w:val="0"/>
          <w:divBdr>
            <w:top w:val="none" w:sz="0" w:space="0" w:color="auto"/>
            <w:left w:val="none" w:sz="0" w:space="0" w:color="auto"/>
            <w:bottom w:val="none" w:sz="0" w:space="0" w:color="auto"/>
            <w:right w:val="none" w:sz="0" w:space="0" w:color="auto"/>
          </w:divBdr>
          <w:divsChild>
            <w:div w:id="1265305471">
              <w:marLeft w:val="0"/>
              <w:marRight w:val="0"/>
              <w:marTop w:val="0"/>
              <w:marBottom w:val="0"/>
              <w:divBdr>
                <w:top w:val="none" w:sz="0" w:space="0" w:color="auto"/>
                <w:left w:val="none" w:sz="0" w:space="0" w:color="auto"/>
                <w:bottom w:val="none" w:sz="0" w:space="0" w:color="auto"/>
                <w:right w:val="none" w:sz="0" w:space="0" w:color="auto"/>
              </w:divBdr>
            </w:div>
          </w:divsChild>
        </w:div>
        <w:div w:id="551162408">
          <w:marLeft w:val="0"/>
          <w:marRight w:val="0"/>
          <w:marTop w:val="0"/>
          <w:marBottom w:val="0"/>
          <w:divBdr>
            <w:top w:val="none" w:sz="0" w:space="0" w:color="auto"/>
            <w:left w:val="none" w:sz="0" w:space="0" w:color="auto"/>
            <w:bottom w:val="none" w:sz="0" w:space="0" w:color="auto"/>
            <w:right w:val="none" w:sz="0" w:space="0" w:color="auto"/>
          </w:divBdr>
          <w:divsChild>
            <w:div w:id="1419668245">
              <w:marLeft w:val="0"/>
              <w:marRight w:val="0"/>
              <w:marTop w:val="0"/>
              <w:marBottom w:val="0"/>
              <w:divBdr>
                <w:top w:val="none" w:sz="0" w:space="0" w:color="auto"/>
                <w:left w:val="none" w:sz="0" w:space="0" w:color="auto"/>
                <w:bottom w:val="none" w:sz="0" w:space="0" w:color="auto"/>
                <w:right w:val="none" w:sz="0" w:space="0" w:color="auto"/>
              </w:divBdr>
            </w:div>
          </w:divsChild>
        </w:div>
        <w:div w:id="553350305">
          <w:marLeft w:val="0"/>
          <w:marRight w:val="0"/>
          <w:marTop w:val="0"/>
          <w:marBottom w:val="0"/>
          <w:divBdr>
            <w:top w:val="none" w:sz="0" w:space="0" w:color="auto"/>
            <w:left w:val="none" w:sz="0" w:space="0" w:color="auto"/>
            <w:bottom w:val="none" w:sz="0" w:space="0" w:color="auto"/>
            <w:right w:val="none" w:sz="0" w:space="0" w:color="auto"/>
          </w:divBdr>
          <w:divsChild>
            <w:div w:id="1795438246">
              <w:marLeft w:val="0"/>
              <w:marRight w:val="0"/>
              <w:marTop w:val="0"/>
              <w:marBottom w:val="0"/>
              <w:divBdr>
                <w:top w:val="none" w:sz="0" w:space="0" w:color="auto"/>
                <w:left w:val="none" w:sz="0" w:space="0" w:color="auto"/>
                <w:bottom w:val="none" w:sz="0" w:space="0" w:color="auto"/>
                <w:right w:val="none" w:sz="0" w:space="0" w:color="auto"/>
              </w:divBdr>
            </w:div>
          </w:divsChild>
        </w:div>
        <w:div w:id="592207253">
          <w:marLeft w:val="0"/>
          <w:marRight w:val="0"/>
          <w:marTop w:val="0"/>
          <w:marBottom w:val="0"/>
          <w:divBdr>
            <w:top w:val="none" w:sz="0" w:space="0" w:color="auto"/>
            <w:left w:val="none" w:sz="0" w:space="0" w:color="auto"/>
            <w:bottom w:val="none" w:sz="0" w:space="0" w:color="auto"/>
            <w:right w:val="none" w:sz="0" w:space="0" w:color="auto"/>
          </w:divBdr>
          <w:divsChild>
            <w:div w:id="353847212">
              <w:marLeft w:val="0"/>
              <w:marRight w:val="0"/>
              <w:marTop w:val="0"/>
              <w:marBottom w:val="0"/>
              <w:divBdr>
                <w:top w:val="none" w:sz="0" w:space="0" w:color="auto"/>
                <w:left w:val="none" w:sz="0" w:space="0" w:color="auto"/>
                <w:bottom w:val="none" w:sz="0" w:space="0" w:color="auto"/>
                <w:right w:val="none" w:sz="0" w:space="0" w:color="auto"/>
              </w:divBdr>
            </w:div>
          </w:divsChild>
        </w:div>
        <w:div w:id="685836835">
          <w:marLeft w:val="0"/>
          <w:marRight w:val="0"/>
          <w:marTop w:val="0"/>
          <w:marBottom w:val="0"/>
          <w:divBdr>
            <w:top w:val="none" w:sz="0" w:space="0" w:color="auto"/>
            <w:left w:val="none" w:sz="0" w:space="0" w:color="auto"/>
            <w:bottom w:val="none" w:sz="0" w:space="0" w:color="auto"/>
            <w:right w:val="none" w:sz="0" w:space="0" w:color="auto"/>
          </w:divBdr>
          <w:divsChild>
            <w:div w:id="49967443">
              <w:marLeft w:val="0"/>
              <w:marRight w:val="0"/>
              <w:marTop w:val="0"/>
              <w:marBottom w:val="0"/>
              <w:divBdr>
                <w:top w:val="none" w:sz="0" w:space="0" w:color="auto"/>
                <w:left w:val="none" w:sz="0" w:space="0" w:color="auto"/>
                <w:bottom w:val="none" w:sz="0" w:space="0" w:color="auto"/>
                <w:right w:val="none" w:sz="0" w:space="0" w:color="auto"/>
              </w:divBdr>
            </w:div>
          </w:divsChild>
        </w:div>
        <w:div w:id="697464586">
          <w:marLeft w:val="0"/>
          <w:marRight w:val="0"/>
          <w:marTop w:val="0"/>
          <w:marBottom w:val="0"/>
          <w:divBdr>
            <w:top w:val="none" w:sz="0" w:space="0" w:color="auto"/>
            <w:left w:val="none" w:sz="0" w:space="0" w:color="auto"/>
            <w:bottom w:val="none" w:sz="0" w:space="0" w:color="auto"/>
            <w:right w:val="none" w:sz="0" w:space="0" w:color="auto"/>
          </w:divBdr>
          <w:divsChild>
            <w:div w:id="1565868201">
              <w:marLeft w:val="0"/>
              <w:marRight w:val="0"/>
              <w:marTop w:val="0"/>
              <w:marBottom w:val="0"/>
              <w:divBdr>
                <w:top w:val="none" w:sz="0" w:space="0" w:color="auto"/>
                <w:left w:val="none" w:sz="0" w:space="0" w:color="auto"/>
                <w:bottom w:val="none" w:sz="0" w:space="0" w:color="auto"/>
                <w:right w:val="none" w:sz="0" w:space="0" w:color="auto"/>
              </w:divBdr>
            </w:div>
          </w:divsChild>
        </w:div>
        <w:div w:id="732045276">
          <w:marLeft w:val="0"/>
          <w:marRight w:val="0"/>
          <w:marTop w:val="0"/>
          <w:marBottom w:val="0"/>
          <w:divBdr>
            <w:top w:val="none" w:sz="0" w:space="0" w:color="auto"/>
            <w:left w:val="none" w:sz="0" w:space="0" w:color="auto"/>
            <w:bottom w:val="none" w:sz="0" w:space="0" w:color="auto"/>
            <w:right w:val="none" w:sz="0" w:space="0" w:color="auto"/>
          </w:divBdr>
          <w:divsChild>
            <w:div w:id="1403526501">
              <w:marLeft w:val="0"/>
              <w:marRight w:val="0"/>
              <w:marTop w:val="0"/>
              <w:marBottom w:val="0"/>
              <w:divBdr>
                <w:top w:val="none" w:sz="0" w:space="0" w:color="auto"/>
                <w:left w:val="none" w:sz="0" w:space="0" w:color="auto"/>
                <w:bottom w:val="none" w:sz="0" w:space="0" w:color="auto"/>
                <w:right w:val="none" w:sz="0" w:space="0" w:color="auto"/>
              </w:divBdr>
            </w:div>
          </w:divsChild>
        </w:div>
        <w:div w:id="767971793">
          <w:marLeft w:val="0"/>
          <w:marRight w:val="0"/>
          <w:marTop w:val="0"/>
          <w:marBottom w:val="0"/>
          <w:divBdr>
            <w:top w:val="none" w:sz="0" w:space="0" w:color="auto"/>
            <w:left w:val="none" w:sz="0" w:space="0" w:color="auto"/>
            <w:bottom w:val="none" w:sz="0" w:space="0" w:color="auto"/>
            <w:right w:val="none" w:sz="0" w:space="0" w:color="auto"/>
          </w:divBdr>
          <w:divsChild>
            <w:div w:id="131413240">
              <w:marLeft w:val="0"/>
              <w:marRight w:val="0"/>
              <w:marTop w:val="0"/>
              <w:marBottom w:val="0"/>
              <w:divBdr>
                <w:top w:val="none" w:sz="0" w:space="0" w:color="auto"/>
                <w:left w:val="none" w:sz="0" w:space="0" w:color="auto"/>
                <w:bottom w:val="none" w:sz="0" w:space="0" w:color="auto"/>
                <w:right w:val="none" w:sz="0" w:space="0" w:color="auto"/>
              </w:divBdr>
            </w:div>
          </w:divsChild>
        </w:div>
        <w:div w:id="820073422">
          <w:marLeft w:val="0"/>
          <w:marRight w:val="0"/>
          <w:marTop w:val="0"/>
          <w:marBottom w:val="0"/>
          <w:divBdr>
            <w:top w:val="none" w:sz="0" w:space="0" w:color="auto"/>
            <w:left w:val="none" w:sz="0" w:space="0" w:color="auto"/>
            <w:bottom w:val="none" w:sz="0" w:space="0" w:color="auto"/>
            <w:right w:val="none" w:sz="0" w:space="0" w:color="auto"/>
          </w:divBdr>
          <w:divsChild>
            <w:div w:id="2105025867">
              <w:marLeft w:val="0"/>
              <w:marRight w:val="0"/>
              <w:marTop w:val="0"/>
              <w:marBottom w:val="0"/>
              <w:divBdr>
                <w:top w:val="none" w:sz="0" w:space="0" w:color="auto"/>
                <w:left w:val="none" w:sz="0" w:space="0" w:color="auto"/>
                <w:bottom w:val="none" w:sz="0" w:space="0" w:color="auto"/>
                <w:right w:val="none" w:sz="0" w:space="0" w:color="auto"/>
              </w:divBdr>
            </w:div>
          </w:divsChild>
        </w:div>
        <w:div w:id="858734409">
          <w:marLeft w:val="0"/>
          <w:marRight w:val="0"/>
          <w:marTop w:val="0"/>
          <w:marBottom w:val="0"/>
          <w:divBdr>
            <w:top w:val="none" w:sz="0" w:space="0" w:color="auto"/>
            <w:left w:val="none" w:sz="0" w:space="0" w:color="auto"/>
            <w:bottom w:val="none" w:sz="0" w:space="0" w:color="auto"/>
            <w:right w:val="none" w:sz="0" w:space="0" w:color="auto"/>
          </w:divBdr>
          <w:divsChild>
            <w:div w:id="2014915388">
              <w:marLeft w:val="0"/>
              <w:marRight w:val="0"/>
              <w:marTop w:val="0"/>
              <w:marBottom w:val="0"/>
              <w:divBdr>
                <w:top w:val="none" w:sz="0" w:space="0" w:color="auto"/>
                <w:left w:val="none" w:sz="0" w:space="0" w:color="auto"/>
                <w:bottom w:val="none" w:sz="0" w:space="0" w:color="auto"/>
                <w:right w:val="none" w:sz="0" w:space="0" w:color="auto"/>
              </w:divBdr>
            </w:div>
          </w:divsChild>
        </w:div>
        <w:div w:id="869800057">
          <w:marLeft w:val="0"/>
          <w:marRight w:val="0"/>
          <w:marTop w:val="0"/>
          <w:marBottom w:val="0"/>
          <w:divBdr>
            <w:top w:val="none" w:sz="0" w:space="0" w:color="auto"/>
            <w:left w:val="none" w:sz="0" w:space="0" w:color="auto"/>
            <w:bottom w:val="none" w:sz="0" w:space="0" w:color="auto"/>
            <w:right w:val="none" w:sz="0" w:space="0" w:color="auto"/>
          </w:divBdr>
          <w:divsChild>
            <w:div w:id="2084138827">
              <w:marLeft w:val="0"/>
              <w:marRight w:val="0"/>
              <w:marTop w:val="0"/>
              <w:marBottom w:val="0"/>
              <w:divBdr>
                <w:top w:val="none" w:sz="0" w:space="0" w:color="auto"/>
                <w:left w:val="none" w:sz="0" w:space="0" w:color="auto"/>
                <w:bottom w:val="none" w:sz="0" w:space="0" w:color="auto"/>
                <w:right w:val="none" w:sz="0" w:space="0" w:color="auto"/>
              </w:divBdr>
            </w:div>
          </w:divsChild>
        </w:div>
        <w:div w:id="878318322">
          <w:marLeft w:val="0"/>
          <w:marRight w:val="0"/>
          <w:marTop w:val="0"/>
          <w:marBottom w:val="0"/>
          <w:divBdr>
            <w:top w:val="none" w:sz="0" w:space="0" w:color="auto"/>
            <w:left w:val="none" w:sz="0" w:space="0" w:color="auto"/>
            <w:bottom w:val="none" w:sz="0" w:space="0" w:color="auto"/>
            <w:right w:val="none" w:sz="0" w:space="0" w:color="auto"/>
          </w:divBdr>
          <w:divsChild>
            <w:div w:id="1823036950">
              <w:marLeft w:val="0"/>
              <w:marRight w:val="0"/>
              <w:marTop w:val="0"/>
              <w:marBottom w:val="0"/>
              <w:divBdr>
                <w:top w:val="none" w:sz="0" w:space="0" w:color="auto"/>
                <w:left w:val="none" w:sz="0" w:space="0" w:color="auto"/>
                <w:bottom w:val="none" w:sz="0" w:space="0" w:color="auto"/>
                <w:right w:val="none" w:sz="0" w:space="0" w:color="auto"/>
              </w:divBdr>
            </w:div>
          </w:divsChild>
        </w:div>
        <w:div w:id="895822779">
          <w:marLeft w:val="0"/>
          <w:marRight w:val="0"/>
          <w:marTop w:val="0"/>
          <w:marBottom w:val="0"/>
          <w:divBdr>
            <w:top w:val="none" w:sz="0" w:space="0" w:color="auto"/>
            <w:left w:val="none" w:sz="0" w:space="0" w:color="auto"/>
            <w:bottom w:val="none" w:sz="0" w:space="0" w:color="auto"/>
            <w:right w:val="none" w:sz="0" w:space="0" w:color="auto"/>
          </w:divBdr>
          <w:divsChild>
            <w:div w:id="425883064">
              <w:marLeft w:val="0"/>
              <w:marRight w:val="0"/>
              <w:marTop w:val="0"/>
              <w:marBottom w:val="0"/>
              <w:divBdr>
                <w:top w:val="none" w:sz="0" w:space="0" w:color="auto"/>
                <w:left w:val="none" w:sz="0" w:space="0" w:color="auto"/>
                <w:bottom w:val="none" w:sz="0" w:space="0" w:color="auto"/>
                <w:right w:val="none" w:sz="0" w:space="0" w:color="auto"/>
              </w:divBdr>
            </w:div>
          </w:divsChild>
        </w:div>
        <w:div w:id="904099487">
          <w:marLeft w:val="0"/>
          <w:marRight w:val="0"/>
          <w:marTop w:val="0"/>
          <w:marBottom w:val="0"/>
          <w:divBdr>
            <w:top w:val="none" w:sz="0" w:space="0" w:color="auto"/>
            <w:left w:val="none" w:sz="0" w:space="0" w:color="auto"/>
            <w:bottom w:val="none" w:sz="0" w:space="0" w:color="auto"/>
            <w:right w:val="none" w:sz="0" w:space="0" w:color="auto"/>
          </w:divBdr>
          <w:divsChild>
            <w:div w:id="1625697224">
              <w:marLeft w:val="0"/>
              <w:marRight w:val="0"/>
              <w:marTop w:val="0"/>
              <w:marBottom w:val="0"/>
              <w:divBdr>
                <w:top w:val="none" w:sz="0" w:space="0" w:color="auto"/>
                <w:left w:val="none" w:sz="0" w:space="0" w:color="auto"/>
                <w:bottom w:val="none" w:sz="0" w:space="0" w:color="auto"/>
                <w:right w:val="none" w:sz="0" w:space="0" w:color="auto"/>
              </w:divBdr>
            </w:div>
          </w:divsChild>
        </w:div>
        <w:div w:id="916668536">
          <w:marLeft w:val="0"/>
          <w:marRight w:val="0"/>
          <w:marTop w:val="0"/>
          <w:marBottom w:val="0"/>
          <w:divBdr>
            <w:top w:val="none" w:sz="0" w:space="0" w:color="auto"/>
            <w:left w:val="none" w:sz="0" w:space="0" w:color="auto"/>
            <w:bottom w:val="none" w:sz="0" w:space="0" w:color="auto"/>
            <w:right w:val="none" w:sz="0" w:space="0" w:color="auto"/>
          </w:divBdr>
          <w:divsChild>
            <w:div w:id="1193692637">
              <w:marLeft w:val="0"/>
              <w:marRight w:val="0"/>
              <w:marTop w:val="0"/>
              <w:marBottom w:val="0"/>
              <w:divBdr>
                <w:top w:val="none" w:sz="0" w:space="0" w:color="auto"/>
                <w:left w:val="none" w:sz="0" w:space="0" w:color="auto"/>
                <w:bottom w:val="none" w:sz="0" w:space="0" w:color="auto"/>
                <w:right w:val="none" w:sz="0" w:space="0" w:color="auto"/>
              </w:divBdr>
            </w:div>
          </w:divsChild>
        </w:div>
        <w:div w:id="930549129">
          <w:marLeft w:val="0"/>
          <w:marRight w:val="0"/>
          <w:marTop w:val="0"/>
          <w:marBottom w:val="0"/>
          <w:divBdr>
            <w:top w:val="none" w:sz="0" w:space="0" w:color="auto"/>
            <w:left w:val="none" w:sz="0" w:space="0" w:color="auto"/>
            <w:bottom w:val="none" w:sz="0" w:space="0" w:color="auto"/>
            <w:right w:val="none" w:sz="0" w:space="0" w:color="auto"/>
          </w:divBdr>
          <w:divsChild>
            <w:div w:id="493374501">
              <w:marLeft w:val="0"/>
              <w:marRight w:val="0"/>
              <w:marTop w:val="0"/>
              <w:marBottom w:val="0"/>
              <w:divBdr>
                <w:top w:val="none" w:sz="0" w:space="0" w:color="auto"/>
                <w:left w:val="none" w:sz="0" w:space="0" w:color="auto"/>
                <w:bottom w:val="none" w:sz="0" w:space="0" w:color="auto"/>
                <w:right w:val="none" w:sz="0" w:space="0" w:color="auto"/>
              </w:divBdr>
            </w:div>
          </w:divsChild>
        </w:div>
        <w:div w:id="940262448">
          <w:marLeft w:val="0"/>
          <w:marRight w:val="0"/>
          <w:marTop w:val="0"/>
          <w:marBottom w:val="0"/>
          <w:divBdr>
            <w:top w:val="none" w:sz="0" w:space="0" w:color="auto"/>
            <w:left w:val="none" w:sz="0" w:space="0" w:color="auto"/>
            <w:bottom w:val="none" w:sz="0" w:space="0" w:color="auto"/>
            <w:right w:val="none" w:sz="0" w:space="0" w:color="auto"/>
          </w:divBdr>
          <w:divsChild>
            <w:div w:id="2076581214">
              <w:marLeft w:val="0"/>
              <w:marRight w:val="0"/>
              <w:marTop w:val="0"/>
              <w:marBottom w:val="0"/>
              <w:divBdr>
                <w:top w:val="none" w:sz="0" w:space="0" w:color="auto"/>
                <w:left w:val="none" w:sz="0" w:space="0" w:color="auto"/>
                <w:bottom w:val="none" w:sz="0" w:space="0" w:color="auto"/>
                <w:right w:val="none" w:sz="0" w:space="0" w:color="auto"/>
              </w:divBdr>
            </w:div>
          </w:divsChild>
        </w:div>
        <w:div w:id="947736784">
          <w:marLeft w:val="0"/>
          <w:marRight w:val="0"/>
          <w:marTop w:val="0"/>
          <w:marBottom w:val="0"/>
          <w:divBdr>
            <w:top w:val="none" w:sz="0" w:space="0" w:color="auto"/>
            <w:left w:val="none" w:sz="0" w:space="0" w:color="auto"/>
            <w:bottom w:val="none" w:sz="0" w:space="0" w:color="auto"/>
            <w:right w:val="none" w:sz="0" w:space="0" w:color="auto"/>
          </w:divBdr>
          <w:divsChild>
            <w:div w:id="655114449">
              <w:marLeft w:val="0"/>
              <w:marRight w:val="0"/>
              <w:marTop w:val="0"/>
              <w:marBottom w:val="0"/>
              <w:divBdr>
                <w:top w:val="none" w:sz="0" w:space="0" w:color="auto"/>
                <w:left w:val="none" w:sz="0" w:space="0" w:color="auto"/>
                <w:bottom w:val="none" w:sz="0" w:space="0" w:color="auto"/>
                <w:right w:val="none" w:sz="0" w:space="0" w:color="auto"/>
              </w:divBdr>
            </w:div>
          </w:divsChild>
        </w:div>
        <w:div w:id="1155806131">
          <w:marLeft w:val="0"/>
          <w:marRight w:val="0"/>
          <w:marTop w:val="0"/>
          <w:marBottom w:val="0"/>
          <w:divBdr>
            <w:top w:val="none" w:sz="0" w:space="0" w:color="auto"/>
            <w:left w:val="none" w:sz="0" w:space="0" w:color="auto"/>
            <w:bottom w:val="none" w:sz="0" w:space="0" w:color="auto"/>
            <w:right w:val="none" w:sz="0" w:space="0" w:color="auto"/>
          </w:divBdr>
          <w:divsChild>
            <w:div w:id="1806924226">
              <w:marLeft w:val="0"/>
              <w:marRight w:val="0"/>
              <w:marTop w:val="0"/>
              <w:marBottom w:val="0"/>
              <w:divBdr>
                <w:top w:val="none" w:sz="0" w:space="0" w:color="auto"/>
                <w:left w:val="none" w:sz="0" w:space="0" w:color="auto"/>
                <w:bottom w:val="none" w:sz="0" w:space="0" w:color="auto"/>
                <w:right w:val="none" w:sz="0" w:space="0" w:color="auto"/>
              </w:divBdr>
            </w:div>
          </w:divsChild>
        </w:div>
        <w:div w:id="1157693956">
          <w:marLeft w:val="0"/>
          <w:marRight w:val="0"/>
          <w:marTop w:val="0"/>
          <w:marBottom w:val="0"/>
          <w:divBdr>
            <w:top w:val="none" w:sz="0" w:space="0" w:color="auto"/>
            <w:left w:val="none" w:sz="0" w:space="0" w:color="auto"/>
            <w:bottom w:val="none" w:sz="0" w:space="0" w:color="auto"/>
            <w:right w:val="none" w:sz="0" w:space="0" w:color="auto"/>
          </w:divBdr>
          <w:divsChild>
            <w:div w:id="79985177">
              <w:marLeft w:val="0"/>
              <w:marRight w:val="0"/>
              <w:marTop w:val="0"/>
              <w:marBottom w:val="0"/>
              <w:divBdr>
                <w:top w:val="none" w:sz="0" w:space="0" w:color="auto"/>
                <w:left w:val="none" w:sz="0" w:space="0" w:color="auto"/>
                <w:bottom w:val="none" w:sz="0" w:space="0" w:color="auto"/>
                <w:right w:val="none" w:sz="0" w:space="0" w:color="auto"/>
              </w:divBdr>
            </w:div>
          </w:divsChild>
        </w:div>
        <w:div w:id="1169297212">
          <w:marLeft w:val="0"/>
          <w:marRight w:val="0"/>
          <w:marTop w:val="0"/>
          <w:marBottom w:val="0"/>
          <w:divBdr>
            <w:top w:val="none" w:sz="0" w:space="0" w:color="auto"/>
            <w:left w:val="none" w:sz="0" w:space="0" w:color="auto"/>
            <w:bottom w:val="none" w:sz="0" w:space="0" w:color="auto"/>
            <w:right w:val="none" w:sz="0" w:space="0" w:color="auto"/>
          </w:divBdr>
          <w:divsChild>
            <w:div w:id="1370649096">
              <w:marLeft w:val="0"/>
              <w:marRight w:val="0"/>
              <w:marTop w:val="0"/>
              <w:marBottom w:val="0"/>
              <w:divBdr>
                <w:top w:val="none" w:sz="0" w:space="0" w:color="auto"/>
                <w:left w:val="none" w:sz="0" w:space="0" w:color="auto"/>
                <w:bottom w:val="none" w:sz="0" w:space="0" w:color="auto"/>
                <w:right w:val="none" w:sz="0" w:space="0" w:color="auto"/>
              </w:divBdr>
            </w:div>
          </w:divsChild>
        </w:div>
        <w:div w:id="1186795093">
          <w:marLeft w:val="0"/>
          <w:marRight w:val="0"/>
          <w:marTop w:val="0"/>
          <w:marBottom w:val="0"/>
          <w:divBdr>
            <w:top w:val="none" w:sz="0" w:space="0" w:color="auto"/>
            <w:left w:val="none" w:sz="0" w:space="0" w:color="auto"/>
            <w:bottom w:val="none" w:sz="0" w:space="0" w:color="auto"/>
            <w:right w:val="none" w:sz="0" w:space="0" w:color="auto"/>
          </w:divBdr>
          <w:divsChild>
            <w:div w:id="1575041410">
              <w:marLeft w:val="0"/>
              <w:marRight w:val="0"/>
              <w:marTop w:val="0"/>
              <w:marBottom w:val="0"/>
              <w:divBdr>
                <w:top w:val="none" w:sz="0" w:space="0" w:color="auto"/>
                <w:left w:val="none" w:sz="0" w:space="0" w:color="auto"/>
                <w:bottom w:val="none" w:sz="0" w:space="0" w:color="auto"/>
                <w:right w:val="none" w:sz="0" w:space="0" w:color="auto"/>
              </w:divBdr>
            </w:div>
          </w:divsChild>
        </w:div>
        <w:div w:id="1295020299">
          <w:marLeft w:val="0"/>
          <w:marRight w:val="0"/>
          <w:marTop w:val="0"/>
          <w:marBottom w:val="0"/>
          <w:divBdr>
            <w:top w:val="none" w:sz="0" w:space="0" w:color="auto"/>
            <w:left w:val="none" w:sz="0" w:space="0" w:color="auto"/>
            <w:bottom w:val="none" w:sz="0" w:space="0" w:color="auto"/>
            <w:right w:val="none" w:sz="0" w:space="0" w:color="auto"/>
          </w:divBdr>
          <w:divsChild>
            <w:div w:id="1427309587">
              <w:marLeft w:val="0"/>
              <w:marRight w:val="0"/>
              <w:marTop w:val="0"/>
              <w:marBottom w:val="0"/>
              <w:divBdr>
                <w:top w:val="none" w:sz="0" w:space="0" w:color="auto"/>
                <w:left w:val="none" w:sz="0" w:space="0" w:color="auto"/>
                <w:bottom w:val="none" w:sz="0" w:space="0" w:color="auto"/>
                <w:right w:val="none" w:sz="0" w:space="0" w:color="auto"/>
              </w:divBdr>
            </w:div>
          </w:divsChild>
        </w:div>
        <w:div w:id="1382753737">
          <w:marLeft w:val="0"/>
          <w:marRight w:val="0"/>
          <w:marTop w:val="0"/>
          <w:marBottom w:val="0"/>
          <w:divBdr>
            <w:top w:val="none" w:sz="0" w:space="0" w:color="auto"/>
            <w:left w:val="none" w:sz="0" w:space="0" w:color="auto"/>
            <w:bottom w:val="none" w:sz="0" w:space="0" w:color="auto"/>
            <w:right w:val="none" w:sz="0" w:space="0" w:color="auto"/>
          </w:divBdr>
          <w:divsChild>
            <w:div w:id="1919751702">
              <w:marLeft w:val="0"/>
              <w:marRight w:val="0"/>
              <w:marTop w:val="0"/>
              <w:marBottom w:val="0"/>
              <w:divBdr>
                <w:top w:val="none" w:sz="0" w:space="0" w:color="auto"/>
                <w:left w:val="none" w:sz="0" w:space="0" w:color="auto"/>
                <w:bottom w:val="none" w:sz="0" w:space="0" w:color="auto"/>
                <w:right w:val="none" w:sz="0" w:space="0" w:color="auto"/>
              </w:divBdr>
            </w:div>
          </w:divsChild>
        </w:div>
        <w:div w:id="1389844668">
          <w:marLeft w:val="0"/>
          <w:marRight w:val="0"/>
          <w:marTop w:val="0"/>
          <w:marBottom w:val="0"/>
          <w:divBdr>
            <w:top w:val="none" w:sz="0" w:space="0" w:color="auto"/>
            <w:left w:val="none" w:sz="0" w:space="0" w:color="auto"/>
            <w:bottom w:val="none" w:sz="0" w:space="0" w:color="auto"/>
            <w:right w:val="none" w:sz="0" w:space="0" w:color="auto"/>
          </w:divBdr>
          <w:divsChild>
            <w:div w:id="1652054268">
              <w:marLeft w:val="0"/>
              <w:marRight w:val="0"/>
              <w:marTop w:val="0"/>
              <w:marBottom w:val="0"/>
              <w:divBdr>
                <w:top w:val="none" w:sz="0" w:space="0" w:color="auto"/>
                <w:left w:val="none" w:sz="0" w:space="0" w:color="auto"/>
                <w:bottom w:val="none" w:sz="0" w:space="0" w:color="auto"/>
                <w:right w:val="none" w:sz="0" w:space="0" w:color="auto"/>
              </w:divBdr>
            </w:div>
          </w:divsChild>
        </w:div>
        <w:div w:id="1407074721">
          <w:marLeft w:val="0"/>
          <w:marRight w:val="0"/>
          <w:marTop w:val="0"/>
          <w:marBottom w:val="0"/>
          <w:divBdr>
            <w:top w:val="none" w:sz="0" w:space="0" w:color="auto"/>
            <w:left w:val="none" w:sz="0" w:space="0" w:color="auto"/>
            <w:bottom w:val="none" w:sz="0" w:space="0" w:color="auto"/>
            <w:right w:val="none" w:sz="0" w:space="0" w:color="auto"/>
          </w:divBdr>
          <w:divsChild>
            <w:div w:id="30421578">
              <w:marLeft w:val="0"/>
              <w:marRight w:val="0"/>
              <w:marTop w:val="0"/>
              <w:marBottom w:val="0"/>
              <w:divBdr>
                <w:top w:val="none" w:sz="0" w:space="0" w:color="auto"/>
                <w:left w:val="none" w:sz="0" w:space="0" w:color="auto"/>
                <w:bottom w:val="none" w:sz="0" w:space="0" w:color="auto"/>
                <w:right w:val="none" w:sz="0" w:space="0" w:color="auto"/>
              </w:divBdr>
            </w:div>
          </w:divsChild>
        </w:div>
        <w:div w:id="1450516589">
          <w:marLeft w:val="0"/>
          <w:marRight w:val="0"/>
          <w:marTop w:val="0"/>
          <w:marBottom w:val="0"/>
          <w:divBdr>
            <w:top w:val="none" w:sz="0" w:space="0" w:color="auto"/>
            <w:left w:val="none" w:sz="0" w:space="0" w:color="auto"/>
            <w:bottom w:val="none" w:sz="0" w:space="0" w:color="auto"/>
            <w:right w:val="none" w:sz="0" w:space="0" w:color="auto"/>
          </w:divBdr>
          <w:divsChild>
            <w:div w:id="1092816696">
              <w:marLeft w:val="0"/>
              <w:marRight w:val="0"/>
              <w:marTop w:val="0"/>
              <w:marBottom w:val="0"/>
              <w:divBdr>
                <w:top w:val="none" w:sz="0" w:space="0" w:color="auto"/>
                <w:left w:val="none" w:sz="0" w:space="0" w:color="auto"/>
                <w:bottom w:val="none" w:sz="0" w:space="0" w:color="auto"/>
                <w:right w:val="none" w:sz="0" w:space="0" w:color="auto"/>
              </w:divBdr>
            </w:div>
          </w:divsChild>
        </w:div>
        <w:div w:id="1452356147">
          <w:marLeft w:val="0"/>
          <w:marRight w:val="0"/>
          <w:marTop w:val="0"/>
          <w:marBottom w:val="0"/>
          <w:divBdr>
            <w:top w:val="none" w:sz="0" w:space="0" w:color="auto"/>
            <w:left w:val="none" w:sz="0" w:space="0" w:color="auto"/>
            <w:bottom w:val="none" w:sz="0" w:space="0" w:color="auto"/>
            <w:right w:val="none" w:sz="0" w:space="0" w:color="auto"/>
          </w:divBdr>
          <w:divsChild>
            <w:div w:id="618882044">
              <w:marLeft w:val="0"/>
              <w:marRight w:val="0"/>
              <w:marTop w:val="0"/>
              <w:marBottom w:val="0"/>
              <w:divBdr>
                <w:top w:val="none" w:sz="0" w:space="0" w:color="auto"/>
                <w:left w:val="none" w:sz="0" w:space="0" w:color="auto"/>
                <w:bottom w:val="none" w:sz="0" w:space="0" w:color="auto"/>
                <w:right w:val="none" w:sz="0" w:space="0" w:color="auto"/>
              </w:divBdr>
            </w:div>
          </w:divsChild>
        </w:div>
        <w:div w:id="1466854341">
          <w:marLeft w:val="0"/>
          <w:marRight w:val="0"/>
          <w:marTop w:val="0"/>
          <w:marBottom w:val="0"/>
          <w:divBdr>
            <w:top w:val="none" w:sz="0" w:space="0" w:color="auto"/>
            <w:left w:val="none" w:sz="0" w:space="0" w:color="auto"/>
            <w:bottom w:val="none" w:sz="0" w:space="0" w:color="auto"/>
            <w:right w:val="none" w:sz="0" w:space="0" w:color="auto"/>
          </w:divBdr>
          <w:divsChild>
            <w:div w:id="1029839235">
              <w:marLeft w:val="0"/>
              <w:marRight w:val="0"/>
              <w:marTop w:val="0"/>
              <w:marBottom w:val="0"/>
              <w:divBdr>
                <w:top w:val="none" w:sz="0" w:space="0" w:color="auto"/>
                <w:left w:val="none" w:sz="0" w:space="0" w:color="auto"/>
                <w:bottom w:val="none" w:sz="0" w:space="0" w:color="auto"/>
                <w:right w:val="none" w:sz="0" w:space="0" w:color="auto"/>
              </w:divBdr>
            </w:div>
          </w:divsChild>
        </w:div>
        <w:div w:id="1637641527">
          <w:marLeft w:val="0"/>
          <w:marRight w:val="0"/>
          <w:marTop w:val="0"/>
          <w:marBottom w:val="0"/>
          <w:divBdr>
            <w:top w:val="none" w:sz="0" w:space="0" w:color="auto"/>
            <w:left w:val="none" w:sz="0" w:space="0" w:color="auto"/>
            <w:bottom w:val="none" w:sz="0" w:space="0" w:color="auto"/>
            <w:right w:val="none" w:sz="0" w:space="0" w:color="auto"/>
          </w:divBdr>
          <w:divsChild>
            <w:div w:id="1162350515">
              <w:marLeft w:val="0"/>
              <w:marRight w:val="0"/>
              <w:marTop w:val="0"/>
              <w:marBottom w:val="0"/>
              <w:divBdr>
                <w:top w:val="none" w:sz="0" w:space="0" w:color="auto"/>
                <w:left w:val="none" w:sz="0" w:space="0" w:color="auto"/>
                <w:bottom w:val="none" w:sz="0" w:space="0" w:color="auto"/>
                <w:right w:val="none" w:sz="0" w:space="0" w:color="auto"/>
              </w:divBdr>
            </w:div>
          </w:divsChild>
        </w:div>
        <w:div w:id="1652561868">
          <w:marLeft w:val="0"/>
          <w:marRight w:val="0"/>
          <w:marTop w:val="0"/>
          <w:marBottom w:val="0"/>
          <w:divBdr>
            <w:top w:val="none" w:sz="0" w:space="0" w:color="auto"/>
            <w:left w:val="none" w:sz="0" w:space="0" w:color="auto"/>
            <w:bottom w:val="none" w:sz="0" w:space="0" w:color="auto"/>
            <w:right w:val="none" w:sz="0" w:space="0" w:color="auto"/>
          </w:divBdr>
          <w:divsChild>
            <w:div w:id="580065361">
              <w:marLeft w:val="0"/>
              <w:marRight w:val="0"/>
              <w:marTop w:val="0"/>
              <w:marBottom w:val="0"/>
              <w:divBdr>
                <w:top w:val="none" w:sz="0" w:space="0" w:color="auto"/>
                <w:left w:val="none" w:sz="0" w:space="0" w:color="auto"/>
                <w:bottom w:val="none" w:sz="0" w:space="0" w:color="auto"/>
                <w:right w:val="none" w:sz="0" w:space="0" w:color="auto"/>
              </w:divBdr>
            </w:div>
          </w:divsChild>
        </w:div>
        <w:div w:id="1766225903">
          <w:marLeft w:val="0"/>
          <w:marRight w:val="0"/>
          <w:marTop w:val="0"/>
          <w:marBottom w:val="0"/>
          <w:divBdr>
            <w:top w:val="none" w:sz="0" w:space="0" w:color="auto"/>
            <w:left w:val="none" w:sz="0" w:space="0" w:color="auto"/>
            <w:bottom w:val="none" w:sz="0" w:space="0" w:color="auto"/>
            <w:right w:val="none" w:sz="0" w:space="0" w:color="auto"/>
          </w:divBdr>
          <w:divsChild>
            <w:div w:id="1058162208">
              <w:marLeft w:val="0"/>
              <w:marRight w:val="0"/>
              <w:marTop w:val="0"/>
              <w:marBottom w:val="0"/>
              <w:divBdr>
                <w:top w:val="none" w:sz="0" w:space="0" w:color="auto"/>
                <w:left w:val="none" w:sz="0" w:space="0" w:color="auto"/>
                <w:bottom w:val="none" w:sz="0" w:space="0" w:color="auto"/>
                <w:right w:val="none" w:sz="0" w:space="0" w:color="auto"/>
              </w:divBdr>
            </w:div>
          </w:divsChild>
        </w:div>
        <w:div w:id="1859929773">
          <w:marLeft w:val="0"/>
          <w:marRight w:val="0"/>
          <w:marTop w:val="0"/>
          <w:marBottom w:val="0"/>
          <w:divBdr>
            <w:top w:val="none" w:sz="0" w:space="0" w:color="auto"/>
            <w:left w:val="none" w:sz="0" w:space="0" w:color="auto"/>
            <w:bottom w:val="none" w:sz="0" w:space="0" w:color="auto"/>
            <w:right w:val="none" w:sz="0" w:space="0" w:color="auto"/>
          </w:divBdr>
          <w:divsChild>
            <w:div w:id="469907376">
              <w:marLeft w:val="0"/>
              <w:marRight w:val="0"/>
              <w:marTop w:val="0"/>
              <w:marBottom w:val="0"/>
              <w:divBdr>
                <w:top w:val="none" w:sz="0" w:space="0" w:color="auto"/>
                <w:left w:val="none" w:sz="0" w:space="0" w:color="auto"/>
                <w:bottom w:val="none" w:sz="0" w:space="0" w:color="auto"/>
                <w:right w:val="none" w:sz="0" w:space="0" w:color="auto"/>
              </w:divBdr>
            </w:div>
          </w:divsChild>
        </w:div>
        <w:div w:id="1866401839">
          <w:marLeft w:val="0"/>
          <w:marRight w:val="0"/>
          <w:marTop w:val="0"/>
          <w:marBottom w:val="0"/>
          <w:divBdr>
            <w:top w:val="none" w:sz="0" w:space="0" w:color="auto"/>
            <w:left w:val="none" w:sz="0" w:space="0" w:color="auto"/>
            <w:bottom w:val="none" w:sz="0" w:space="0" w:color="auto"/>
            <w:right w:val="none" w:sz="0" w:space="0" w:color="auto"/>
          </w:divBdr>
          <w:divsChild>
            <w:div w:id="976302720">
              <w:marLeft w:val="0"/>
              <w:marRight w:val="0"/>
              <w:marTop w:val="0"/>
              <w:marBottom w:val="0"/>
              <w:divBdr>
                <w:top w:val="none" w:sz="0" w:space="0" w:color="auto"/>
                <w:left w:val="none" w:sz="0" w:space="0" w:color="auto"/>
                <w:bottom w:val="none" w:sz="0" w:space="0" w:color="auto"/>
                <w:right w:val="none" w:sz="0" w:space="0" w:color="auto"/>
              </w:divBdr>
            </w:div>
          </w:divsChild>
        </w:div>
        <w:div w:id="1894459567">
          <w:marLeft w:val="0"/>
          <w:marRight w:val="0"/>
          <w:marTop w:val="0"/>
          <w:marBottom w:val="0"/>
          <w:divBdr>
            <w:top w:val="none" w:sz="0" w:space="0" w:color="auto"/>
            <w:left w:val="none" w:sz="0" w:space="0" w:color="auto"/>
            <w:bottom w:val="none" w:sz="0" w:space="0" w:color="auto"/>
            <w:right w:val="none" w:sz="0" w:space="0" w:color="auto"/>
          </w:divBdr>
          <w:divsChild>
            <w:div w:id="1456947908">
              <w:marLeft w:val="0"/>
              <w:marRight w:val="0"/>
              <w:marTop w:val="0"/>
              <w:marBottom w:val="0"/>
              <w:divBdr>
                <w:top w:val="none" w:sz="0" w:space="0" w:color="auto"/>
                <w:left w:val="none" w:sz="0" w:space="0" w:color="auto"/>
                <w:bottom w:val="none" w:sz="0" w:space="0" w:color="auto"/>
                <w:right w:val="none" w:sz="0" w:space="0" w:color="auto"/>
              </w:divBdr>
            </w:div>
          </w:divsChild>
        </w:div>
        <w:div w:id="2044281806">
          <w:marLeft w:val="0"/>
          <w:marRight w:val="0"/>
          <w:marTop w:val="0"/>
          <w:marBottom w:val="0"/>
          <w:divBdr>
            <w:top w:val="none" w:sz="0" w:space="0" w:color="auto"/>
            <w:left w:val="none" w:sz="0" w:space="0" w:color="auto"/>
            <w:bottom w:val="none" w:sz="0" w:space="0" w:color="auto"/>
            <w:right w:val="none" w:sz="0" w:space="0" w:color="auto"/>
          </w:divBdr>
          <w:divsChild>
            <w:div w:id="1635596619">
              <w:marLeft w:val="0"/>
              <w:marRight w:val="0"/>
              <w:marTop w:val="0"/>
              <w:marBottom w:val="0"/>
              <w:divBdr>
                <w:top w:val="none" w:sz="0" w:space="0" w:color="auto"/>
                <w:left w:val="none" w:sz="0" w:space="0" w:color="auto"/>
                <w:bottom w:val="none" w:sz="0" w:space="0" w:color="auto"/>
                <w:right w:val="none" w:sz="0" w:space="0" w:color="auto"/>
              </w:divBdr>
            </w:div>
          </w:divsChild>
        </w:div>
        <w:div w:id="2048410944">
          <w:marLeft w:val="0"/>
          <w:marRight w:val="0"/>
          <w:marTop w:val="0"/>
          <w:marBottom w:val="0"/>
          <w:divBdr>
            <w:top w:val="none" w:sz="0" w:space="0" w:color="auto"/>
            <w:left w:val="none" w:sz="0" w:space="0" w:color="auto"/>
            <w:bottom w:val="none" w:sz="0" w:space="0" w:color="auto"/>
            <w:right w:val="none" w:sz="0" w:space="0" w:color="auto"/>
          </w:divBdr>
          <w:divsChild>
            <w:div w:id="191812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78432">
      <w:bodyDiv w:val="1"/>
      <w:marLeft w:val="0"/>
      <w:marRight w:val="0"/>
      <w:marTop w:val="0"/>
      <w:marBottom w:val="0"/>
      <w:divBdr>
        <w:top w:val="none" w:sz="0" w:space="0" w:color="auto"/>
        <w:left w:val="none" w:sz="0" w:space="0" w:color="auto"/>
        <w:bottom w:val="none" w:sz="0" w:space="0" w:color="auto"/>
        <w:right w:val="none" w:sz="0" w:space="0" w:color="auto"/>
      </w:divBdr>
      <w:divsChild>
        <w:div w:id="10226856">
          <w:marLeft w:val="0"/>
          <w:marRight w:val="0"/>
          <w:marTop w:val="0"/>
          <w:marBottom w:val="0"/>
          <w:divBdr>
            <w:top w:val="none" w:sz="0" w:space="0" w:color="auto"/>
            <w:left w:val="none" w:sz="0" w:space="0" w:color="auto"/>
            <w:bottom w:val="none" w:sz="0" w:space="0" w:color="auto"/>
            <w:right w:val="none" w:sz="0" w:space="0" w:color="auto"/>
          </w:divBdr>
        </w:div>
        <w:div w:id="44834195">
          <w:marLeft w:val="0"/>
          <w:marRight w:val="0"/>
          <w:marTop w:val="0"/>
          <w:marBottom w:val="0"/>
          <w:divBdr>
            <w:top w:val="none" w:sz="0" w:space="0" w:color="auto"/>
            <w:left w:val="none" w:sz="0" w:space="0" w:color="auto"/>
            <w:bottom w:val="none" w:sz="0" w:space="0" w:color="auto"/>
            <w:right w:val="none" w:sz="0" w:space="0" w:color="auto"/>
          </w:divBdr>
        </w:div>
        <w:div w:id="133644514">
          <w:marLeft w:val="0"/>
          <w:marRight w:val="0"/>
          <w:marTop w:val="0"/>
          <w:marBottom w:val="0"/>
          <w:divBdr>
            <w:top w:val="none" w:sz="0" w:space="0" w:color="auto"/>
            <w:left w:val="none" w:sz="0" w:space="0" w:color="auto"/>
            <w:bottom w:val="none" w:sz="0" w:space="0" w:color="auto"/>
            <w:right w:val="none" w:sz="0" w:space="0" w:color="auto"/>
          </w:divBdr>
          <w:divsChild>
            <w:div w:id="1425295755">
              <w:marLeft w:val="-75"/>
              <w:marRight w:val="0"/>
              <w:marTop w:val="30"/>
              <w:marBottom w:val="30"/>
              <w:divBdr>
                <w:top w:val="none" w:sz="0" w:space="0" w:color="auto"/>
                <w:left w:val="none" w:sz="0" w:space="0" w:color="auto"/>
                <w:bottom w:val="none" w:sz="0" w:space="0" w:color="auto"/>
                <w:right w:val="none" w:sz="0" w:space="0" w:color="auto"/>
              </w:divBdr>
              <w:divsChild>
                <w:div w:id="8071686">
                  <w:marLeft w:val="0"/>
                  <w:marRight w:val="0"/>
                  <w:marTop w:val="0"/>
                  <w:marBottom w:val="0"/>
                  <w:divBdr>
                    <w:top w:val="none" w:sz="0" w:space="0" w:color="auto"/>
                    <w:left w:val="none" w:sz="0" w:space="0" w:color="auto"/>
                    <w:bottom w:val="none" w:sz="0" w:space="0" w:color="auto"/>
                    <w:right w:val="none" w:sz="0" w:space="0" w:color="auto"/>
                  </w:divBdr>
                  <w:divsChild>
                    <w:div w:id="452673477">
                      <w:marLeft w:val="0"/>
                      <w:marRight w:val="0"/>
                      <w:marTop w:val="0"/>
                      <w:marBottom w:val="0"/>
                      <w:divBdr>
                        <w:top w:val="none" w:sz="0" w:space="0" w:color="auto"/>
                        <w:left w:val="none" w:sz="0" w:space="0" w:color="auto"/>
                        <w:bottom w:val="none" w:sz="0" w:space="0" w:color="auto"/>
                        <w:right w:val="none" w:sz="0" w:space="0" w:color="auto"/>
                      </w:divBdr>
                    </w:div>
                  </w:divsChild>
                </w:div>
                <w:div w:id="41641672">
                  <w:marLeft w:val="0"/>
                  <w:marRight w:val="0"/>
                  <w:marTop w:val="0"/>
                  <w:marBottom w:val="0"/>
                  <w:divBdr>
                    <w:top w:val="none" w:sz="0" w:space="0" w:color="auto"/>
                    <w:left w:val="none" w:sz="0" w:space="0" w:color="auto"/>
                    <w:bottom w:val="none" w:sz="0" w:space="0" w:color="auto"/>
                    <w:right w:val="none" w:sz="0" w:space="0" w:color="auto"/>
                  </w:divBdr>
                  <w:divsChild>
                    <w:div w:id="617881542">
                      <w:marLeft w:val="0"/>
                      <w:marRight w:val="0"/>
                      <w:marTop w:val="0"/>
                      <w:marBottom w:val="0"/>
                      <w:divBdr>
                        <w:top w:val="none" w:sz="0" w:space="0" w:color="auto"/>
                        <w:left w:val="none" w:sz="0" w:space="0" w:color="auto"/>
                        <w:bottom w:val="none" w:sz="0" w:space="0" w:color="auto"/>
                        <w:right w:val="none" w:sz="0" w:space="0" w:color="auto"/>
                      </w:divBdr>
                    </w:div>
                  </w:divsChild>
                </w:div>
                <w:div w:id="139737887">
                  <w:marLeft w:val="0"/>
                  <w:marRight w:val="0"/>
                  <w:marTop w:val="0"/>
                  <w:marBottom w:val="0"/>
                  <w:divBdr>
                    <w:top w:val="none" w:sz="0" w:space="0" w:color="auto"/>
                    <w:left w:val="none" w:sz="0" w:space="0" w:color="auto"/>
                    <w:bottom w:val="none" w:sz="0" w:space="0" w:color="auto"/>
                    <w:right w:val="none" w:sz="0" w:space="0" w:color="auto"/>
                  </w:divBdr>
                  <w:divsChild>
                    <w:div w:id="1342971412">
                      <w:marLeft w:val="0"/>
                      <w:marRight w:val="0"/>
                      <w:marTop w:val="0"/>
                      <w:marBottom w:val="0"/>
                      <w:divBdr>
                        <w:top w:val="none" w:sz="0" w:space="0" w:color="auto"/>
                        <w:left w:val="none" w:sz="0" w:space="0" w:color="auto"/>
                        <w:bottom w:val="none" w:sz="0" w:space="0" w:color="auto"/>
                        <w:right w:val="none" w:sz="0" w:space="0" w:color="auto"/>
                      </w:divBdr>
                    </w:div>
                  </w:divsChild>
                </w:div>
                <w:div w:id="237790401">
                  <w:marLeft w:val="0"/>
                  <w:marRight w:val="0"/>
                  <w:marTop w:val="0"/>
                  <w:marBottom w:val="0"/>
                  <w:divBdr>
                    <w:top w:val="none" w:sz="0" w:space="0" w:color="auto"/>
                    <w:left w:val="none" w:sz="0" w:space="0" w:color="auto"/>
                    <w:bottom w:val="none" w:sz="0" w:space="0" w:color="auto"/>
                    <w:right w:val="none" w:sz="0" w:space="0" w:color="auto"/>
                  </w:divBdr>
                  <w:divsChild>
                    <w:div w:id="1450586419">
                      <w:marLeft w:val="0"/>
                      <w:marRight w:val="0"/>
                      <w:marTop w:val="0"/>
                      <w:marBottom w:val="0"/>
                      <w:divBdr>
                        <w:top w:val="none" w:sz="0" w:space="0" w:color="auto"/>
                        <w:left w:val="none" w:sz="0" w:space="0" w:color="auto"/>
                        <w:bottom w:val="none" w:sz="0" w:space="0" w:color="auto"/>
                        <w:right w:val="none" w:sz="0" w:space="0" w:color="auto"/>
                      </w:divBdr>
                    </w:div>
                  </w:divsChild>
                </w:div>
                <w:div w:id="403257022">
                  <w:marLeft w:val="0"/>
                  <w:marRight w:val="0"/>
                  <w:marTop w:val="0"/>
                  <w:marBottom w:val="0"/>
                  <w:divBdr>
                    <w:top w:val="none" w:sz="0" w:space="0" w:color="auto"/>
                    <w:left w:val="none" w:sz="0" w:space="0" w:color="auto"/>
                    <w:bottom w:val="none" w:sz="0" w:space="0" w:color="auto"/>
                    <w:right w:val="none" w:sz="0" w:space="0" w:color="auto"/>
                  </w:divBdr>
                  <w:divsChild>
                    <w:div w:id="731125889">
                      <w:marLeft w:val="0"/>
                      <w:marRight w:val="0"/>
                      <w:marTop w:val="0"/>
                      <w:marBottom w:val="0"/>
                      <w:divBdr>
                        <w:top w:val="none" w:sz="0" w:space="0" w:color="auto"/>
                        <w:left w:val="none" w:sz="0" w:space="0" w:color="auto"/>
                        <w:bottom w:val="none" w:sz="0" w:space="0" w:color="auto"/>
                        <w:right w:val="none" w:sz="0" w:space="0" w:color="auto"/>
                      </w:divBdr>
                    </w:div>
                  </w:divsChild>
                </w:div>
                <w:div w:id="449056081">
                  <w:marLeft w:val="0"/>
                  <w:marRight w:val="0"/>
                  <w:marTop w:val="0"/>
                  <w:marBottom w:val="0"/>
                  <w:divBdr>
                    <w:top w:val="none" w:sz="0" w:space="0" w:color="auto"/>
                    <w:left w:val="none" w:sz="0" w:space="0" w:color="auto"/>
                    <w:bottom w:val="none" w:sz="0" w:space="0" w:color="auto"/>
                    <w:right w:val="none" w:sz="0" w:space="0" w:color="auto"/>
                  </w:divBdr>
                  <w:divsChild>
                    <w:div w:id="1675572265">
                      <w:marLeft w:val="0"/>
                      <w:marRight w:val="0"/>
                      <w:marTop w:val="0"/>
                      <w:marBottom w:val="0"/>
                      <w:divBdr>
                        <w:top w:val="none" w:sz="0" w:space="0" w:color="auto"/>
                        <w:left w:val="none" w:sz="0" w:space="0" w:color="auto"/>
                        <w:bottom w:val="none" w:sz="0" w:space="0" w:color="auto"/>
                        <w:right w:val="none" w:sz="0" w:space="0" w:color="auto"/>
                      </w:divBdr>
                    </w:div>
                  </w:divsChild>
                </w:div>
                <w:div w:id="637959384">
                  <w:marLeft w:val="0"/>
                  <w:marRight w:val="0"/>
                  <w:marTop w:val="0"/>
                  <w:marBottom w:val="0"/>
                  <w:divBdr>
                    <w:top w:val="none" w:sz="0" w:space="0" w:color="auto"/>
                    <w:left w:val="none" w:sz="0" w:space="0" w:color="auto"/>
                    <w:bottom w:val="none" w:sz="0" w:space="0" w:color="auto"/>
                    <w:right w:val="none" w:sz="0" w:space="0" w:color="auto"/>
                  </w:divBdr>
                  <w:divsChild>
                    <w:div w:id="1339578422">
                      <w:marLeft w:val="0"/>
                      <w:marRight w:val="0"/>
                      <w:marTop w:val="0"/>
                      <w:marBottom w:val="0"/>
                      <w:divBdr>
                        <w:top w:val="none" w:sz="0" w:space="0" w:color="auto"/>
                        <w:left w:val="none" w:sz="0" w:space="0" w:color="auto"/>
                        <w:bottom w:val="none" w:sz="0" w:space="0" w:color="auto"/>
                        <w:right w:val="none" w:sz="0" w:space="0" w:color="auto"/>
                      </w:divBdr>
                    </w:div>
                  </w:divsChild>
                </w:div>
                <w:div w:id="714083113">
                  <w:marLeft w:val="0"/>
                  <w:marRight w:val="0"/>
                  <w:marTop w:val="0"/>
                  <w:marBottom w:val="0"/>
                  <w:divBdr>
                    <w:top w:val="none" w:sz="0" w:space="0" w:color="auto"/>
                    <w:left w:val="none" w:sz="0" w:space="0" w:color="auto"/>
                    <w:bottom w:val="none" w:sz="0" w:space="0" w:color="auto"/>
                    <w:right w:val="none" w:sz="0" w:space="0" w:color="auto"/>
                  </w:divBdr>
                  <w:divsChild>
                    <w:div w:id="7417683">
                      <w:marLeft w:val="0"/>
                      <w:marRight w:val="0"/>
                      <w:marTop w:val="0"/>
                      <w:marBottom w:val="0"/>
                      <w:divBdr>
                        <w:top w:val="none" w:sz="0" w:space="0" w:color="auto"/>
                        <w:left w:val="none" w:sz="0" w:space="0" w:color="auto"/>
                        <w:bottom w:val="none" w:sz="0" w:space="0" w:color="auto"/>
                        <w:right w:val="none" w:sz="0" w:space="0" w:color="auto"/>
                      </w:divBdr>
                    </w:div>
                  </w:divsChild>
                </w:div>
                <w:div w:id="781732304">
                  <w:marLeft w:val="0"/>
                  <w:marRight w:val="0"/>
                  <w:marTop w:val="0"/>
                  <w:marBottom w:val="0"/>
                  <w:divBdr>
                    <w:top w:val="none" w:sz="0" w:space="0" w:color="auto"/>
                    <w:left w:val="none" w:sz="0" w:space="0" w:color="auto"/>
                    <w:bottom w:val="none" w:sz="0" w:space="0" w:color="auto"/>
                    <w:right w:val="none" w:sz="0" w:space="0" w:color="auto"/>
                  </w:divBdr>
                  <w:divsChild>
                    <w:div w:id="1428579780">
                      <w:marLeft w:val="0"/>
                      <w:marRight w:val="0"/>
                      <w:marTop w:val="0"/>
                      <w:marBottom w:val="0"/>
                      <w:divBdr>
                        <w:top w:val="none" w:sz="0" w:space="0" w:color="auto"/>
                        <w:left w:val="none" w:sz="0" w:space="0" w:color="auto"/>
                        <w:bottom w:val="none" w:sz="0" w:space="0" w:color="auto"/>
                        <w:right w:val="none" w:sz="0" w:space="0" w:color="auto"/>
                      </w:divBdr>
                    </w:div>
                  </w:divsChild>
                </w:div>
                <w:div w:id="791706924">
                  <w:marLeft w:val="0"/>
                  <w:marRight w:val="0"/>
                  <w:marTop w:val="0"/>
                  <w:marBottom w:val="0"/>
                  <w:divBdr>
                    <w:top w:val="none" w:sz="0" w:space="0" w:color="auto"/>
                    <w:left w:val="none" w:sz="0" w:space="0" w:color="auto"/>
                    <w:bottom w:val="none" w:sz="0" w:space="0" w:color="auto"/>
                    <w:right w:val="none" w:sz="0" w:space="0" w:color="auto"/>
                  </w:divBdr>
                  <w:divsChild>
                    <w:div w:id="1712613855">
                      <w:marLeft w:val="0"/>
                      <w:marRight w:val="0"/>
                      <w:marTop w:val="0"/>
                      <w:marBottom w:val="0"/>
                      <w:divBdr>
                        <w:top w:val="none" w:sz="0" w:space="0" w:color="auto"/>
                        <w:left w:val="none" w:sz="0" w:space="0" w:color="auto"/>
                        <w:bottom w:val="none" w:sz="0" w:space="0" w:color="auto"/>
                        <w:right w:val="none" w:sz="0" w:space="0" w:color="auto"/>
                      </w:divBdr>
                    </w:div>
                  </w:divsChild>
                </w:div>
                <w:div w:id="800999087">
                  <w:marLeft w:val="0"/>
                  <w:marRight w:val="0"/>
                  <w:marTop w:val="0"/>
                  <w:marBottom w:val="0"/>
                  <w:divBdr>
                    <w:top w:val="none" w:sz="0" w:space="0" w:color="auto"/>
                    <w:left w:val="none" w:sz="0" w:space="0" w:color="auto"/>
                    <w:bottom w:val="none" w:sz="0" w:space="0" w:color="auto"/>
                    <w:right w:val="none" w:sz="0" w:space="0" w:color="auto"/>
                  </w:divBdr>
                  <w:divsChild>
                    <w:div w:id="535703053">
                      <w:marLeft w:val="0"/>
                      <w:marRight w:val="0"/>
                      <w:marTop w:val="0"/>
                      <w:marBottom w:val="0"/>
                      <w:divBdr>
                        <w:top w:val="none" w:sz="0" w:space="0" w:color="auto"/>
                        <w:left w:val="none" w:sz="0" w:space="0" w:color="auto"/>
                        <w:bottom w:val="none" w:sz="0" w:space="0" w:color="auto"/>
                        <w:right w:val="none" w:sz="0" w:space="0" w:color="auto"/>
                      </w:divBdr>
                    </w:div>
                  </w:divsChild>
                </w:div>
                <w:div w:id="850022271">
                  <w:marLeft w:val="0"/>
                  <w:marRight w:val="0"/>
                  <w:marTop w:val="0"/>
                  <w:marBottom w:val="0"/>
                  <w:divBdr>
                    <w:top w:val="none" w:sz="0" w:space="0" w:color="auto"/>
                    <w:left w:val="none" w:sz="0" w:space="0" w:color="auto"/>
                    <w:bottom w:val="none" w:sz="0" w:space="0" w:color="auto"/>
                    <w:right w:val="none" w:sz="0" w:space="0" w:color="auto"/>
                  </w:divBdr>
                  <w:divsChild>
                    <w:div w:id="1434934750">
                      <w:marLeft w:val="0"/>
                      <w:marRight w:val="0"/>
                      <w:marTop w:val="0"/>
                      <w:marBottom w:val="0"/>
                      <w:divBdr>
                        <w:top w:val="none" w:sz="0" w:space="0" w:color="auto"/>
                        <w:left w:val="none" w:sz="0" w:space="0" w:color="auto"/>
                        <w:bottom w:val="none" w:sz="0" w:space="0" w:color="auto"/>
                        <w:right w:val="none" w:sz="0" w:space="0" w:color="auto"/>
                      </w:divBdr>
                    </w:div>
                  </w:divsChild>
                </w:div>
                <w:div w:id="858278815">
                  <w:marLeft w:val="0"/>
                  <w:marRight w:val="0"/>
                  <w:marTop w:val="0"/>
                  <w:marBottom w:val="0"/>
                  <w:divBdr>
                    <w:top w:val="none" w:sz="0" w:space="0" w:color="auto"/>
                    <w:left w:val="none" w:sz="0" w:space="0" w:color="auto"/>
                    <w:bottom w:val="none" w:sz="0" w:space="0" w:color="auto"/>
                    <w:right w:val="none" w:sz="0" w:space="0" w:color="auto"/>
                  </w:divBdr>
                  <w:divsChild>
                    <w:div w:id="632061025">
                      <w:marLeft w:val="0"/>
                      <w:marRight w:val="0"/>
                      <w:marTop w:val="0"/>
                      <w:marBottom w:val="0"/>
                      <w:divBdr>
                        <w:top w:val="none" w:sz="0" w:space="0" w:color="auto"/>
                        <w:left w:val="none" w:sz="0" w:space="0" w:color="auto"/>
                        <w:bottom w:val="none" w:sz="0" w:space="0" w:color="auto"/>
                        <w:right w:val="none" w:sz="0" w:space="0" w:color="auto"/>
                      </w:divBdr>
                    </w:div>
                  </w:divsChild>
                </w:div>
                <w:div w:id="990333649">
                  <w:marLeft w:val="0"/>
                  <w:marRight w:val="0"/>
                  <w:marTop w:val="0"/>
                  <w:marBottom w:val="0"/>
                  <w:divBdr>
                    <w:top w:val="none" w:sz="0" w:space="0" w:color="auto"/>
                    <w:left w:val="none" w:sz="0" w:space="0" w:color="auto"/>
                    <w:bottom w:val="none" w:sz="0" w:space="0" w:color="auto"/>
                    <w:right w:val="none" w:sz="0" w:space="0" w:color="auto"/>
                  </w:divBdr>
                  <w:divsChild>
                    <w:div w:id="927810743">
                      <w:marLeft w:val="0"/>
                      <w:marRight w:val="0"/>
                      <w:marTop w:val="0"/>
                      <w:marBottom w:val="0"/>
                      <w:divBdr>
                        <w:top w:val="none" w:sz="0" w:space="0" w:color="auto"/>
                        <w:left w:val="none" w:sz="0" w:space="0" w:color="auto"/>
                        <w:bottom w:val="none" w:sz="0" w:space="0" w:color="auto"/>
                        <w:right w:val="none" w:sz="0" w:space="0" w:color="auto"/>
                      </w:divBdr>
                    </w:div>
                  </w:divsChild>
                </w:div>
                <w:div w:id="1032799506">
                  <w:marLeft w:val="0"/>
                  <w:marRight w:val="0"/>
                  <w:marTop w:val="0"/>
                  <w:marBottom w:val="0"/>
                  <w:divBdr>
                    <w:top w:val="none" w:sz="0" w:space="0" w:color="auto"/>
                    <w:left w:val="none" w:sz="0" w:space="0" w:color="auto"/>
                    <w:bottom w:val="none" w:sz="0" w:space="0" w:color="auto"/>
                    <w:right w:val="none" w:sz="0" w:space="0" w:color="auto"/>
                  </w:divBdr>
                  <w:divsChild>
                    <w:div w:id="1594973622">
                      <w:marLeft w:val="0"/>
                      <w:marRight w:val="0"/>
                      <w:marTop w:val="0"/>
                      <w:marBottom w:val="0"/>
                      <w:divBdr>
                        <w:top w:val="none" w:sz="0" w:space="0" w:color="auto"/>
                        <w:left w:val="none" w:sz="0" w:space="0" w:color="auto"/>
                        <w:bottom w:val="none" w:sz="0" w:space="0" w:color="auto"/>
                        <w:right w:val="none" w:sz="0" w:space="0" w:color="auto"/>
                      </w:divBdr>
                    </w:div>
                  </w:divsChild>
                </w:div>
                <w:div w:id="1035079870">
                  <w:marLeft w:val="0"/>
                  <w:marRight w:val="0"/>
                  <w:marTop w:val="0"/>
                  <w:marBottom w:val="0"/>
                  <w:divBdr>
                    <w:top w:val="none" w:sz="0" w:space="0" w:color="auto"/>
                    <w:left w:val="none" w:sz="0" w:space="0" w:color="auto"/>
                    <w:bottom w:val="none" w:sz="0" w:space="0" w:color="auto"/>
                    <w:right w:val="none" w:sz="0" w:space="0" w:color="auto"/>
                  </w:divBdr>
                  <w:divsChild>
                    <w:div w:id="1673532686">
                      <w:marLeft w:val="0"/>
                      <w:marRight w:val="0"/>
                      <w:marTop w:val="0"/>
                      <w:marBottom w:val="0"/>
                      <w:divBdr>
                        <w:top w:val="none" w:sz="0" w:space="0" w:color="auto"/>
                        <w:left w:val="none" w:sz="0" w:space="0" w:color="auto"/>
                        <w:bottom w:val="none" w:sz="0" w:space="0" w:color="auto"/>
                        <w:right w:val="none" w:sz="0" w:space="0" w:color="auto"/>
                      </w:divBdr>
                    </w:div>
                  </w:divsChild>
                </w:div>
                <w:div w:id="1042289192">
                  <w:marLeft w:val="0"/>
                  <w:marRight w:val="0"/>
                  <w:marTop w:val="0"/>
                  <w:marBottom w:val="0"/>
                  <w:divBdr>
                    <w:top w:val="none" w:sz="0" w:space="0" w:color="auto"/>
                    <w:left w:val="none" w:sz="0" w:space="0" w:color="auto"/>
                    <w:bottom w:val="none" w:sz="0" w:space="0" w:color="auto"/>
                    <w:right w:val="none" w:sz="0" w:space="0" w:color="auto"/>
                  </w:divBdr>
                  <w:divsChild>
                    <w:div w:id="459034514">
                      <w:marLeft w:val="0"/>
                      <w:marRight w:val="0"/>
                      <w:marTop w:val="0"/>
                      <w:marBottom w:val="0"/>
                      <w:divBdr>
                        <w:top w:val="none" w:sz="0" w:space="0" w:color="auto"/>
                        <w:left w:val="none" w:sz="0" w:space="0" w:color="auto"/>
                        <w:bottom w:val="none" w:sz="0" w:space="0" w:color="auto"/>
                        <w:right w:val="none" w:sz="0" w:space="0" w:color="auto"/>
                      </w:divBdr>
                    </w:div>
                  </w:divsChild>
                </w:div>
                <w:div w:id="1052731280">
                  <w:marLeft w:val="0"/>
                  <w:marRight w:val="0"/>
                  <w:marTop w:val="0"/>
                  <w:marBottom w:val="0"/>
                  <w:divBdr>
                    <w:top w:val="none" w:sz="0" w:space="0" w:color="auto"/>
                    <w:left w:val="none" w:sz="0" w:space="0" w:color="auto"/>
                    <w:bottom w:val="none" w:sz="0" w:space="0" w:color="auto"/>
                    <w:right w:val="none" w:sz="0" w:space="0" w:color="auto"/>
                  </w:divBdr>
                  <w:divsChild>
                    <w:div w:id="823357443">
                      <w:marLeft w:val="0"/>
                      <w:marRight w:val="0"/>
                      <w:marTop w:val="0"/>
                      <w:marBottom w:val="0"/>
                      <w:divBdr>
                        <w:top w:val="none" w:sz="0" w:space="0" w:color="auto"/>
                        <w:left w:val="none" w:sz="0" w:space="0" w:color="auto"/>
                        <w:bottom w:val="none" w:sz="0" w:space="0" w:color="auto"/>
                        <w:right w:val="none" w:sz="0" w:space="0" w:color="auto"/>
                      </w:divBdr>
                    </w:div>
                  </w:divsChild>
                </w:div>
                <w:div w:id="1101995298">
                  <w:marLeft w:val="0"/>
                  <w:marRight w:val="0"/>
                  <w:marTop w:val="0"/>
                  <w:marBottom w:val="0"/>
                  <w:divBdr>
                    <w:top w:val="none" w:sz="0" w:space="0" w:color="auto"/>
                    <w:left w:val="none" w:sz="0" w:space="0" w:color="auto"/>
                    <w:bottom w:val="none" w:sz="0" w:space="0" w:color="auto"/>
                    <w:right w:val="none" w:sz="0" w:space="0" w:color="auto"/>
                  </w:divBdr>
                  <w:divsChild>
                    <w:div w:id="1679654739">
                      <w:marLeft w:val="0"/>
                      <w:marRight w:val="0"/>
                      <w:marTop w:val="0"/>
                      <w:marBottom w:val="0"/>
                      <w:divBdr>
                        <w:top w:val="none" w:sz="0" w:space="0" w:color="auto"/>
                        <w:left w:val="none" w:sz="0" w:space="0" w:color="auto"/>
                        <w:bottom w:val="none" w:sz="0" w:space="0" w:color="auto"/>
                        <w:right w:val="none" w:sz="0" w:space="0" w:color="auto"/>
                      </w:divBdr>
                    </w:div>
                  </w:divsChild>
                </w:div>
                <w:div w:id="1127896387">
                  <w:marLeft w:val="0"/>
                  <w:marRight w:val="0"/>
                  <w:marTop w:val="0"/>
                  <w:marBottom w:val="0"/>
                  <w:divBdr>
                    <w:top w:val="none" w:sz="0" w:space="0" w:color="auto"/>
                    <w:left w:val="none" w:sz="0" w:space="0" w:color="auto"/>
                    <w:bottom w:val="none" w:sz="0" w:space="0" w:color="auto"/>
                    <w:right w:val="none" w:sz="0" w:space="0" w:color="auto"/>
                  </w:divBdr>
                  <w:divsChild>
                    <w:div w:id="1055156713">
                      <w:marLeft w:val="0"/>
                      <w:marRight w:val="0"/>
                      <w:marTop w:val="0"/>
                      <w:marBottom w:val="0"/>
                      <w:divBdr>
                        <w:top w:val="none" w:sz="0" w:space="0" w:color="auto"/>
                        <w:left w:val="none" w:sz="0" w:space="0" w:color="auto"/>
                        <w:bottom w:val="none" w:sz="0" w:space="0" w:color="auto"/>
                        <w:right w:val="none" w:sz="0" w:space="0" w:color="auto"/>
                      </w:divBdr>
                    </w:div>
                  </w:divsChild>
                </w:div>
                <w:div w:id="1164515229">
                  <w:marLeft w:val="0"/>
                  <w:marRight w:val="0"/>
                  <w:marTop w:val="0"/>
                  <w:marBottom w:val="0"/>
                  <w:divBdr>
                    <w:top w:val="none" w:sz="0" w:space="0" w:color="auto"/>
                    <w:left w:val="none" w:sz="0" w:space="0" w:color="auto"/>
                    <w:bottom w:val="none" w:sz="0" w:space="0" w:color="auto"/>
                    <w:right w:val="none" w:sz="0" w:space="0" w:color="auto"/>
                  </w:divBdr>
                  <w:divsChild>
                    <w:div w:id="1758090524">
                      <w:marLeft w:val="0"/>
                      <w:marRight w:val="0"/>
                      <w:marTop w:val="0"/>
                      <w:marBottom w:val="0"/>
                      <w:divBdr>
                        <w:top w:val="none" w:sz="0" w:space="0" w:color="auto"/>
                        <w:left w:val="none" w:sz="0" w:space="0" w:color="auto"/>
                        <w:bottom w:val="none" w:sz="0" w:space="0" w:color="auto"/>
                        <w:right w:val="none" w:sz="0" w:space="0" w:color="auto"/>
                      </w:divBdr>
                    </w:div>
                  </w:divsChild>
                </w:div>
                <w:div w:id="1165390556">
                  <w:marLeft w:val="0"/>
                  <w:marRight w:val="0"/>
                  <w:marTop w:val="0"/>
                  <w:marBottom w:val="0"/>
                  <w:divBdr>
                    <w:top w:val="none" w:sz="0" w:space="0" w:color="auto"/>
                    <w:left w:val="none" w:sz="0" w:space="0" w:color="auto"/>
                    <w:bottom w:val="none" w:sz="0" w:space="0" w:color="auto"/>
                    <w:right w:val="none" w:sz="0" w:space="0" w:color="auto"/>
                  </w:divBdr>
                  <w:divsChild>
                    <w:div w:id="1294796218">
                      <w:marLeft w:val="0"/>
                      <w:marRight w:val="0"/>
                      <w:marTop w:val="0"/>
                      <w:marBottom w:val="0"/>
                      <w:divBdr>
                        <w:top w:val="none" w:sz="0" w:space="0" w:color="auto"/>
                        <w:left w:val="none" w:sz="0" w:space="0" w:color="auto"/>
                        <w:bottom w:val="none" w:sz="0" w:space="0" w:color="auto"/>
                        <w:right w:val="none" w:sz="0" w:space="0" w:color="auto"/>
                      </w:divBdr>
                    </w:div>
                  </w:divsChild>
                </w:div>
                <w:div w:id="1189222788">
                  <w:marLeft w:val="0"/>
                  <w:marRight w:val="0"/>
                  <w:marTop w:val="0"/>
                  <w:marBottom w:val="0"/>
                  <w:divBdr>
                    <w:top w:val="none" w:sz="0" w:space="0" w:color="auto"/>
                    <w:left w:val="none" w:sz="0" w:space="0" w:color="auto"/>
                    <w:bottom w:val="none" w:sz="0" w:space="0" w:color="auto"/>
                    <w:right w:val="none" w:sz="0" w:space="0" w:color="auto"/>
                  </w:divBdr>
                  <w:divsChild>
                    <w:div w:id="2086874350">
                      <w:marLeft w:val="0"/>
                      <w:marRight w:val="0"/>
                      <w:marTop w:val="0"/>
                      <w:marBottom w:val="0"/>
                      <w:divBdr>
                        <w:top w:val="none" w:sz="0" w:space="0" w:color="auto"/>
                        <w:left w:val="none" w:sz="0" w:space="0" w:color="auto"/>
                        <w:bottom w:val="none" w:sz="0" w:space="0" w:color="auto"/>
                        <w:right w:val="none" w:sz="0" w:space="0" w:color="auto"/>
                      </w:divBdr>
                    </w:div>
                  </w:divsChild>
                </w:div>
                <w:div w:id="1197812754">
                  <w:marLeft w:val="0"/>
                  <w:marRight w:val="0"/>
                  <w:marTop w:val="0"/>
                  <w:marBottom w:val="0"/>
                  <w:divBdr>
                    <w:top w:val="none" w:sz="0" w:space="0" w:color="auto"/>
                    <w:left w:val="none" w:sz="0" w:space="0" w:color="auto"/>
                    <w:bottom w:val="none" w:sz="0" w:space="0" w:color="auto"/>
                    <w:right w:val="none" w:sz="0" w:space="0" w:color="auto"/>
                  </w:divBdr>
                  <w:divsChild>
                    <w:div w:id="578296635">
                      <w:marLeft w:val="0"/>
                      <w:marRight w:val="0"/>
                      <w:marTop w:val="0"/>
                      <w:marBottom w:val="0"/>
                      <w:divBdr>
                        <w:top w:val="none" w:sz="0" w:space="0" w:color="auto"/>
                        <w:left w:val="none" w:sz="0" w:space="0" w:color="auto"/>
                        <w:bottom w:val="none" w:sz="0" w:space="0" w:color="auto"/>
                        <w:right w:val="none" w:sz="0" w:space="0" w:color="auto"/>
                      </w:divBdr>
                    </w:div>
                  </w:divsChild>
                </w:div>
                <w:div w:id="1231383488">
                  <w:marLeft w:val="0"/>
                  <w:marRight w:val="0"/>
                  <w:marTop w:val="0"/>
                  <w:marBottom w:val="0"/>
                  <w:divBdr>
                    <w:top w:val="none" w:sz="0" w:space="0" w:color="auto"/>
                    <w:left w:val="none" w:sz="0" w:space="0" w:color="auto"/>
                    <w:bottom w:val="none" w:sz="0" w:space="0" w:color="auto"/>
                    <w:right w:val="none" w:sz="0" w:space="0" w:color="auto"/>
                  </w:divBdr>
                  <w:divsChild>
                    <w:div w:id="539905595">
                      <w:marLeft w:val="0"/>
                      <w:marRight w:val="0"/>
                      <w:marTop w:val="0"/>
                      <w:marBottom w:val="0"/>
                      <w:divBdr>
                        <w:top w:val="none" w:sz="0" w:space="0" w:color="auto"/>
                        <w:left w:val="none" w:sz="0" w:space="0" w:color="auto"/>
                        <w:bottom w:val="none" w:sz="0" w:space="0" w:color="auto"/>
                        <w:right w:val="none" w:sz="0" w:space="0" w:color="auto"/>
                      </w:divBdr>
                    </w:div>
                  </w:divsChild>
                </w:div>
                <w:div w:id="1322662981">
                  <w:marLeft w:val="0"/>
                  <w:marRight w:val="0"/>
                  <w:marTop w:val="0"/>
                  <w:marBottom w:val="0"/>
                  <w:divBdr>
                    <w:top w:val="none" w:sz="0" w:space="0" w:color="auto"/>
                    <w:left w:val="none" w:sz="0" w:space="0" w:color="auto"/>
                    <w:bottom w:val="none" w:sz="0" w:space="0" w:color="auto"/>
                    <w:right w:val="none" w:sz="0" w:space="0" w:color="auto"/>
                  </w:divBdr>
                  <w:divsChild>
                    <w:div w:id="769197932">
                      <w:marLeft w:val="0"/>
                      <w:marRight w:val="0"/>
                      <w:marTop w:val="0"/>
                      <w:marBottom w:val="0"/>
                      <w:divBdr>
                        <w:top w:val="none" w:sz="0" w:space="0" w:color="auto"/>
                        <w:left w:val="none" w:sz="0" w:space="0" w:color="auto"/>
                        <w:bottom w:val="none" w:sz="0" w:space="0" w:color="auto"/>
                        <w:right w:val="none" w:sz="0" w:space="0" w:color="auto"/>
                      </w:divBdr>
                    </w:div>
                  </w:divsChild>
                </w:div>
                <w:div w:id="1371370590">
                  <w:marLeft w:val="0"/>
                  <w:marRight w:val="0"/>
                  <w:marTop w:val="0"/>
                  <w:marBottom w:val="0"/>
                  <w:divBdr>
                    <w:top w:val="none" w:sz="0" w:space="0" w:color="auto"/>
                    <w:left w:val="none" w:sz="0" w:space="0" w:color="auto"/>
                    <w:bottom w:val="none" w:sz="0" w:space="0" w:color="auto"/>
                    <w:right w:val="none" w:sz="0" w:space="0" w:color="auto"/>
                  </w:divBdr>
                  <w:divsChild>
                    <w:div w:id="306588977">
                      <w:marLeft w:val="0"/>
                      <w:marRight w:val="0"/>
                      <w:marTop w:val="0"/>
                      <w:marBottom w:val="0"/>
                      <w:divBdr>
                        <w:top w:val="none" w:sz="0" w:space="0" w:color="auto"/>
                        <w:left w:val="none" w:sz="0" w:space="0" w:color="auto"/>
                        <w:bottom w:val="none" w:sz="0" w:space="0" w:color="auto"/>
                        <w:right w:val="none" w:sz="0" w:space="0" w:color="auto"/>
                      </w:divBdr>
                    </w:div>
                  </w:divsChild>
                </w:div>
                <w:div w:id="1446852709">
                  <w:marLeft w:val="0"/>
                  <w:marRight w:val="0"/>
                  <w:marTop w:val="0"/>
                  <w:marBottom w:val="0"/>
                  <w:divBdr>
                    <w:top w:val="none" w:sz="0" w:space="0" w:color="auto"/>
                    <w:left w:val="none" w:sz="0" w:space="0" w:color="auto"/>
                    <w:bottom w:val="none" w:sz="0" w:space="0" w:color="auto"/>
                    <w:right w:val="none" w:sz="0" w:space="0" w:color="auto"/>
                  </w:divBdr>
                  <w:divsChild>
                    <w:div w:id="1853378151">
                      <w:marLeft w:val="0"/>
                      <w:marRight w:val="0"/>
                      <w:marTop w:val="0"/>
                      <w:marBottom w:val="0"/>
                      <w:divBdr>
                        <w:top w:val="none" w:sz="0" w:space="0" w:color="auto"/>
                        <w:left w:val="none" w:sz="0" w:space="0" w:color="auto"/>
                        <w:bottom w:val="none" w:sz="0" w:space="0" w:color="auto"/>
                        <w:right w:val="none" w:sz="0" w:space="0" w:color="auto"/>
                      </w:divBdr>
                    </w:div>
                  </w:divsChild>
                </w:div>
                <w:div w:id="1447891502">
                  <w:marLeft w:val="0"/>
                  <w:marRight w:val="0"/>
                  <w:marTop w:val="0"/>
                  <w:marBottom w:val="0"/>
                  <w:divBdr>
                    <w:top w:val="none" w:sz="0" w:space="0" w:color="auto"/>
                    <w:left w:val="none" w:sz="0" w:space="0" w:color="auto"/>
                    <w:bottom w:val="none" w:sz="0" w:space="0" w:color="auto"/>
                    <w:right w:val="none" w:sz="0" w:space="0" w:color="auto"/>
                  </w:divBdr>
                  <w:divsChild>
                    <w:div w:id="2101903061">
                      <w:marLeft w:val="0"/>
                      <w:marRight w:val="0"/>
                      <w:marTop w:val="0"/>
                      <w:marBottom w:val="0"/>
                      <w:divBdr>
                        <w:top w:val="none" w:sz="0" w:space="0" w:color="auto"/>
                        <w:left w:val="none" w:sz="0" w:space="0" w:color="auto"/>
                        <w:bottom w:val="none" w:sz="0" w:space="0" w:color="auto"/>
                        <w:right w:val="none" w:sz="0" w:space="0" w:color="auto"/>
                      </w:divBdr>
                    </w:div>
                  </w:divsChild>
                </w:div>
                <w:div w:id="1523661780">
                  <w:marLeft w:val="0"/>
                  <w:marRight w:val="0"/>
                  <w:marTop w:val="0"/>
                  <w:marBottom w:val="0"/>
                  <w:divBdr>
                    <w:top w:val="none" w:sz="0" w:space="0" w:color="auto"/>
                    <w:left w:val="none" w:sz="0" w:space="0" w:color="auto"/>
                    <w:bottom w:val="none" w:sz="0" w:space="0" w:color="auto"/>
                    <w:right w:val="none" w:sz="0" w:space="0" w:color="auto"/>
                  </w:divBdr>
                  <w:divsChild>
                    <w:div w:id="640575571">
                      <w:marLeft w:val="0"/>
                      <w:marRight w:val="0"/>
                      <w:marTop w:val="0"/>
                      <w:marBottom w:val="0"/>
                      <w:divBdr>
                        <w:top w:val="none" w:sz="0" w:space="0" w:color="auto"/>
                        <w:left w:val="none" w:sz="0" w:space="0" w:color="auto"/>
                        <w:bottom w:val="none" w:sz="0" w:space="0" w:color="auto"/>
                        <w:right w:val="none" w:sz="0" w:space="0" w:color="auto"/>
                      </w:divBdr>
                    </w:div>
                  </w:divsChild>
                </w:div>
                <w:div w:id="1553888178">
                  <w:marLeft w:val="0"/>
                  <w:marRight w:val="0"/>
                  <w:marTop w:val="0"/>
                  <w:marBottom w:val="0"/>
                  <w:divBdr>
                    <w:top w:val="none" w:sz="0" w:space="0" w:color="auto"/>
                    <w:left w:val="none" w:sz="0" w:space="0" w:color="auto"/>
                    <w:bottom w:val="none" w:sz="0" w:space="0" w:color="auto"/>
                    <w:right w:val="none" w:sz="0" w:space="0" w:color="auto"/>
                  </w:divBdr>
                  <w:divsChild>
                    <w:div w:id="190456687">
                      <w:marLeft w:val="0"/>
                      <w:marRight w:val="0"/>
                      <w:marTop w:val="0"/>
                      <w:marBottom w:val="0"/>
                      <w:divBdr>
                        <w:top w:val="none" w:sz="0" w:space="0" w:color="auto"/>
                        <w:left w:val="none" w:sz="0" w:space="0" w:color="auto"/>
                        <w:bottom w:val="none" w:sz="0" w:space="0" w:color="auto"/>
                        <w:right w:val="none" w:sz="0" w:space="0" w:color="auto"/>
                      </w:divBdr>
                    </w:div>
                  </w:divsChild>
                </w:div>
                <w:div w:id="1586183319">
                  <w:marLeft w:val="0"/>
                  <w:marRight w:val="0"/>
                  <w:marTop w:val="0"/>
                  <w:marBottom w:val="0"/>
                  <w:divBdr>
                    <w:top w:val="none" w:sz="0" w:space="0" w:color="auto"/>
                    <w:left w:val="none" w:sz="0" w:space="0" w:color="auto"/>
                    <w:bottom w:val="none" w:sz="0" w:space="0" w:color="auto"/>
                    <w:right w:val="none" w:sz="0" w:space="0" w:color="auto"/>
                  </w:divBdr>
                  <w:divsChild>
                    <w:div w:id="1471243163">
                      <w:marLeft w:val="0"/>
                      <w:marRight w:val="0"/>
                      <w:marTop w:val="0"/>
                      <w:marBottom w:val="0"/>
                      <w:divBdr>
                        <w:top w:val="none" w:sz="0" w:space="0" w:color="auto"/>
                        <w:left w:val="none" w:sz="0" w:space="0" w:color="auto"/>
                        <w:bottom w:val="none" w:sz="0" w:space="0" w:color="auto"/>
                        <w:right w:val="none" w:sz="0" w:space="0" w:color="auto"/>
                      </w:divBdr>
                    </w:div>
                  </w:divsChild>
                </w:div>
                <w:div w:id="1596788264">
                  <w:marLeft w:val="0"/>
                  <w:marRight w:val="0"/>
                  <w:marTop w:val="0"/>
                  <w:marBottom w:val="0"/>
                  <w:divBdr>
                    <w:top w:val="none" w:sz="0" w:space="0" w:color="auto"/>
                    <w:left w:val="none" w:sz="0" w:space="0" w:color="auto"/>
                    <w:bottom w:val="none" w:sz="0" w:space="0" w:color="auto"/>
                    <w:right w:val="none" w:sz="0" w:space="0" w:color="auto"/>
                  </w:divBdr>
                  <w:divsChild>
                    <w:div w:id="426656959">
                      <w:marLeft w:val="0"/>
                      <w:marRight w:val="0"/>
                      <w:marTop w:val="0"/>
                      <w:marBottom w:val="0"/>
                      <w:divBdr>
                        <w:top w:val="none" w:sz="0" w:space="0" w:color="auto"/>
                        <w:left w:val="none" w:sz="0" w:space="0" w:color="auto"/>
                        <w:bottom w:val="none" w:sz="0" w:space="0" w:color="auto"/>
                        <w:right w:val="none" w:sz="0" w:space="0" w:color="auto"/>
                      </w:divBdr>
                    </w:div>
                  </w:divsChild>
                </w:div>
                <w:div w:id="1603105270">
                  <w:marLeft w:val="0"/>
                  <w:marRight w:val="0"/>
                  <w:marTop w:val="0"/>
                  <w:marBottom w:val="0"/>
                  <w:divBdr>
                    <w:top w:val="none" w:sz="0" w:space="0" w:color="auto"/>
                    <w:left w:val="none" w:sz="0" w:space="0" w:color="auto"/>
                    <w:bottom w:val="none" w:sz="0" w:space="0" w:color="auto"/>
                    <w:right w:val="none" w:sz="0" w:space="0" w:color="auto"/>
                  </w:divBdr>
                  <w:divsChild>
                    <w:div w:id="95254118">
                      <w:marLeft w:val="0"/>
                      <w:marRight w:val="0"/>
                      <w:marTop w:val="0"/>
                      <w:marBottom w:val="0"/>
                      <w:divBdr>
                        <w:top w:val="none" w:sz="0" w:space="0" w:color="auto"/>
                        <w:left w:val="none" w:sz="0" w:space="0" w:color="auto"/>
                        <w:bottom w:val="none" w:sz="0" w:space="0" w:color="auto"/>
                        <w:right w:val="none" w:sz="0" w:space="0" w:color="auto"/>
                      </w:divBdr>
                    </w:div>
                  </w:divsChild>
                </w:div>
                <w:div w:id="1722824455">
                  <w:marLeft w:val="0"/>
                  <w:marRight w:val="0"/>
                  <w:marTop w:val="0"/>
                  <w:marBottom w:val="0"/>
                  <w:divBdr>
                    <w:top w:val="none" w:sz="0" w:space="0" w:color="auto"/>
                    <w:left w:val="none" w:sz="0" w:space="0" w:color="auto"/>
                    <w:bottom w:val="none" w:sz="0" w:space="0" w:color="auto"/>
                    <w:right w:val="none" w:sz="0" w:space="0" w:color="auto"/>
                  </w:divBdr>
                  <w:divsChild>
                    <w:div w:id="1638800809">
                      <w:marLeft w:val="0"/>
                      <w:marRight w:val="0"/>
                      <w:marTop w:val="0"/>
                      <w:marBottom w:val="0"/>
                      <w:divBdr>
                        <w:top w:val="none" w:sz="0" w:space="0" w:color="auto"/>
                        <w:left w:val="none" w:sz="0" w:space="0" w:color="auto"/>
                        <w:bottom w:val="none" w:sz="0" w:space="0" w:color="auto"/>
                        <w:right w:val="none" w:sz="0" w:space="0" w:color="auto"/>
                      </w:divBdr>
                    </w:div>
                  </w:divsChild>
                </w:div>
                <w:div w:id="1786341678">
                  <w:marLeft w:val="0"/>
                  <w:marRight w:val="0"/>
                  <w:marTop w:val="0"/>
                  <w:marBottom w:val="0"/>
                  <w:divBdr>
                    <w:top w:val="none" w:sz="0" w:space="0" w:color="auto"/>
                    <w:left w:val="none" w:sz="0" w:space="0" w:color="auto"/>
                    <w:bottom w:val="none" w:sz="0" w:space="0" w:color="auto"/>
                    <w:right w:val="none" w:sz="0" w:space="0" w:color="auto"/>
                  </w:divBdr>
                  <w:divsChild>
                    <w:div w:id="481508235">
                      <w:marLeft w:val="0"/>
                      <w:marRight w:val="0"/>
                      <w:marTop w:val="0"/>
                      <w:marBottom w:val="0"/>
                      <w:divBdr>
                        <w:top w:val="none" w:sz="0" w:space="0" w:color="auto"/>
                        <w:left w:val="none" w:sz="0" w:space="0" w:color="auto"/>
                        <w:bottom w:val="none" w:sz="0" w:space="0" w:color="auto"/>
                        <w:right w:val="none" w:sz="0" w:space="0" w:color="auto"/>
                      </w:divBdr>
                    </w:div>
                  </w:divsChild>
                </w:div>
                <w:div w:id="1898126427">
                  <w:marLeft w:val="0"/>
                  <w:marRight w:val="0"/>
                  <w:marTop w:val="0"/>
                  <w:marBottom w:val="0"/>
                  <w:divBdr>
                    <w:top w:val="none" w:sz="0" w:space="0" w:color="auto"/>
                    <w:left w:val="none" w:sz="0" w:space="0" w:color="auto"/>
                    <w:bottom w:val="none" w:sz="0" w:space="0" w:color="auto"/>
                    <w:right w:val="none" w:sz="0" w:space="0" w:color="auto"/>
                  </w:divBdr>
                  <w:divsChild>
                    <w:div w:id="718090650">
                      <w:marLeft w:val="0"/>
                      <w:marRight w:val="0"/>
                      <w:marTop w:val="0"/>
                      <w:marBottom w:val="0"/>
                      <w:divBdr>
                        <w:top w:val="none" w:sz="0" w:space="0" w:color="auto"/>
                        <w:left w:val="none" w:sz="0" w:space="0" w:color="auto"/>
                        <w:bottom w:val="none" w:sz="0" w:space="0" w:color="auto"/>
                        <w:right w:val="none" w:sz="0" w:space="0" w:color="auto"/>
                      </w:divBdr>
                    </w:div>
                  </w:divsChild>
                </w:div>
                <w:div w:id="1945452905">
                  <w:marLeft w:val="0"/>
                  <w:marRight w:val="0"/>
                  <w:marTop w:val="0"/>
                  <w:marBottom w:val="0"/>
                  <w:divBdr>
                    <w:top w:val="none" w:sz="0" w:space="0" w:color="auto"/>
                    <w:left w:val="none" w:sz="0" w:space="0" w:color="auto"/>
                    <w:bottom w:val="none" w:sz="0" w:space="0" w:color="auto"/>
                    <w:right w:val="none" w:sz="0" w:space="0" w:color="auto"/>
                  </w:divBdr>
                  <w:divsChild>
                    <w:div w:id="2080054811">
                      <w:marLeft w:val="0"/>
                      <w:marRight w:val="0"/>
                      <w:marTop w:val="0"/>
                      <w:marBottom w:val="0"/>
                      <w:divBdr>
                        <w:top w:val="none" w:sz="0" w:space="0" w:color="auto"/>
                        <w:left w:val="none" w:sz="0" w:space="0" w:color="auto"/>
                        <w:bottom w:val="none" w:sz="0" w:space="0" w:color="auto"/>
                        <w:right w:val="none" w:sz="0" w:space="0" w:color="auto"/>
                      </w:divBdr>
                    </w:div>
                  </w:divsChild>
                </w:div>
                <w:div w:id="2092845902">
                  <w:marLeft w:val="0"/>
                  <w:marRight w:val="0"/>
                  <w:marTop w:val="0"/>
                  <w:marBottom w:val="0"/>
                  <w:divBdr>
                    <w:top w:val="none" w:sz="0" w:space="0" w:color="auto"/>
                    <w:left w:val="none" w:sz="0" w:space="0" w:color="auto"/>
                    <w:bottom w:val="none" w:sz="0" w:space="0" w:color="auto"/>
                    <w:right w:val="none" w:sz="0" w:space="0" w:color="auto"/>
                  </w:divBdr>
                  <w:divsChild>
                    <w:div w:id="1294167224">
                      <w:marLeft w:val="0"/>
                      <w:marRight w:val="0"/>
                      <w:marTop w:val="0"/>
                      <w:marBottom w:val="0"/>
                      <w:divBdr>
                        <w:top w:val="none" w:sz="0" w:space="0" w:color="auto"/>
                        <w:left w:val="none" w:sz="0" w:space="0" w:color="auto"/>
                        <w:bottom w:val="none" w:sz="0" w:space="0" w:color="auto"/>
                        <w:right w:val="none" w:sz="0" w:space="0" w:color="auto"/>
                      </w:divBdr>
                    </w:div>
                  </w:divsChild>
                </w:div>
                <w:div w:id="2093114913">
                  <w:marLeft w:val="0"/>
                  <w:marRight w:val="0"/>
                  <w:marTop w:val="0"/>
                  <w:marBottom w:val="0"/>
                  <w:divBdr>
                    <w:top w:val="none" w:sz="0" w:space="0" w:color="auto"/>
                    <w:left w:val="none" w:sz="0" w:space="0" w:color="auto"/>
                    <w:bottom w:val="none" w:sz="0" w:space="0" w:color="auto"/>
                    <w:right w:val="none" w:sz="0" w:space="0" w:color="auto"/>
                  </w:divBdr>
                  <w:divsChild>
                    <w:div w:id="69233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54703">
          <w:marLeft w:val="0"/>
          <w:marRight w:val="0"/>
          <w:marTop w:val="0"/>
          <w:marBottom w:val="0"/>
          <w:divBdr>
            <w:top w:val="none" w:sz="0" w:space="0" w:color="auto"/>
            <w:left w:val="none" w:sz="0" w:space="0" w:color="auto"/>
            <w:bottom w:val="none" w:sz="0" w:space="0" w:color="auto"/>
            <w:right w:val="none" w:sz="0" w:space="0" w:color="auto"/>
          </w:divBdr>
        </w:div>
        <w:div w:id="193545812">
          <w:marLeft w:val="0"/>
          <w:marRight w:val="0"/>
          <w:marTop w:val="0"/>
          <w:marBottom w:val="0"/>
          <w:divBdr>
            <w:top w:val="none" w:sz="0" w:space="0" w:color="auto"/>
            <w:left w:val="none" w:sz="0" w:space="0" w:color="auto"/>
            <w:bottom w:val="none" w:sz="0" w:space="0" w:color="auto"/>
            <w:right w:val="none" w:sz="0" w:space="0" w:color="auto"/>
          </w:divBdr>
        </w:div>
        <w:div w:id="200095160">
          <w:marLeft w:val="0"/>
          <w:marRight w:val="0"/>
          <w:marTop w:val="0"/>
          <w:marBottom w:val="0"/>
          <w:divBdr>
            <w:top w:val="none" w:sz="0" w:space="0" w:color="auto"/>
            <w:left w:val="none" w:sz="0" w:space="0" w:color="auto"/>
            <w:bottom w:val="none" w:sz="0" w:space="0" w:color="auto"/>
            <w:right w:val="none" w:sz="0" w:space="0" w:color="auto"/>
          </w:divBdr>
        </w:div>
        <w:div w:id="222101724">
          <w:marLeft w:val="0"/>
          <w:marRight w:val="0"/>
          <w:marTop w:val="0"/>
          <w:marBottom w:val="0"/>
          <w:divBdr>
            <w:top w:val="none" w:sz="0" w:space="0" w:color="auto"/>
            <w:left w:val="none" w:sz="0" w:space="0" w:color="auto"/>
            <w:bottom w:val="none" w:sz="0" w:space="0" w:color="auto"/>
            <w:right w:val="none" w:sz="0" w:space="0" w:color="auto"/>
          </w:divBdr>
        </w:div>
        <w:div w:id="265313766">
          <w:marLeft w:val="0"/>
          <w:marRight w:val="0"/>
          <w:marTop w:val="0"/>
          <w:marBottom w:val="0"/>
          <w:divBdr>
            <w:top w:val="none" w:sz="0" w:space="0" w:color="auto"/>
            <w:left w:val="none" w:sz="0" w:space="0" w:color="auto"/>
            <w:bottom w:val="none" w:sz="0" w:space="0" w:color="auto"/>
            <w:right w:val="none" w:sz="0" w:space="0" w:color="auto"/>
          </w:divBdr>
        </w:div>
        <w:div w:id="289240192">
          <w:marLeft w:val="0"/>
          <w:marRight w:val="0"/>
          <w:marTop w:val="0"/>
          <w:marBottom w:val="0"/>
          <w:divBdr>
            <w:top w:val="none" w:sz="0" w:space="0" w:color="auto"/>
            <w:left w:val="none" w:sz="0" w:space="0" w:color="auto"/>
            <w:bottom w:val="none" w:sz="0" w:space="0" w:color="auto"/>
            <w:right w:val="none" w:sz="0" w:space="0" w:color="auto"/>
          </w:divBdr>
        </w:div>
        <w:div w:id="391731373">
          <w:marLeft w:val="0"/>
          <w:marRight w:val="0"/>
          <w:marTop w:val="0"/>
          <w:marBottom w:val="0"/>
          <w:divBdr>
            <w:top w:val="none" w:sz="0" w:space="0" w:color="auto"/>
            <w:left w:val="none" w:sz="0" w:space="0" w:color="auto"/>
            <w:bottom w:val="none" w:sz="0" w:space="0" w:color="auto"/>
            <w:right w:val="none" w:sz="0" w:space="0" w:color="auto"/>
          </w:divBdr>
        </w:div>
        <w:div w:id="471140621">
          <w:marLeft w:val="0"/>
          <w:marRight w:val="0"/>
          <w:marTop w:val="0"/>
          <w:marBottom w:val="0"/>
          <w:divBdr>
            <w:top w:val="none" w:sz="0" w:space="0" w:color="auto"/>
            <w:left w:val="none" w:sz="0" w:space="0" w:color="auto"/>
            <w:bottom w:val="none" w:sz="0" w:space="0" w:color="auto"/>
            <w:right w:val="none" w:sz="0" w:space="0" w:color="auto"/>
          </w:divBdr>
        </w:div>
        <w:div w:id="489910355">
          <w:marLeft w:val="0"/>
          <w:marRight w:val="0"/>
          <w:marTop w:val="0"/>
          <w:marBottom w:val="0"/>
          <w:divBdr>
            <w:top w:val="none" w:sz="0" w:space="0" w:color="auto"/>
            <w:left w:val="none" w:sz="0" w:space="0" w:color="auto"/>
            <w:bottom w:val="none" w:sz="0" w:space="0" w:color="auto"/>
            <w:right w:val="none" w:sz="0" w:space="0" w:color="auto"/>
          </w:divBdr>
        </w:div>
        <w:div w:id="527568661">
          <w:marLeft w:val="0"/>
          <w:marRight w:val="0"/>
          <w:marTop w:val="0"/>
          <w:marBottom w:val="0"/>
          <w:divBdr>
            <w:top w:val="none" w:sz="0" w:space="0" w:color="auto"/>
            <w:left w:val="none" w:sz="0" w:space="0" w:color="auto"/>
            <w:bottom w:val="none" w:sz="0" w:space="0" w:color="auto"/>
            <w:right w:val="none" w:sz="0" w:space="0" w:color="auto"/>
          </w:divBdr>
        </w:div>
        <w:div w:id="553128633">
          <w:marLeft w:val="0"/>
          <w:marRight w:val="0"/>
          <w:marTop w:val="0"/>
          <w:marBottom w:val="0"/>
          <w:divBdr>
            <w:top w:val="none" w:sz="0" w:space="0" w:color="auto"/>
            <w:left w:val="none" w:sz="0" w:space="0" w:color="auto"/>
            <w:bottom w:val="none" w:sz="0" w:space="0" w:color="auto"/>
            <w:right w:val="none" w:sz="0" w:space="0" w:color="auto"/>
          </w:divBdr>
        </w:div>
        <w:div w:id="575019747">
          <w:marLeft w:val="0"/>
          <w:marRight w:val="0"/>
          <w:marTop w:val="0"/>
          <w:marBottom w:val="0"/>
          <w:divBdr>
            <w:top w:val="none" w:sz="0" w:space="0" w:color="auto"/>
            <w:left w:val="none" w:sz="0" w:space="0" w:color="auto"/>
            <w:bottom w:val="none" w:sz="0" w:space="0" w:color="auto"/>
            <w:right w:val="none" w:sz="0" w:space="0" w:color="auto"/>
          </w:divBdr>
        </w:div>
        <w:div w:id="597366543">
          <w:marLeft w:val="0"/>
          <w:marRight w:val="0"/>
          <w:marTop w:val="0"/>
          <w:marBottom w:val="0"/>
          <w:divBdr>
            <w:top w:val="none" w:sz="0" w:space="0" w:color="auto"/>
            <w:left w:val="none" w:sz="0" w:space="0" w:color="auto"/>
            <w:bottom w:val="none" w:sz="0" w:space="0" w:color="auto"/>
            <w:right w:val="none" w:sz="0" w:space="0" w:color="auto"/>
          </w:divBdr>
        </w:div>
        <w:div w:id="599489928">
          <w:marLeft w:val="0"/>
          <w:marRight w:val="0"/>
          <w:marTop w:val="0"/>
          <w:marBottom w:val="0"/>
          <w:divBdr>
            <w:top w:val="none" w:sz="0" w:space="0" w:color="auto"/>
            <w:left w:val="none" w:sz="0" w:space="0" w:color="auto"/>
            <w:bottom w:val="none" w:sz="0" w:space="0" w:color="auto"/>
            <w:right w:val="none" w:sz="0" w:space="0" w:color="auto"/>
          </w:divBdr>
        </w:div>
        <w:div w:id="606040077">
          <w:marLeft w:val="0"/>
          <w:marRight w:val="0"/>
          <w:marTop w:val="0"/>
          <w:marBottom w:val="0"/>
          <w:divBdr>
            <w:top w:val="none" w:sz="0" w:space="0" w:color="auto"/>
            <w:left w:val="none" w:sz="0" w:space="0" w:color="auto"/>
            <w:bottom w:val="none" w:sz="0" w:space="0" w:color="auto"/>
            <w:right w:val="none" w:sz="0" w:space="0" w:color="auto"/>
          </w:divBdr>
        </w:div>
        <w:div w:id="633754424">
          <w:marLeft w:val="0"/>
          <w:marRight w:val="0"/>
          <w:marTop w:val="0"/>
          <w:marBottom w:val="0"/>
          <w:divBdr>
            <w:top w:val="none" w:sz="0" w:space="0" w:color="auto"/>
            <w:left w:val="none" w:sz="0" w:space="0" w:color="auto"/>
            <w:bottom w:val="none" w:sz="0" w:space="0" w:color="auto"/>
            <w:right w:val="none" w:sz="0" w:space="0" w:color="auto"/>
          </w:divBdr>
        </w:div>
        <w:div w:id="685059496">
          <w:marLeft w:val="0"/>
          <w:marRight w:val="0"/>
          <w:marTop w:val="0"/>
          <w:marBottom w:val="0"/>
          <w:divBdr>
            <w:top w:val="none" w:sz="0" w:space="0" w:color="auto"/>
            <w:left w:val="none" w:sz="0" w:space="0" w:color="auto"/>
            <w:bottom w:val="none" w:sz="0" w:space="0" w:color="auto"/>
            <w:right w:val="none" w:sz="0" w:space="0" w:color="auto"/>
          </w:divBdr>
        </w:div>
        <w:div w:id="814565285">
          <w:marLeft w:val="0"/>
          <w:marRight w:val="0"/>
          <w:marTop w:val="0"/>
          <w:marBottom w:val="0"/>
          <w:divBdr>
            <w:top w:val="none" w:sz="0" w:space="0" w:color="auto"/>
            <w:left w:val="none" w:sz="0" w:space="0" w:color="auto"/>
            <w:bottom w:val="none" w:sz="0" w:space="0" w:color="auto"/>
            <w:right w:val="none" w:sz="0" w:space="0" w:color="auto"/>
          </w:divBdr>
        </w:div>
        <w:div w:id="899436688">
          <w:marLeft w:val="0"/>
          <w:marRight w:val="0"/>
          <w:marTop w:val="0"/>
          <w:marBottom w:val="0"/>
          <w:divBdr>
            <w:top w:val="none" w:sz="0" w:space="0" w:color="auto"/>
            <w:left w:val="none" w:sz="0" w:space="0" w:color="auto"/>
            <w:bottom w:val="none" w:sz="0" w:space="0" w:color="auto"/>
            <w:right w:val="none" w:sz="0" w:space="0" w:color="auto"/>
          </w:divBdr>
        </w:div>
        <w:div w:id="947348535">
          <w:marLeft w:val="0"/>
          <w:marRight w:val="0"/>
          <w:marTop w:val="0"/>
          <w:marBottom w:val="0"/>
          <w:divBdr>
            <w:top w:val="none" w:sz="0" w:space="0" w:color="auto"/>
            <w:left w:val="none" w:sz="0" w:space="0" w:color="auto"/>
            <w:bottom w:val="none" w:sz="0" w:space="0" w:color="auto"/>
            <w:right w:val="none" w:sz="0" w:space="0" w:color="auto"/>
          </w:divBdr>
        </w:div>
        <w:div w:id="966083398">
          <w:marLeft w:val="0"/>
          <w:marRight w:val="0"/>
          <w:marTop w:val="0"/>
          <w:marBottom w:val="0"/>
          <w:divBdr>
            <w:top w:val="none" w:sz="0" w:space="0" w:color="auto"/>
            <w:left w:val="none" w:sz="0" w:space="0" w:color="auto"/>
            <w:bottom w:val="none" w:sz="0" w:space="0" w:color="auto"/>
            <w:right w:val="none" w:sz="0" w:space="0" w:color="auto"/>
          </w:divBdr>
          <w:divsChild>
            <w:div w:id="308632754">
              <w:marLeft w:val="0"/>
              <w:marRight w:val="0"/>
              <w:marTop w:val="0"/>
              <w:marBottom w:val="0"/>
              <w:divBdr>
                <w:top w:val="none" w:sz="0" w:space="0" w:color="auto"/>
                <w:left w:val="none" w:sz="0" w:space="0" w:color="auto"/>
                <w:bottom w:val="none" w:sz="0" w:space="0" w:color="auto"/>
                <w:right w:val="none" w:sz="0" w:space="0" w:color="auto"/>
              </w:divBdr>
            </w:div>
            <w:div w:id="438645052">
              <w:marLeft w:val="0"/>
              <w:marRight w:val="0"/>
              <w:marTop w:val="0"/>
              <w:marBottom w:val="0"/>
              <w:divBdr>
                <w:top w:val="none" w:sz="0" w:space="0" w:color="auto"/>
                <w:left w:val="none" w:sz="0" w:space="0" w:color="auto"/>
                <w:bottom w:val="none" w:sz="0" w:space="0" w:color="auto"/>
                <w:right w:val="none" w:sz="0" w:space="0" w:color="auto"/>
              </w:divBdr>
            </w:div>
            <w:div w:id="502859704">
              <w:marLeft w:val="0"/>
              <w:marRight w:val="0"/>
              <w:marTop w:val="0"/>
              <w:marBottom w:val="0"/>
              <w:divBdr>
                <w:top w:val="none" w:sz="0" w:space="0" w:color="auto"/>
                <w:left w:val="none" w:sz="0" w:space="0" w:color="auto"/>
                <w:bottom w:val="none" w:sz="0" w:space="0" w:color="auto"/>
                <w:right w:val="none" w:sz="0" w:space="0" w:color="auto"/>
              </w:divBdr>
            </w:div>
            <w:div w:id="656149957">
              <w:marLeft w:val="0"/>
              <w:marRight w:val="0"/>
              <w:marTop w:val="0"/>
              <w:marBottom w:val="0"/>
              <w:divBdr>
                <w:top w:val="none" w:sz="0" w:space="0" w:color="auto"/>
                <w:left w:val="none" w:sz="0" w:space="0" w:color="auto"/>
                <w:bottom w:val="none" w:sz="0" w:space="0" w:color="auto"/>
                <w:right w:val="none" w:sz="0" w:space="0" w:color="auto"/>
              </w:divBdr>
            </w:div>
            <w:div w:id="688064783">
              <w:marLeft w:val="0"/>
              <w:marRight w:val="0"/>
              <w:marTop w:val="0"/>
              <w:marBottom w:val="0"/>
              <w:divBdr>
                <w:top w:val="none" w:sz="0" w:space="0" w:color="auto"/>
                <w:left w:val="none" w:sz="0" w:space="0" w:color="auto"/>
                <w:bottom w:val="none" w:sz="0" w:space="0" w:color="auto"/>
                <w:right w:val="none" w:sz="0" w:space="0" w:color="auto"/>
              </w:divBdr>
            </w:div>
            <w:div w:id="803890571">
              <w:marLeft w:val="0"/>
              <w:marRight w:val="0"/>
              <w:marTop w:val="0"/>
              <w:marBottom w:val="0"/>
              <w:divBdr>
                <w:top w:val="none" w:sz="0" w:space="0" w:color="auto"/>
                <w:left w:val="none" w:sz="0" w:space="0" w:color="auto"/>
                <w:bottom w:val="none" w:sz="0" w:space="0" w:color="auto"/>
                <w:right w:val="none" w:sz="0" w:space="0" w:color="auto"/>
              </w:divBdr>
            </w:div>
            <w:div w:id="918711618">
              <w:marLeft w:val="0"/>
              <w:marRight w:val="0"/>
              <w:marTop w:val="0"/>
              <w:marBottom w:val="0"/>
              <w:divBdr>
                <w:top w:val="none" w:sz="0" w:space="0" w:color="auto"/>
                <w:left w:val="none" w:sz="0" w:space="0" w:color="auto"/>
                <w:bottom w:val="none" w:sz="0" w:space="0" w:color="auto"/>
                <w:right w:val="none" w:sz="0" w:space="0" w:color="auto"/>
              </w:divBdr>
            </w:div>
            <w:div w:id="927232132">
              <w:marLeft w:val="0"/>
              <w:marRight w:val="0"/>
              <w:marTop w:val="0"/>
              <w:marBottom w:val="0"/>
              <w:divBdr>
                <w:top w:val="none" w:sz="0" w:space="0" w:color="auto"/>
                <w:left w:val="none" w:sz="0" w:space="0" w:color="auto"/>
                <w:bottom w:val="none" w:sz="0" w:space="0" w:color="auto"/>
                <w:right w:val="none" w:sz="0" w:space="0" w:color="auto"/>
              </w:divBdr>
            </w:div>
            <w:div w:id="976374830">
              <w:marLeft w:val="0"/>
              <w:marRight w:val="0"/>
              <w:marTop w:val="0"/>
              <w:marBottom w:val="0"/>
              <w:divBdr>
                <w:top w:val="none" w:sz="0" w:space="0" w:color="auto"/>
                <w:left w:val="none" w:sz="0" w:space="0" w:color="auto"/>
                <w:bottom w:val="none" w:sz="0" w:space="0" w:color="auto"/>
                <w:right w:val="none" w:sz="0" w:space="0" w:color="auto"/>
              </w:divBdr>
            </w:div>
            <w:div w:id="1071854358">
              <w:marLeft w:val="0"/>
              <w:marRight w:val="0"/>
              <w:marTop w:val="0"/>
              <w:marBottom w:val="0"/>
              <w:divBdr>
                <w:top w:val="none" w:sz="0" w:space="0" w:color="auto"/>
                <w:left w:val="none" w:sz="0" w:space="0" w:color="auto"/>
                <w:bottom w:val="none" w:sz="0" w:space="0" w:color="auto"/>
                <w:right w:val="none" w:sz="0" w:space="0" w:color="auto"/>
              </w:divBdr>
            </w:div>
            <w:div w:id="1107238838">
              <w:marLeft w:val="0"/>
              <w:marRight w:val="0"/>
              <w:marTop w:val="0"/>
              <w:marBottom w:val="0"/>
              <w:divBdr>
                <w:top w:val="none" w:sz="0" w:space="0" w:color="auto"/>
                <w:left w:val="none" w:sz="0" w:space="0" w:color="auto"/>
                <w:bottom w:val="none" w:sz="0" w:space="0" w:color="auto"/>
                <w:right w:val="none" w:sz="0" w:space="0" w:color="auto"/>
              </w:divBdr>
            </w:div>
            <w:div w:id="1156453709">
              <w:marLeft w:val="0"/>
              <w:marRight w:val="0"/>
              <w:marTop w:val="0"/>
              <w:marBottom w:val="0"/>
              <w:divBdr>
                <w:top w:val="none" w:sz="0" w:space="0" w:color="auto"/>
                <w:left w:val="none" w:sz="0" w:space="0" w:color="auto"/>
                <w:bottom w:val="none" w:sz="0" w:space="0" w:color="auto"/>
                <w:right w:val="none" w:sz="0" w:space="0" w:color="auto"/>
              </w:divBdr>
            </w:div>
            <w:div w:id="1272056765">
              <w:marLeft w:val="0"/>
              <w:marRight w:val="0"/>
              <w:marTop w:val="0"/>
              <w:marBottom w:val="0"/>
              <w:divBdr>
                <w:top w:val="none" w:sz="0" w:space="0" w:color="auto"/>
                <w:left w:val="none" w:sz="0" w:space="0" w:color="auto"/>
                <w:bottom w:val="none" w:sz="0" w:space="0" w:color="auto"/>
                <w:right w:val="none" w:sz="0" w:space="0" w:color="auto"/>
              </w:divBdr>
            </w:div>
            <w:div w:id="1467309930">
              <w:marLeft w:val="0"/>
              <w:marRight w:val="0"/>
              <w:marTop w:val="0"/>
              <w:marBottom w:val="0"/>
              <w:divBdr>
                <w:top w:val="none" w:sz="0" w:space="0" w:color="auto"/>
                <w:left w:val="none" w:sz="0" w:space="0" w:color="auto"/>
                <w:bottom w:val="none" w:sz="0" w:space="0" w:color="auto"/>
                <w:right w:val="none" w:sz="0" w:space="0" w:color="auto"/>
              </w:divBdr>
            </w:div>
            <w:div w:id="1539273478">
              <w:marLeft w:val="0"/>
              <w:marRight w:val="0"/>
              <w:marTop w:val="0"/>
              <w:marBottom w:val="0"/>
              <w:divBdr>
                <w:top w:val="none" w:sz="0" w:space="0" w:color="auto"/>
                <w:left w:val="none" w:sz="0" w:space="0" w:color="auto"/>
                <w:bottom w:val="none" w:sz="0" w:space="0" w:color="auto"/>
                <w:right w:val="none" w:sz="0" w:space="0" w:color="auto"/>
              </w:divBdr>
            </w:div>
            <w:div w:id="1544292388">
              <w:marLeft w:val="0"/>
              <w:marRight w:val="0"/>
              <w:marTop w:val="0"/>
              <w:marBottom w:val="0"/>
              <w:divBdr>
                <w:top w:val="none" w:sz="0" w:space="0" w:color="auto"/>
                <w:left w:val="none" w:sz="0" w:space="0" w:color="auto"/>
                <w:bottom w:val="none" w:sz="0" w:space="0" w:color="auto"/>
                <w:right w:val="none" w:sz="0" w:space="0" w:color="auto"/>
              </w:divBdr>
            </w:div>
            <w:div w:id="1600792897">
              <w:marLeft w:val="0"/>
              <w:marRight w:val="0"/>
              <w:marTop w:val="0"/>
              <w:marBottom w:val="0"/>
              <w:divBdr>
                <w:top w:val="none" w:sz="0" w:space="0" w:color="auto"/>
                <w:left w:val="none" w:sz="0" w:space="0" w:color="auto"/>
                <w:bottom w:val="none" w:sz="0" w:space="0" w:color="auto"/>
                <w:right w:val="none" w:sz="0" w:space="0" w:color="auto"/>
              </w:divBdr>
            </w:div>
            <w:div w:id="1669407428">
              <w:marLeft w:val="0"/>
              <w:marRight w:val="0"/>
              <w:marTop w:val="0"/>
              <w:marBottom w:val="0"/>
              <w:divBdr>
                <w:top w:val="none" w:sz="0" w:space="0" w:color="auto"/>
                <w:left w:val="none" w:sz="0" w:space="0" w:color="auto"/>
                <w:bottom w:val="none" w:sz="0" w:space="0" w:color="auto"/>
                <w:right w:val="none" w:sz="0" w:space="0" w:color="auto"/>
              </w:divBdr>
            </w:div>
            <w:div w:id="1889492740">
              <w:marLeft w:val="0"/>
              <w:marRight w:val="0"/>
              <w:marTop w:val="0"/>
              <w:marBottom w:val="0"/>
              <w:divBdr>
                <w:top w:val="none" w:sz="0" w:space="0" w:color="auto"/>
                <w:left w:val="none" w:sz="0" w:space="0" w:color="auto"/>
                <w:bottom w:val="none" w:sz="0" w:space="0" w:color="auto"/>
                <w:right w:val="none" w:sz="0" w:space="0" w:color="auto"/>
              </w:divBdr>
            </w:div>
            <w:div w:id="1970821858">
              <w:marLeft w:val="0"/>
              <w:marRight w:val="0"/>
              <w:marTop w:val="0"/>
              <w:marBottom w:val="0"/>
              <w:divBdr>
                <w:top w:val="none" w:sz="0" w:space="0" w:color="auto"/>
                <w:left w:val="none" w:sz="0" w:space="0" w:color="auto"/>
                <w:bottom w:val="none" w:sz="0" w:space="0" w:color="auto"/>
                <w:right w:val="none" w:sz="0" w:space="0" w:color="auto"/>
              </w:divBdr>
            </w:div>
          </w:divsChild>
        </w:div>
        <w:div w:id="1125586058">
          <w:marLeft w:val="0"/>
          <w:marRight w:val="0"/>
          <w:marTop w:val="0"/>
          <w:marBottom w:val="0"/>
          <w:divBdr>
            <w:top w:val="none" w:sz="0" w:space="0" w:color="auto"/>
            <w:left w:val="none" w:sz="0" w:space="0" w:color="auto"/>
            <w:bottom w:val="none" w:sz="0" w:space="0" w:color="auto"/>
            <w:right w:val="none" w:sz="0" w:space="0" w:color="auto"/>
          </w:divBdr>
        </w:div>
        <w:div w:id="1184514970">
          <w:marLeft w:val="0"/>
          <w:marRight w:val="0"/>
          <w:marTop w:val="0"/>
          <w:marBottom w:val="0"/>
          <w:divBdr>
            <w:top w:val="none" w:sz="0" w:space="0" w:color="auto"/>
            <w:left w:val="none" w:sz="0" w:space="0" w:color="auto"/>
            <w:bottom w:val="none" w:sz="0" w:space="0" w:color="auto"/>
            <w:right w:val="none" w:sz="0" w:space="0" w:color="auto"/>
          </w:divBdr>
        </w:div>
        <w:div w:id="1194610641">
          <w:marLeft w:val="0"/>
          <w:marRight w:val="0"/>
          <w:marTop w:val="0"/>
          <w:marBottom w:val="0"/>
          <w:divBdr>
            <w:top w:val="none" w:sz="0" w:space="0" w:color="auto"/>
            <w:left w:val="none" w:sz="0" w:space="0" w:color="auto"/>
            <w:bottom w:val="none" w:sz="0" w:space="0" w:color="auto"/>
            <w:right w:val="none" w:sz="0" w:space="0" w:color="auto"/>
          </w:divBdr>
        </w:div>
        <w:div w:id="1197622068">
          <w:marLeft w:val="0"/>
          <w:marRight w:val="0"/>
          <w:marTop w:val="0"/>
          <w:marBottom w:val="0"/>
          <w:divBdr>
            <w:top w:val="none" w:sz="0" w:space="0" w:color="auto"/>
            <w:left w:val="none" w:sz="0" w:space="0" w:color="auto"/>
            <w:bottom w:val="none" w:sz="0" w:space="0" w:color="auto"/>
            <w:right w:val="none" w:sz="0" w:space="0" w:color="auto"/>
          </w:divBdr>
        </w:div>
        <w:div w:id="1229417650">
          <w:marLeft w:val="0"/>
          <w:marRight w:val="0"/>
          <w:marTop w:val="0"/>
          <w:marBottom w:val="0"/>
          <w:divBdr>
            <w:top w:val="none" w:sz="0" w:space="0" w:color="auto"/>
            <w:left w:val="none" w:sz="0" w:space="0" w:color="auto"/>
            <w:bottom w:val="none" w:sz="0" w:space="0" w:color="auto"/>
            <w:right w:val="none" w:sz="0" w:space="0" w:color="auto"/>
          </w:divBdr>
        </w:div>
        <w:div w:id="1372850239">
          <w:marLeft w:val="0"/>
          <w:marRight w:val="0"/>
          <w:marTop w:val="0"/>
          <w:marBottom w:val="0"/>
          <w:divBdr>
            <w:top w:val="none" w:sz="0" w:space="0" w:color="auto"/>
            <w:left w:val="none" w:sz="0" w:space="0" w:color="auto"/>
            <w:bottom w:val="none" w:sz="0" w:space="0" w:color="auto"/>
            <w:right w:val="none" w:sz="0" w:space="0" w:color="auto"/>
          </w:divBdr>
        </w:div>
        <w:div w:id="1565530099">
          <w:marLeft w:val="0"/>
          <w:marRight w:val="0"/>
          <w:marTop w:val="0"/>
          <w:marBottom w:val="0"/>
          <w:divBdr>
            <w:top w:val="none" w:sz="0" w:space="0" w:color="auto"/>
            <w:left w:val="none" w:sz="0" w:space="0" w:color="auto"/>
            <w:bottom w:val="none" w:sz="0" w:space="0" w:color="auto"/>
            <w:right w:val="none" w:sz="0" w:space="0" w:color="auto"/>
          </w:divBdr>
        </w:div>
        <w:div w:id="1573156593">
          <w:marLeft w:val="0"/>
          <w:marRight w:val="0"/>
          <w:marTop w:val="0"/>
          <w:marBottom w:val="0"/>
          <w:divBdr>
            <w:top w:val="none" w:sz="0" w:space="0" w:color="auto"/>
            <w:left w:val="none" w:sz="0" w:space="0" w:color="auto"/>
            <w:bottom w:val="none" w:sz="0" w:space="0" w:color="auto"/>
            <w:right w:val="none" w:sz="0" w:space="0" w:color="auto"/>
          </w:divBdr>
        </w:div>
        <w:div w:id="1594513303">
          <w:marLeft w:val="0"/>
          <w:marRight w:val="0"/>
          <w:marTop w:val="0"/>
          <w:marBottom w:val="0"/>
          <w:divBdr>
            <w:top w:val="none" w:sz="0" w:space="0" w:color="auto"/>
            <w:left w:val="none" w:sz="0" w:space="0" w:color="auto"/>
            <w:bottom w:val="none" w:sz="0" w:space="0" w:color="auto"/>
            <w:right w:val="none" w:sz="0" w:space="0" w:color="auto"/>
          </w:divBdr>
        </w:div>
        <w:div w:id="1604797814">
          <w:marLeft w:val="0"/>
          <w:marRight w:val="0"/>
          <w:marTop w:val="0"/>
          <w:marBottom w:val="0"/>
          <w:divBdr>
            <w:top w:val="none" w:sz="0" w:space="0" w:color="auto"/>
            <w:left w:val="none" w:sz="0" w:space="0" w:color="auto"/>
            <w:bottom w:val="none" w:sz="0" w:space="0" w:color="auto"/>
            <w:right w:val="none" w:sz="0" w:space="0" w:color="auto"/>
          </w:divBdr>
          <w:divsChild>
            <w:div w:id="1327586296">
              <w:marLeft w:val="-75"/>
              <w:marRight w:val="0"/>
              <w:marTop w:val="30"/>
              <w:marBottom w:val="30"/>
              <w:divBdr>
                <w:top w:val="none" w:sz="0" w:space="0" w:color="auto"/>
                <w:left w:val="none" w:sz="0" w:space="0" w:color="auto"/>
                <w:bottom w:val="none" w:sz="0" w:space="0" w:color="auto"/>
                <w:right w:val="none" w:sz="0" w:space="0" w:color="auto"/>
              </w:divBdr>
              <w:divsChild>
                <w:div w:id="103308179">
                  <w:marLeft w:val="0"/>
                  <w:marRight w:val="0"/>
                  <w:marTop w:val="0"/>
                  <w:marBottom w:val="0"/>
                  <w:divBdr>
                    <w:top w:val="none" w:sz="0" w:space="0" w:color="auto"/>
                    <w:left w:val="none" w:sz="0" w:space="0" w:color="auto"/>
                    <w:bottom w:val="none" w:sz="0" w:space="0" w:color="auto"/>
                    <w:right w:val="none" w:sz="0" w:space="0" w:color="auto"/>
                  </w:divBdr>
                  <w:divsChild>
                    <w:div w:id="1676181206">
                      <w:marLeft w:val="0"/>
                      <w:marRight w:val="0"/>
                      <w:marTop w:val="0"/>
                      <w:marBottom w:val="0"/>
                      <w:divBdr>
                        <w:top w:val="none" w:sz="0" w:space="0" w:color="auto"/>
                        <w:left w:val="none" w:sz="0" w:space="0" w:color="auto"/>
                        <w:bottom w:val="none" w:sz="0" w:space="0" w:color="auto"/>
                        <w:right w:val="none" w:sz="0" w:space="0" w:color="auto"/>
                      </w:divBdr>
                    </w:div>
                  </w:divsChild>
                </w:div>
                <w:div w:id="103496951">
                  <w:marLeft w:val="0"/>
                  <w:marRight w:val="0"/>
                  <w:marTop w:val="0"/>
                  <w:marBottom w:val="0"/>
                  <w:divBdr>
                    <w:top w:val="none" w:sz="0" w:space="0" w:color="auto"/>
                    <w:left w:val="none" w:sz="0" w:space="0" w:color="auto"/>
                    <w:bottom w:val="none" w:sz="0" w:space="0" w:color="auto"/>
                    <w:right w:val="none" w:sz="0" w:space="0" w:color="auto"/>
                  </w:divBdr>
                  <w:divsChild>
                    <w:div w:id="2022971911">
                      <w:marLeft w:val="0"/>
                      <w:marRight w:val="0"/>
                      <w:marTop w:val="0"/>
                      <w:marBottom w:val="0"/>
                      <w:divBdr>
                        <w:top w:val="none" w:sz="0" w:space="0" w:color="auto"/>
                        <w:left w:val="none" w:sz="0" w:space="0" w:color="auto"/>
                        <w:bottom w:val="none" w:sz="0" w:space="0" w:color="auto"/>
                        <w:right w:val="none" w:sz="0" w:space="0" w:color="auto"/>
                      </w:divBdr>
                    </w:div>
                  </w:divsChild>
                </w:div>
                <w:div w:id="122503080">
                  <w:marLeft w:val="0"/>
                  <w:marRight w:val="0"/>
                  <w:marTop w:val="0"/>
                  <w:marBottom w:val="0"/>
                  <w:divBdr>
                    <w:top w:val="none" w:sz="0" w:space="0" w:color="auto"/>
                    <w:left w:val="none" w:sz="0" w:space="0" w:color="auto"/>
                    <w:bottom w:val="none" w:sz="0" w:space="0" w:color="auto"/>
                    <w:right w:val="none" w:sz="0" w:space="0" w:color="auto"/>
                  </w:divBdr>
                  <w:divsChild>
                    <w:div w:id="1250426917">
                      <w:marLeft w:val="0"/>
                      <w:marRight w:val="0"/>
                      <w:marTop w:val="0"/>
                      <w:marBottom w:val="0"/>
                      <w:divBdr>
                        <w:top w:val="none" w:sz="0" w:space="0" w:color="auto"/>
                        <w:left w:val="none" w:sz="0" w:space="0" w:color="auto"/>
                        <w:bottom w:val="none" w:sz="0" w:space="0" w:color="auto"/>
                        <w:right w:val="none" w:sz="0" w:space="0" w:color="auto"/>
                      </w:divBdr>
                    </w:div>
                  </w:divsChild>
                </w:div>
                <w:div w:id="133103826">
                  <w:marLeft w:val="0"/>
                  <w:marRight w:val="0"/>
                  <w:marTop w:val="0"/>
                  <w:marBottom w:val="0"/>
                  <w:divBdr>
                    <w:top w:val="none" w:sz="0" w:space="0" w:color="auto"/>
                    <w:left w:val="none" w:sz="0" w:space="0" w:color="auto"/>
                    <w:bottom w:val="none" w:sz="0" w:space="0" w:color="auto"/>
                    <w:right w:val="none" w:sz="0" w:space="0" w:color="auto"/>
                  </w:divBdr>
                  <w:divsChild>
                    <w:div w:id="110708824">
                      <w:marLeft w:val="0"/>
                      <w:marRight w:val="0"/>
                      <w:marTop w:val="0"/>
                      <w:marBottom w:val="0"/>
                      <w:divBdr>
                        <w:top w:val="none" w:sz="0" w:space="0" w:color="auto"/>
                        <w:left w:val="none" w:sz="0" w:space="0" w:color="auto"/>
                        <w:bottom w:val="none" w:sz="0" w:space="0" w:color="auto"/>
                        <w:right w:val="none" w:sz="0" w:space="0" w:color="auto"/>
                      </w:divBdr>
                    </w:div>
                  </w:divsChild>
                </w:div>
                <w:div w:id="210457381">
                  <w:marLeft w:val="0"/>
                  <w:marRight w:val="0"/>
                  <w:marTop w:val="0"/>
                  <w:marBottom w:val="0"/>
                  <w:divBdr>
                    <w:top w:val="none" w:sz="0" w:space="0" w:color="auto"/>
                    <w:left w:val="none" w:sz="0" w:space="0" w:color="auto"/>
                    <w:bottom w:val="none" w:sz="0" w:space="0" w:color="auto"/>
                    <w:right w:val="none" w:sz="0" w:space="0" w:color="auto"/>
                  </w:divBdr>
                  <w:divsChild>
                    <w:div w:id="1867913268">
                      <w:marLeft w:val="0"/>
                      <w:marRight w:val="0"/>
                      <w:marTop w:val="0"/>
                      <w:marBottom w:val="0"/>
                      <w:divBdr>
                        <w:top w:val="none" w:sz="0" w:space="0" w:color="auto"/>
                        <w:left w:val="none" w:sz="0" w:space="0" w:color="auto"/>
                        <w:bottom w:val="none" w:sz="0" w:space="0" w:color="auto"/>
                        <w:right w:val="none" w:sz="0" w:space="0" w:color="auto"/>
                      </w:divBdr>
                    </w:div>
                  </w:divsChild>
                </w:div>
                <w:div w:id="350032764">
                  <w:marLeft w:val="0"/>
                  <w:marRight w:val="0"/>
                  <w:marTop w:val="0"/>
                  <w:marBottom w:val="0"/>
                  <w:divBdr>
                    <w:top w:val="none" w:sz="0" w:space="0" w:color="auto"/>
                    <w:left w:val="none" w:sz="0" w:space="0" w:color="auto"/>
                    <w:bottom w:val="none" w:sz="0" w:space="0" w:color="auto"/>
                    <w:right w:val="none" w:sz="0" w:space="0" w:color="auto"/>
                  </w:divBdr>
                  <w:divsChild>
                    <w:div w:id="1482187590">
                      <w:marLeft w:val="0"/>
                      <w:marRight w:val="0"/>
                      <w:marTop w:val="0"/>
                      <w:marBottom w:val="0"/>
                      <w:divBdr>
                        <w:top w:val="none" w:sz="0" w:space="0" w:color="auto"/>
                        <w:left w:val="none" w:sz="0" w:space="0" w:color="auto"/>
                        <w:bottom w:val="none" w:sz="0" w:space="0" w:color="auto"/>
                        <w:right w:val="none" w:sz="0" w:space="0" w:color="auto"/>
                      </w:divBdr>
                    </w:div>
                  </w:divsChild>
                </w:div>
                <w:div w:id="359669191">
                  <w:marLeft w:val="0"/>
                  <w:marRight w:val="0"/>
                  <w:marTop w:val="0"/>
                  <w:marBottom w:val="0"/>
                  <w:divBdr>
                    <w:top w:val="none" w:sz="0" w:space="0" w:color="auto"/>
                    <w:left w:val="none" w:sz="0" w:space="0" w:color="auto"/>
                    <w:bottom w:val="none" w:sz="0" w:space="0" w:color="auto"/>
                    <w:right w:val="none" w:sz="0" w:space="0" w:color="auto"/>
                  </w:divBdr>
                  <w:divsChild>
                    <w:div w:id="627055495">
                      <w:marLeft w:val="0"/>
                      <w:marRight w:val="0"/>
                      <w:marTop w:val="0"/>
                      <w:marBottom w:val="0"/>
                      <w:divBdr>
                        <w:top w:val="none" w:sz="0" w:space="0" w:color="auto"/>
                        <w:left w:val="none" w:sz="0" w:space="0" w:color="auto"/>
                        <w:bottom w:val="none" w:sz="0" w:space="0" w:color="auto"/>
                        <w:right w:val="none" w:sz="0" w:space="0" w:color="auto"/>
                      </w:divBdr>
                    </w:div>
                  </w:divsChild>
                </w:div>
                <w:div w:id="363024496">
                  <w:marLeft w:val="0"/>
                  <w:marRight w:val="0"/>
                  <w:marTop w:val="0"/>
                  <w:marBottom w:val="0"/>
                  <w:divBdr>
                    <w:top w:val="none" w:sz="0" w:space="0" w:color="auto"/>
                    <w:left w:val="none" w:sz="0" w:space="0" w:color="auto"/>
                    <w:bottom w:val="none" w:sz="0" w:space="0" w:color="auto"/>
                    <w:right w:val="none" w:sz="0" w:space="0" w:color="auto"/>
                  </w:divBdr>
                  <w:divsChild>
                    <w:div w:id="1760560102">
                      <w:marLeft w:val="0"/>
                      <w:marRight w:val="0"/>
                      <w:marTop w:val="0"/>
                      <w:marBottom w:val="0"/>
                      <w:divBdr>
                        <w:top w:val="none" w:sz="0" w:space="0" w:color="auto"/>
                        <w:left w:val="none" w:sz="0" w:space="0" w:color="auto"/>
                        <w:bottom w:val="none" w:sz="0" w:space="0" w:color="auto"/>
                        <w:right w:val="none" w:sz="0" w:space="0" w:color="auto"/>
                      </w:divBdr>
                    </w:div>
                  </w:divsChild>
                </w:div>
                <w:div w:id="537284147">
                  <w:marLeft w:val="0"/>
                  <w:marRight w:val="0"/>
                  <w:marTop w:val="0"/>
                  <w:marBottom w:val="0"/>
                  <w:divBdr>
                    <w:top w:val="none" w:sz="0" w:space="0" w:color="auto"/>
                    <w:left w:val="none" w:sz="0" w:space="0" w:color="auto"/>
                    <w:bottom w:val="none" w:sz="0" w:space="0" w:color="auto"/>
                    <w:right w:val="none" w:sz="0" w:space="0" w:color="auto"/>
                  </w:divBdr>
                  <w:divsChild>
                    <w:div w:id="792558425">
                      <w:marLeft w:val="0"/>
                      <w:marRight w:val="0"/>
                      <w:marTop w:val="0"/>
                      <w:marBottom w:val="0"/>
                      <w:divBdr>
                        <w:top w:val="none" w:sz="0" w:space="0" w:color="auto"/>
                        <w:left w:val="none" w:sz="0" w:space="0" w:color="auto"/>
                        <w:bottom w:val="none" w:sz="0" w:space="0" w:color="auto"/>
                        <w:right w:val="none" w:sz="0" w:space="0" w:color="auto"/>
                      </w:divBdr>
                    </w:div>
                  </w:divsChild>
                </w:div>
                <w:div w:id="714281704">
                  <w:marLeft w:val="0"/>
                  <w:marRight w:val="0"/>
                  <w:marTop w:val="0"/>
                  <w:marBottom w:val="0"/>
                  <w:divBdr>
                    <w:top w:val="none" w:sz="0" w:space="0" w:color="auto"/>
                    <w:left w:val="none" w:sz="0" w:space="0" w:color="auto"/>
                    <w:bottom w:val="none" w:sz="0" w:space="0" w:color="auto"/>
                    <w:right w:val="none" w:sz="0" w:space="0" w:color="auto"/>
                  </w:divBdr>
                  <w:divsChild>
                    <w:div w:id="366413095">
                      <w:marLeft w:val="0"/>
                      <w:marRight w:val="0"/>
                      <w:marTop w:val="0"/>
                      <w:marBottom w:val="0"/>
                      <w:divBdr>
                        <w:top w:val="none" w:sz="0" w:space="0" w:color="auto"/>
                        <w:left w:val="none" w:sz="0" w:space="0" w:color="auto"/>
                        <w:bottom w:val="none" w:sz="0" w:space="0" w:color="auto"/>
                        <w:right w:val="none" w:sz="0" w:space="0" w:color="auto"/>
                      </w:divBdr>
                    </w:div>
                  </w:divsChild>
                </w:div>
                <w:div w:id="729185193">
                  <w:marLeft w:val="0"/>
                  <w:marRight w:val="0"/>
                  <w:marTop w:val="0"/>
                  <w:marBottom w:val="0"/>
                  <w:divBdr>
                    <w:top w:val="none" w:sz="0" w:space="0" w:color="auto"/>
                    <w:left w:val="none" w:sz="0" w:space="0" w:color="auto"/>
                    <w:bottom w:val="none" w:sz="0" w:space="0" w:color="auto"/>
                    <w:right w:val="none" w:sz="0" w:space="0" w:color="auto"/>
                  </w:divBdr>
                  <w:divsChild>
                    <w:div w:id="1717045773">
                      <w:marLeft w:val="0"/>
                      <w:marRight w:val="0"/>
                      <w:marTop w:val="0"/>
                      <w:marBottom w:val="0"/>
                      <w:divBdr>
                        <w:top w:val="none" w:sz="0" w:space="0" w:color="auto"/>
                        <w:left w:val="none" w:sz="0" w:space="0" w:color="auto"/>
                        <w:bottom w:val="none" w:sz="0" w:space="0" w:color="auto"/>
                        <w:right w:val="none" w:sz="0" w:space="0" w:color="auto"/>
                      </w:divBdr>
                    </w:div>
                  </w:divsChild>
                </w:div>
                <w:div w:id="743189508">
                  <w:marLeft w:val="0"/>
                  <w:marRight w:val="0"/>
                  <w:marTop w:val="0"/>
                  <w:marBottom w:val="0"/>
                  <w:divBdr>
                    <w:top w:val="none" w:sz="0" w:space="0" w:color="auto"/>
                    <w:left w:val="none" w:sz="0" w:space="0" w:color="auto"/>
                    <w:bottom w:val="none" w:sz="0" w:space="0" w:color="auto"/>
                    <w:right w:val="none" w:sz="0" w:space="0" w:color="auto"/>
                  </w:divBdr>
                  <w:divsChild>
                    <w:div w:id="1736203355">
                      <w:marLeft w:val="0"/>
                      <w:marRight w:val="0"/>
                      <w:marTop w:val="0"/>
                      <w:marBottom w:val="0"/>
                      <w:divBdr>
                        <w:top w:val="none" w:sz="0" w:space="0" w:color="auto"/>
                        <w:left w:val="none" w:sz="0" w:space="0" w:color="auto"/>
                        <w:bottom w:val="none" w:sz="0" w:space="0" w:color="auto"/>
                        <w:right w:val="none" w:sz="0" w:space="0" w:color="auto"/>
                      </w:divBdr>
                    </w:div>
                  </w:divsChild>
                </w:div>
                <w:div w:id="762647558">
                  <w:marLeft w:val="0"/>
                  <w:marRight w:val="0"/>
                  <w:marTop w:val="0"/>
                  <w:marBottom w:val="0"/>
                  <w:divBdr>
                    <w:top w:val="none" w:sz="0" w:space="0" w:color="auto"/>
                    <w:left w:val="none" w:sz="0" w:space="0" w:color="auto"/>
                    <w:bottom w:val="none" w:sz="0" w:space="0" w:color="auto"/>
                    <w:right w:val="none" w:sz="0" w:space="0" w:color="auto"/>
                  </w:divBdr>
                  <w:divsChild>
                    <w:div w:id="40446727">
                      <w:marLeft w:val="0"/>
                      <w:marRight w:val="0"/>
                      <w:marTop w:val="0"/>
                      <w:marBottom w:val="0"/>
                      <w:divBdr>
                        <w:top w:val="none" w:sz="0" w:space="0" w:color="auto"/>
                        <w:left w:val="none" w:sz="0" w:space="0" w:color="auto"/>
                        <w:bottom w:val="none" w:sz="0" w:space="0" w:color="auto"/>
                        <w:right w:val="none" w:sz="0" w:space="0" w:color="auto"/>
                      </w:divBdr>
                    </w:div>
                  </w:divsChild>
                </w:div>
                <w:div w:id="801733754">
                  <w:marLeft w:val="0"/>
                  <w:marRight w:val="0"/>
                  <w:marTop w:val="0"/>
                  <w:marBottom w:val="0"/>
                  <w:divBdr>
                    <w:top w:val="none" w:sz="0" w:space="0" w:color="auto"/>
                    <w:left w:val="none" w:sz="0" w:space="0" w:color="auto"/>
                    <w:bottom w:val="none" w:sz="0" w:space="0" w:color="auto"/>
                    <w:right w:val="none" w:sz="0" w:space="0" w:color="auto"/>
                  </w:divBdr>
                  <w:divsChild>
                    <w:div w:id="535848808">
                      <w:marLeft w:val="0"/>
                      <w:marRight w:val="0"/>
                      <w:marTop w:val="0"/>
                      <w:marBottom w:val="0"/>
                      <w:divBdr>
                        <w:top w:val="none" w:sz="0" w:space="0" w:color="auto"/>
                        <w:left w:val="none" w:sz="0" w:space="0" w:color="auto"/>
                        <w:bottom w:val="none" w:sz="0" w:space="0" w:color="auto"/>
                        <w:right w:val="none" w:sz="0" w:space="0" w:color="auto"/>
                      </w:divBdr>
                    </w:div>
                  </w:divsChild>
                </w:div>
                <w:div w:id="821696349">
                  <w:marLeft w:val="0"/>
                  <w:marRight w:val="0"/>
                  <w:marTop w:val="0"/>
                  <w:marBottom w:val="0"/>
                  <w:divBdr>
                    <w:top w:val="none" w:sz="0" w:space="0" w:color="auto"/>
                    <w:left w:val="none" w:sz="0" w:space="0" w:color="auto"/>
                    <w:bottom w:val="none" w:sz="0" w:space="0" w:color="auto"/>
                    <w:right w:val="none" w:sz="0" w:space="0" w:color="auto"/>
                  </w:divBdr>
                  <w:divsChild>
                    <w:div w:id="988483096">
                      <w:marLeft w:val="0"/>
                      <w:marRight w:val="0"/>
                      <w:marTop w:val="0"/>
                      <w:marBottom w:val="0"/>
                      <w:divBdr>
                        <w:top w:val="none" w:sz="0" w:space="0" w:color="auto"/>
                        <w:left w:val="none" w:sz="0" w:space="0" w:color="auto"/>
                        <w:bottom w:val="none" w:sz="0" w:space="0" w:color="auto"/>
                        <w:right w:val="none" w:sz="0" w:space="0" w:color="auto"/>
                      </w:divBdr>
                    </w:div>
                  </w:divsChild>
                </w:div>
                <w:div w:id="852454049">
                  <w:marLeft w:val="0"/>
                  <w:marRight w:val="0"/>
                  <w:marTop w:val="0"/>
                  <w:marBottom w:val="0"/>
                  <w:divBdr>
                    <w:top w:val="none" w:sz="0" w:space="0" w:color="auto"/>
                    <w:left w:val="none" w:sz="0" w:space="0" w:color="auto"/>
                    <w:bottom w:val="none" w:sz="0" w:space="0" w:color="auto"/>
                    <w:right w:val="none" w:sz="0" w:space="0" w:color="auto"/>
                  </w:divBdr>
                  <w:divsChild>
                    <w:div w:id="1906840538">
                      <w:marLeft w:val="0"/>
                      <w:marRight w:val="0"/>
                      <w:marTop w:val="0"/>
                      <w:marBottom w:val="0"/>
                      <w:divBdr>
                        <w:top w:val="none" w:sz="0" w:space="0" w:color="auto"/>
                        <w:left w:val="none" w:sz="0" w:space="0" w:color="auto"/>
                        <w:bottom w:val="none" w:sz="0" w:space="0" w:color="auto"/>
                        <w:right w:val="none" w:sz="0" w:space="0" w:color="auto"/>
                      </w:divBdr>
                    </w:div>
                  </w:divsChild>
                </w:div>
                <w:div w:id="1319575726">
                  <w:marLeft w:val="0"/>
                  <w:marRight w:val="0"/>
                  <w:marTop w:val="0"/>
                  <w:marBottom w:val="0"/>
                  <w:divBdr>
                    <w:top w:val="none" w:sz="0" w:space="0" w:color="auto"/>
                    <w:left w:val="none" w:sz="0" w:space="0" w:color="auto"/>
                    <w:bottom w:val="none" w:sz="0" w:space="0" w:color="auto"/>
                    <w:right w:val="none" w:sz="0" w:space="0" w:color="auto"/>
                  </w:divBdr>
                  <w:divsChild>
                    <w:div w:id="1950428892">
                      <w:marLeft w:val="0"/>
                      <w:marRight w:val="0"/>
                      <w:marTop w:val="0"/>
                      <w:marBottom w:val="0"/>
                      <w:divBdr>
                        <w:top w:val="none" w:sz="0" w:space="0" w:color="auto"/>
                        <w:left w:val="none" w:sz="0" w:space="0" w:color="auto"/>
                        <w:bottom w:val="none" w:sz="0" w:space="0" w:color="auto"/>
                        <w:right w:val="none" w:sz="0" w:space="0" w:color="auto"/>
                      </w:divBdr>
                    </w:div>
                  </w:divsChild>
                </w:div>
                <w:div w:id="1550150359">
                  <w:marLeft w:val="0"/>
                  <w:marRight w:val="0"/>
                  <w:marTop w:val="0"/>
                  <w:marBottom w:val="0"/>
                  <w:divBdr>
                    <w:top w:val="none" w:sz="0" w:space="0" w:color="auto"/>
                    <w:left w:val="none" w:sz="0" w:space="0" w:color="auto"/>
                    <w:bottom w:val="none" w:sz="0" w:space="0" w:color="auto"/>
                    <w:right w:val="none" w:sz="0" w:space="0" w:color="auto"/>
                  </w:divBdr>
                  <w:divsChild>
                    <w:div w:id="2091074240">
                      <w:marLeft w:val="0"/>
                      <w:marRight w:val="0"/>
                      <w:marTop w:val="0"/>
                      <w:marBottom w:val="0"/>
                      <w:divBdr>
                        <w:top w:val="none" w:sz="0" w:space="0" w:color="auto"/>
                        <w:left w:val="none" w:sz="0" w:space="0" w:color="auto"/>
                        <w:bottom w:val="none" w:sz="0" w:space="0" w:color="auto"/>
                        <w:right w:val="none" w:sz="0" w:space="0" w:color="auto"/>
                      </w:divBdr>
                    </w:div>
                  </w:divsChild>
                </w:div>
                <w:div w:id="1716466688">
                  <w:marLeft w:val="0"/>
                  <w:marRight w:val="0"/>
                  <w:marTop w:val="0"/>
                  <w:marBottom w:val="0"/>
                  <w:divBdr>
                    <w:top w:val="none" w:sz="0" w:space="0" w:color="auto"/>
                    <w:left w:val="none" w:sz="0" w:space="0" w:color="auto"/>
                    <w:bottom w:val="none" w:sz="0" w:space="0" w:color="auto"/>
                    <w:right w:val="none" w:sz="0" w:space="0" w:color="auto"/>
                  </w:divBdr>
                  <w:divsChild>
                    <w:div w:id="1033068476">
                      <w:marLeft w:val="0"/>
                      <w:marRight w:val="0"/>
                      <w:marTop w:val="0"/>
                      <w:marBottom w:val="0"/>
                      <w:divBdr>
                        <w:top w:val="none" w:sz="0" w:space="0" w:color="auto"/>
                        <w:left w:val="none" w:sz="0" w:space="0" w:color="auto"/>
                        <w:bottom w:val="none" w:sz="0" w:space="0" w:color="auto"/>
                        <w:right w:val="none" w:sz="0" w:space="0" w:color="auto"/>
                      </w:divBdr>
                    </w:div>
                  </w:divsChild>
                </w:div>
                <w:div w:id="1727021222">
                  <w:marLeft w:val="0"/>
                  <w:marRight w:val="0"/>
                  <w:marTop w:val="0"/>
                  <w:marBottom w:val="0"/>
                  <w:divBdr>
                    <w:top w:val="none" w:sz="0" w:space="0" w:color="auto"/>
                    <w:left w:val="none" w:sz="0" w:space="0" w:color="auto"/>
                    <w:bottom w:val="none" w:sz="0" w:space="0" w:color="auto"/>
                    <w:right w:val="none" w:sz="0" w:space="0" w:color="auto"/>
                  </w:divBdr>
                  <w:divsChild>
                    <w:div w:id="1206218252">
                      <w:marLeft w:val="0"/>
                      <w:marRight w:val="0"/>
                      <w:marTop w:val="0"/>
                      <w:marBottom w:val="0"/>
                      <w:divBdr>
                        <w:top w:val="none" w:sz="0" w:space="0" w:color="auto"/>
                        <w:left w:val="none" w:sz="0" w:space="0" w:color="auto"/>
                        <w:bottom w:val="none" w:sz="0" w:space="0" w:color="auto"/>
                        <w:right w:val="none" w:sz="0" w:space="0" w:color="auto"/>
                      </w:divBdr>
                    </w:div>
                  </w:divsChild>
                </w:div>
                <w:div w:id="1771469429">
                  <w:marLeft w:val="0"/>
                  <w:marRight w:val="0"/>
                  <w:marTop w:val="0"/>
                  <w:marBottom w:val="0"/>
                  <w:divBdr>
                    <w:top w:val="none" w:sz="0" w:space="0" w:color="auto"/>
                    <w:left w:val="none" w:sz="0" w:space="0" w:color="auto"/>
                    <w:bottom w:val="none" w:sz="0" w:space="0" w:color="auto"/>
                    <w:right w:val="none" w:sz="0" w:space="0" w:color="auto"/>
                  </w:divBdr>
                  <w:divsChild>
                    <w:div w:id="1283266794">
                      <w:marLeft w:val="0"/>
                      <w:marRight w:val="0"/>
                      <w:marTop w:val="0"/>
                      <w:marBottom w:val="0"/>
                      <w:divBdr>
                        <w:top w:val="none" w:sz="0" w:space="0" w:color="auto"/>
                        <w:left w:val="none" w:sz="0" w:space="0" w:color="auto"/>
                        <w:bottom w:val="none" w:sz="0" w:space="0" w:color="auto"/>
                        <w:right w:val="none" w:sz="0" w:space="0" w:color="auto"/>
                      </w:divBdr>
                    </w:div>
                  </w:divsChild>
                </w:div>
                <w:div w:id="1848594071">
                  <w:marLeft w:val="0"/>
                  <w:marRight w:val="0"/>
                  <w:marTop w:val="0"/>
                  <w:marBottom w:val="0"/>
                  <w:divBdr>
                    <w:top w:val="none" w:sz="0" w:space="0" w:color="auto"/>
                    <w:left w:val="none" w:sz="0" w:space="0" w:color="auto"/>
                    <w:bottom w:val="none" w:sz="0" w:space="0" w:color="auto"/>
                    <w:right w:val="none" w:sz="0" w:space="0" w:color="auto"/>
                  </w:divBdr>
                  <w:divsChild>
                    <w:div w:id="1845512914">
                      <w:marLeft w:val="0"/>
                      <w:marRight w:val="0"/>
                      <w:marTop w:val="0"/>
                      <w:marBottom w:val="0"/>
                      <w:divBdr>
                        <w:top w:val="none" w:sz="0" w:space="0" w:color="auto"/>
                        <w:left w:val="none" w:sz="0" w:space="0" w:color="auto"/>
                        <w:bottom w:val="none" w:sz="0" w:space="0" w:color="auto"/>
                        <w:right w:val="none" w:sz="0" w:space="0" w:color="auto"/>
                      </w:divBdr>
                    </w:div>
                  </w:divsChild>
                </w:div>
                <w:div w:id="1926766397">
                  <w:marLeft w:val="0"/>
                  <w:marRight w:val="0"/>
                  <w:marTop w:val="0"/>
                  <w:marBottom w:val="0"/>
                  <w:divBdr>
                    <w:top w:val="none" w:sz="0" w:space="0" w:color="auto"/>
                    <w:left w:val="none" w:sz="0" w:space="0" w:color="auto"/>
                    <w:bottom w:val="none" w:sz="0" w:space="0" w:color="auto"/>
                    <w:right w:val="none" w:sz="0" w:space="0" w:color="auto"/>
                  </w:divBdr>
                  <w:divsChild>
                    <w:div w:id="1652632065">
                      <w:marLeft w:val="0"/>
                      <w:marRight w:val="0"/>
                      <w:marTop w:val="0"/>
                      <w:marBottom w:val="0"/>
                      <w:divBdr>
                        <w:top w:val="none" w:sz="0" w:space="0" w:color="auto"/>
                        <w:left w:val="none" w:sz="0" w:space="0" w:color="auto"/>
                        <w:bottom w:val="none" w:sz="0" w:space="0" w:color="auto"/>
                        <w:right w:val="none" w:sz="0" w:space="0" w:color="auto"/>
                      </w:divBdr>
                    </w:div>
                  </w:divsChild>
                </w:div>
                <w:div w:id="2125415378">
                  <w:marLeft w:val="0"/>
                  <w:marRight w:val="0"/>
                  <w:marTop w:val="0"/>
                  <w:marBottom w:val="0"/>
                  <w:divBdr>
                    <w:top w:val="none" w:sz="0" w:space="0" w:color="auto"/>
                    <w:left w:val="none" w:sz="0" w:space="0" w:color="auto"/>
                    <w:bottom w:val="none" w:sz="0" w:space="0" w:color="auto"/>
                    <w:right w:val="none" w:sz="0" w:space="0" w:color="auto"/>
                  </w:divBdr>
                  <w:divsChild>
                    <w:div w:id="96516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967922">
          <w:marLeft w:val="0"/>
          <w:marRight w:val="0"/>
          <w:marTop w:val="0"/>
          <w:marBottom w:val="0"/>
          <w:divBdr>
            <w:top w:val="none" w:sz="0" w:space="0" w:color="auto"/>
            <w:left w:val="none" w:sz="0" w:space="0" w:color="auto"/>
            <w:bottom w:val="none" w:sz="0" w:space="0" w:color="auto"/>
            <w:right w:val="none" w:sz="0" w:space="0" w:color="auto"/>
          </w:divBdr>
        </w:div>
        <w:div w:id="1832870265">
          <w:marLeft w:val="0"/>
          <w:marRight w:val="0"/>
          <w:marTop w:val="0"/>
          <w:marBottom w:val="0"/>
          <w:divBdr>
            <w:top w:val="none" w:sz="0" w:space="0" w:color="auto"/>
            <w:left w:val="none" w:sz="0" w:space="0" w:color="auto"/>
            <w:bottom w:val="none" w:sz="0" w:space="0" w:color="auto"/>
            <w:right w:val="none" w:sz="0" w:space="0" w:color="auto"/>
          </w:divBdr>
        </w:div>
        <w:div w:id="1886990650">
          <w:marLeft w:val="0"/>
          <w:marRight w:val="0"/>
          <w:marTop w:val="0"/>
          <w:marBottom w:val="0"/>
          <w:divBdr>
            <w:top w:val="none" w:sz="0" w:space="0" w:color="auto"/>
            <w:left w:val="none" w:sz="0" w:space="0" w:color="auto"/>
            <w:bottom w:val="none" w:sz="0" w:space="0" w:color="auto"/>
            <w:right w:val="none" w:sz="0" w:space="0" w:color="auto"/>
          </w:divBdr>
        </w:div>
        <w:div w:id="1916939851">
          <w:marLeft w:val="0"/>
          <w:marRight w:val="0"/>
          <w:marTop w:val="0"/>
          <w:marBottom w:val="0"/>
          <w:divBdr>
            <w:top w:val="none" w:sz="0" w:space="0" w:color="auto"/>
            <w:left w:val="none" w:sz="0" w:space="0" w:color="auto"/>
            <w:bottom w:val="none" w:sz="0" w:space="0" w:color="auto"/>
            <w:right w:val="none" w:sz="0" w:space="0" w:color="auto"/>
          </w:divBdr>
        </w:div>
        <w:div w:id="2048526916">
          <w:marLeft w:val="0"/>
          <w:marRight w:val="0"/>
          <w:marTop w:val="0"/>
          <w:marBottom w:val="0"/>
          <w:divBdr>
            <w:top w:val="none" w:sz="0" w:space="0" w:color="auto"/>
            <w:left w:val="none" w:sz="0" w:space="0" w:color="auto"/>
            <w:bottom w:val="none" w:sz="0" w:space="0" w:color="auto"/>
            <w:right w:val="none" w:sz="0" w:space="0" w:color="auto"/>
          </w:divBdr>
          <w:divsChild>
            <w:div w:id="35543005">
              <w:marLeft w:val="0"/>
              <w:marRight w:val="0"/>
              <w:marTop w:val="0"/>
              <w:marBottom w:val="0"/>
              <w:divBdr>
                <w:top w:val="none" w:sz="0" w:space="0" w:color="auto"/>
                <w:left w:val="none" w:sz="0" w:space="0" w:color="auto"/>
                <w:bottom w:val="none" w:sz="0" w:space="0" w:color="auto"/>
                <w:right w:val="none" w:sz="0" w:space="0" w:color="auto"/>
              </w:divBdr>
            </w:div>
            <w:div w:id="338506447">
              <w:marLeft w:val="0"/>
              <w:marRight w:val="0"/>
              <w:marTop w:val="0"/>
              <w:marBottom w:val="0"/>
              <w:divBdr>
                <w:top w:val="none" w:sz="0" w:space="0" w:color="auto"/>
                <w:left w:val="none" w:sz="0" w:space="0" w:color="auto"/>
                <w:bottom w:val="none" w:sz="0" w:space="0" w:color="auto"/>
                <w:right w:val="none" w:sz="0" w:space="0" w:color="auto"/>
              </w:divBdr>
            </w:div>
            <w:div w:id="400836192">
              <w:marLeft w:val="0"/>
              <w:marRight w:val="0"/>
              <w:marTop w:val="0"/>
              <w:marBottom w:val="0"/>
              <w:divBdr>
                <w:top w:val="none" w:sz="0" w:space="0" w:color="auto"/>
                <w:left w:val="none" w:sz="0" w:space="0" w:color="auto"/>
                <w:bottom w:val="none" w:sz="0" w:space="0" w:color="auto"/>
                <w:right w:val="none" w:sz="0" w:space="0" w:color="auto"/>
              </w:divBdr>
            </w:div>
            <w:div w:id="497235184">
              <w:marLeft w:val="0"/>
              <w:marRight w:val="0"/>
              <w:marTop w:val="0"/>
              <w:marBottom w:val="0"/>
              <w:divBdr>
                <w:top w:val="none" w:sz="0" w:space="0" w:color="auto"/>
                <w:left w:val="none" w:sz="0" w:space="0" w:color="auto"/>
                <w:bottom w:val="none" w:sz="0" w:space="0" w:color="auto"/>
                <w:right w:val="none" w:sz="0" w:space="0" w:color="auto"/>
              </w:divBdr>
            </w:div>
            <w:div w:id="497576079">
              <w:marLeft w:val="0"/>
              <w:marRight w:val="0"/>
              <w:marTop w:val="0"/>
              <w:marBottom w:val="0"/>
              <w:divBdr>
                <w:top w:val="none" w:sz="0" w:space="0" w:color="auto"/>
                <w:left w:val="none" w:sz="0" w:space="0" w:color="auto"/>
                <w:bottom w:val="none" w:sz="0" w:space="0" w:color="auto"/>
                <w:right w:val="none" w:sz="0" w:space="0" w:color="auto"/>
              </w:divBdr>
            </w:div>
            <w:div w:id="664285050">
              <w:marLeft w:val="0"/>
              <w:marRight w:val="0"/>
              <w:marTop w:val="0"/>
              <w:marBottom w:val="0"/>
              <w:divBdr>
                <w:top w:val="none" w:sz="0" w:space="0" w:color="auto"/>
                <w:left w:val="none" w:sz="0" w:space="0" w:color="auto"/>
                <w:bottom w:val="none" w:sz="0" w:space="0" w:color="auto"/>
                <w:right w:val="none" w:sz="0" w:space="0" w:color="auto"/>
              </w:divBdr>
            </w:div>
            <w:div w:id="706416361">
              <w:marLeft w:val="0"/>
              <w:marRight w:val="0"/>
              <w:marTop w:val="0"/>
              <w:marBottom w:val="0"/>
              <w:divBdr>
                <w:top w:val="none" w:sz="0" w:space="0" w:color="auto"/>
                <w:left w:val="none" w:sz="0" w:space="0" w:color="auto"/>
                <w:bottom w:val="none" w:sz="0" w:space="0" w:color="auto"/>
                <w:right w:val="none" w:sz="0" w:space="0" w:color="auto"/>
              </w:divBdr>
            </w:div>
            <w:div w:id="1103913642">
              <w:marLeft w:val="0"/>
              <w:marRight w:val="0"/>
              <w:marTop w:val="0"/>
              <w:marBottom w:val="0"/>
              <w:divBdr>
                <w:top w:val="none" w:sz="0" w:space="0" w:color="auto"/>
                <w:left w:val="none" w:sz="0" w:space="0" w:color="auto"/>
                <w:bottom w:val="none" w:sz="0" w:space="0" w:color="auto"/>
                <w:right w:val="none" w:sz="0" w:space="0" w:color="auto"/>
              </w:divBdr>
            </w:div>
            <w:div w:id="1206335045">
              <w:marLeft w:val="0"/>
              <w:marRight w:val="0"/>
              <w:marTop w:val="0"/>
              <w:marBottom w:val="0"/>
              <w:divBdr>
                <w:top w:val="none" w:sz="0" w:space="0" w:color="auto"/>
                <w:left w:val="none" w:sz="0" w:space="0" w:color="auto"/>
                <w:bottom w:val="none" w:sz="0" w:space="0" w:color="auto"/>
                <w:right w:val="none" w:sz="0" w:space="0" w:color="auto"/>
              </w:divBdr>
            </w:div>
            <w:div w:id="1250651543">
              <w:marLeft w:val="0"/>
              <w:marRight w:val="0"/>
              <w:marTop w:val="0"/>
              <w:marBottom w:val="0"/>
              <w:divBdr>
                <w:top w:val="none" w:sz="0" w:space="0" w:color="auto"/>
                <w:left w:val="none" w:sz="0" w:space="0" w:color="auto"/>
                <w:bottom w:val="none" w:sz="0" w:space="0" w:color="auto"/>
                <w:right w:val="none" w:sz="0" w:space="0" w:color="auto"/>
              </w:divBdr>
            </w:div>
            <w:div w:id="1325401894">
              <w:marLeft w:val="0"/>
              <w:marRight w:val="0"/>
              <w:marTop w:val="0"/>
              <w:marBottom w:val="0"/>
              <w:divBdr>
                <w:top w:val="none" w:sz="0" w:space="0" w:color="auto"/>
                <w:left w:val="none" w:sz="0" w:space="0" w:color="auto"/>
                <w:bottom w:val="none" w:sz="0" w:space="0" w:color="auto"/>
                <w:right w:val="none" w:sz="0" w:space="0" w:color="auto"/>
              </w:divBdr>
            </w:div>
            <w:div w:id="1336962057">
              <w:marLeft w:val="0"/>
              <w:marRight w:val="0"/>
              <w:marTop w:val="0"/>
              <w:marBottom w:val="0"/>
              <w:divBdr>
                <w:top w:val="none" w:sz="0" w:space="0" w:color="auto"/>
                <w:left w:val="none" w:sz="0" w:space="0" w:color="auto"/>
                <w:bottom w:val="none" w:sz="0" w:space="0" w:color="auto"/>
                <w:right w:val="none" w:sz="0" w:space="0" w:color="auto"/>
              </w:divBdr>
            </w:div>
            <w:div w:id="1443765859">
              <w:marLeft w:val="0"/>
              <w:marRight w:val="0"/>
              <w:marTop w:val="0"/>
              <w:marBottom w:val="0"/>
              <w:divBdr>
                <w:top w:val="none" w:sz="0" w:space="0" w:color="auto"/>
                <w:left w:val="none" w:sz="0" w:space="0" w:color="auto"/>
                <w:bottom w:val="none" w:sz="0" w:space="0" w:color="auto"/>
                <w:right w:val="none" w:sz="0" w:space="0" w:color="auto"/>
              </w:divBdr>
            </w:div>
            <w:div w:id="1600288504">
              <w:marLeft w:val="0"/>
              <w:marRight w:val="0"/>
              <w:marTop w:val="0"/>
              <w:marBottom w:val="0"/>
              <w:divBdr>
                <w:top w:val="none" w:sz="0" w:space="0" w:color="auto"/>
                <w:left w:val="none" w:sz="0" w:space="0" w:color="auto"/>
                <w:bottom w:val="none" w:sz="0" w:space="0" w:color="auto"/>
                <w:right w:val="none" w:sz="0" w:space="0" w:color="auto"/>
              </w:divBdr>
            </w:div>
            <w:div w:id="1799495962">
              <w:marLeft w:val="0"/>
              <w:marRight w:val="0"/>
              <w:marTop w:val="0"/>
              <w:marBottom w:val="0"/>
              <w:divBdr>
                <w:top w:val="none" w:sz="0" w:space="0" w:color="auto"/>
                <w:left w:val="none" w:sz="0" w:space="0" w:color="auto"/>
                <w:bottom w:val="none" w:sz="0" w:space="0" w:color="auto"/>
                <w:right w:val="none" w:sz="0" w:space="0" w:color="auto"/>
              </w:divBdr>
            </w:div>
            <w:div w:id="1811164885">
              <w:marLeft w:val="0"/>
              <w:marRight w:val="0"/>
              <w:marTop w:val="0"/>
              <w:marBottom w:val="0"/>
              <w:divBdr>
                <w:top w:val="none" w:sz="0" w:space="0" w:color="auto"/>
                <w:left w:val="none" w:sz="0" w:space="0" w:color="auto"/>
                <w:bottom w:val="none" w:sz="0" w:space="0" w:color="auto"/>
                <w:right w:val="none" w:sz="0" w:space="0" w:color="auto"/>
              </w:divBdr>
            </w:div>
            <w:div w:id="1855612642">
              <w:marLeft w:val="0"/>
              <w:marRight w:val="0"/>
              <w:marTop w:val="0"/>
              <w:marBottom w:val="0"/>
              <w:divBdr>
                <w:top w:val="none" w:sz="0" w:space="0" w:color="auto"/>
                <w:left w:val="none" w:sz="0" w:space="0" w:color="auto"/>
                <w:bottom w:val="none" w:sz="0" w:space="0" w:color="auto"/>
                <w:right w:val="none" w:sz="0" w:space="0" w:color="auto"/>
              </w:divBdr>
            </w:div>
            <w:div w:id="1929187999">
              <w:marLeft w:val="0"/>
              <w:marRight w:val="0"/>
              <w:marTop w:val="0"/>
              <w:marBottom w:val="0"/>
              <w:divBdr>
                <w:top w:val="none" w:sz="0" w:space="0" w:color="auto"/>
                <w:left w:val="none" w:sz="0" w:space="0" w:color="auto"/>
                <w:bottom w:val="none" w:sz="0" w:space="0" w:color="auto"/>
                <w:right w:val="none" w:sz="0" w:space="0" w:color="auto"/>
              </w:divBdr>
            </w:div>
            <w:div w:id="1972982225">
              <w:marLeft w:val="0"/>
              <w:marRight w:val="0"/>
              <w:marTop w:val="0"/>
              <w:marBottom w:val="0"/>
              <w:divBdr>
                <w:top w:val="none" w:sz="0" w:space="0" w:color="auto"/>
                <w:left w:val="none" w:sz="0" w:space="0" w:color="auto"/>
                <w:bottom w:val="none" w:sz="0" w:space="0" w:color="auto"/>
                <w:right w:val="none" w:sz="0" w:space="0" w:color="auto"/>
              </w:divBdr>
            </w:div>
            <w:div w:id="2145922693">
              <w:marLeft w:val="0"/>
              <w:marRight w:val="0"/>
              <w:marTop w:val="0"/>
              <w:marBottom w:val="0"/>
              <w:divBdr>
                <w:top w:val="none" w:sz="0" w:space="0" w:color="auto"/>
                <w:left w:val="none" w:sz="0" w:space="0" w:color="auto"/>
                <w:bottom w:val="none" w:sz="0" w:space="0" w:color="auto"/>
                <w:right w:val="none" w:sz="0" w:space="0" w:color="auto"/>
              </w:divBdr>
            </w:div>
          </w:divsChild>
        </w:div>
        <w:div w:id="2062093098">
          <w:marLeft w:val="0"/>
          <w:marRight w:val="0"/>
          <w:marTop w:val="0"/>
          <w:marBottom w:val="0"/>
          <w:divBdr>
            <w:top w:val="none" w:sz="0" w:space="0" w:color="auto"/>
            <w:left w:val="none" w:sz="0" w:space="0" w:color="auto"/>
            <w:bottom w:val="none" w:sz="0" w:space="0" w:color="auto"/>
            <w:right w:val="none" w:sz="0" w:space="0" w:color="auto"/>
          </w:divBdr>
        </w:div>
        <w:div w:id="2090736604">
          <w:marLeft w:val="0"/>
          <w:marRight w:val="0"/>
          <w:marTop w:val="0"/>
          <w:marBottom w:val="0"/>
          <w:divBdr>
            <w:top w:val="none" w:sz="0" w:space="0" w:color="auto"/>
            <w:left w:val="none" w:sz="0" w:space="0" w:color="auto"/>
            <w:bottom w:val="none" w:sz="0" w:space="0" w:color="auto"/>
            <w:right w:val="none" w:sz="0" w:space="0" w:color="auto"/>
          </w:divBdr>
          <w:divsChild>
            <w:div w:id="221991020">
              <w:marLeft w:val="0"/>
              <w:marRight w:val="0"/>
              <w:marTop w:val="0"/>
              <w:marBottom w:val="0"/>
              <w:divBdr>
                <w:top w:val="none" w:sz="0" w:space="0" w:color="auto"/>
                <w:left w:val="none" w:sz="0" w:space="0" w:color="auto"/>
                <w:bottom w:val="none" w:sz="0" w:space="0" w:color="auto"/>
                <w:right w:val="none" w:sz="0" w:space="0" w:color="auto"/>
              </w:divBdr>
            </w:div>
            <w:div w:id="479081868">
              <w:marLeft w:val="0"/>
              <w:marRight w:val="0"/>
              <w:marTop w:val="0"/>
              <w:marBottom w:val="0"/>
              <w:divBdr>
                <w:top w:val="none" w:sz="0" w:space="0" w:color="auto"/>
                <w:left w:val="none" w:sz="0" w:space="0" w:color="auto"/>
                <w:bottom w:val="none" w:sz="0" w:space="0" w:color="auto"/>
                <w:right w:val="none" w:sz="0" w:space="0" w:color="auto"/>
              </w:divBdr>
            </w:div>
            <w:div w:id="525027480">
              <w:marLeft w:val="0"/>
              <w:marRight w:val="0"/>
              <w:marTop w:val="0"/>
              <w:marBottom w:val="0"/>
              <w:divBdr>
                <w:top w:val="none" w:sz="0" w:space="0" w:color="auto"/>
                <w:left w:val="none" w:sz="0" w:space="0" w:color="auto"/>
                <w:bottom w:val="none" w:sz="0" w:space="0" w:color="auto"/>
                <w:right w:val="none" w:sz="0" w:space="0" w:color="auto"/>
              </w:divBdr>
            </w:div>
            <w:div w:id="951402781">
              <w:marLeft w:val="0"/>
              <w:marRight w:val="0"/>
              <w:marTop w:val="0"/>
              <w:marBottom w:val="0"/>
              <w:divBdr>
                <w:top w:val="none" w:sz="0" w:space="0" w:color="auto"/>
                <w:left w:val="none" w:sz="0" w:space="0" w:color="auto"/>
                <w:bottom w:val="none" w:sz="0" w:space="0" w:color="auto"/>
                <w:right w:val="none" w:sz="0" w:space="0" w:color="auto"/>
              </w:divBdr>
            </w:div>
            <w:div w:id="966357227">
              <w:marLeft w:val="0"/>
              <w:marRight w:val="0"/>
              <w:marTop w:val="0"/>
              <w:marBottom w:val="0"/>
              <w:divBdr>
                <w:top w:val="none" w:sz="0" w:space="0" w:color="auto"/>
                <w:left w:val="none" w:sz="0" w:space="0" w:color="auto"/>
                <w:bottom w:val="none" w:sz="0" w:space="0" w:color="auto"/>
                <w:right w:val="none" w:sz="0" w:space="0" w:color="auto"/>
              </w:divBdr>
            </w:div>
            <w:div w:id="1156720812">
              <w:marLeft w:val="0"/>
              <w:marRight w:val="0"/>
              <w:marTop w:val="0"/>
              <w:marBottom w:val="0"/>
              <w:divBdr>
                <w:top w:val="none" w:sz="0" w:space="0" w:color="auto"/>
                <w:left w:val="none" w:sz="0" w:space="0" w:color="auto"/>
                <w:bottom w:val="none" w:sz="0" w:space="0" w:color="auto"/>
                <w:right w:val="none" w:sz="0" w:space="0" w:color="auto"/>
              </w:divBdr>
            </w:div>
            <w:div w:id="1166631356">
              <w:marLeft w:val="0"/>
              <w:marRight w:val="0"/>
              <w:marTop w:val="0"/>
              <w:marBottom w:val="0"/>
              <w:divBdr>
                <w:top w:val="none" w:sz="0" w:space="0" w:color="auto"/>
                <w:left w:val="none" w:sz="0" w:space="0" w:color="auto"/>
                <w:bottom w:val="none" w:sz="0" w:space="0" w:color="auto"/>
                <w:right w:val="none" w:sz="0" w:space="0" w:color="auto"/>
              </w:divBdr>
            </w:div>
            <w:div w:id="1172333358">
              <w:marLeft w:val="0"/>
              <w:marRight w:val="0"/>
              <w:marTop w:val="0"/>
              <w:marBottom w:val="0"/>
              <w:divBdr>
                <w:top w:val="none" w:sz="0" w:space="0" w:color="auto"/>
                <w:left w:val="none" w:sz="0" w:space="0" w:color="auto"/>
                <w:bottom w:val="none" w:sz="0" w:space="0" w:color="auto"/>
                <w:right w:val="none" w:sz="0" w:space="0" w:color="auto"/>
              </w:divBdr>
            </w:div>
            <w:div w:id="1194609218">
              <w:marLeft w:val="0"/>
              <w:marRight w:val="0"/>
              <w:marTop w:val="0"/>
              <w:marBottom w:val="0"/>
              <w:divBdr>
                <w:top w:val="none" w:sz="0" w:space="0" w:color="auto"/>
                <w:left w:val="none" w:sz="0" w:space="0" w:color="auto"/>
                <w:bottom w:val="none" w:sz="0" w:space="0" w:color="auto"/>
                <w:right w:val="none" w:sz="0" w:space="0" w:color="auto"/>
              </w:divBdr>
            </w:div>
            <w:div w:id="1361903849">
              <w:marLeft w:val="0"/>
              <w:marRight w:val="0"/>
              <w:marTop w:val="0"/>
              <w:marBottom w:val="0"/>
              <w:divBdr>
                <w:top w:val="none" w:sz="0" w:space="0" w:color="auto"/>
                <w:left w:val="none" w:sz="0" w:space="0" w:color="auto"/>
                <w:bottom w:val="none" w:sz="0" w:space="0" w:color="auto"/>
                <w:right w:val="none" w:sz="0" w:space="0" w:color="auto"/>
              </w:divBdr>
            </w:div>
            <w:div w:id="1509053458">
              <w:marLeft w:val="0"/>
              <w:marRight w:val="0"/>
              <w:marTop w:val="0"/>
              <w:marBottom w:val="0"/>
              <w:divBdr>
                <w:top w:val="none" w:sz="0" w:space="0" w:color="auto"/>
                <w:left w:val="none" w:sz="0" w:space="0" w:color="auto"/>
                <w:bottom w:val="none" w:sz="0" w:space="0" w:color="auto"/>
                <w:right w:val="none" w:sz="0" w:space="0" w:color="auto"/>
              </w:divBdr>
            </w:div>
            <w:div w:id="1538545085">
              <w:marLeft w:val="0"/>
              <w:marRight w:val="0"/>
              <w:marTop w:val="0"/>
              <w:marBottom w:val="0"/>
              <w:divBdr>
                <w:top w:val="none" w:sz="0" w:space="0" w:color="auto"/>
                <w:left w:val="none" w:sz="0" w:space="0" w:color="auto"/>
                <w:bottom w:val="none" w:sz="0" w:space="0" w:color="auto"/>
                <w:right w:val="none" w:sz="0" w:space="0" w:color="auto"/>
              </w:divBdr>
            </w:div>
            <w:div w:id="1959872768">
              <w:marLeft w:val="0"/>
              <w:marRight w:val="0"/>
              <w:marTop w:val="0"/>
              <w:marBottom w:val="0"/>
              <w:divBdr>
                <w:top w:val="none" w:sz="0" w:space="0" w:color="auto"/>
                <w:left w:val="none" w:sz="0" w:space="0" w:color="auto"/>
                <w:bottom w:val="none" w:sz="0" w:space="0" w:color="auto"/>
                <w:right w:val="none" w:sz="0" w:space="0" w:color="auto"/>
              </w:divBdr>
            </w:div>
            <w:div w:id="1965848826">
              <w:marLeft w:val="0"/>
              <w:marRight w:val="0"/>
              <w:marTop w:val="0"/>
              <w:marBottom w:val="0"/>
              <w:divBdr>
                <w:top w:val="none" w:sz="0" w:space="0" w:color="auto"/>
                <w:left w:val="none" w:sz="0" w:space="0" w:color="auto"/>
                <w:bottom w:val="none" w:sz="0" w:space="0" w:color="auto"/>
                <w:right w:val="none" w:sz="0" w:space="0" w:color="auto"/>
              </w:divBdr>
            </w:div>
            <w:div w:id="1966807506">
              <w:marLeft w:val="0"/>
              <w:marRight w:val="0"/>
              <w:marTop w:val="0"/>
              <w:marBottom w:val="0"/>
              <w:divBdr>
                <w:top w:val="none" w:sz="0" w:space="0" w:color="auto"/>
                <w:left w:val="none" w:sz="0" w:space="0" w:color="auto"/>
                <w:bottom w:val="none" w:sz="0" w:space="0" w:color="auto"/>
                <w:right w:val="none" w:sz="0" w:space="0" w:color="auto"/>
              </w:divBdr>
            </w:div>
            <w:div w:id="2017806555">
              <w:marLeft w:val="0"/>
              <w:marRight w:val="0"/>
              <w:marTop w:val="0"/>
              <w:marBottom w:val="0"/>
              <w:divBdr>
                <w:top w:val="none" w:sz="0" w:space="0" w:color="auto"/>
                <w:left w:val="none" w:sz="0" w:space="0" w:color="auto"/>
                <w:bottom w:val="none" w:sz="0" w:space="0" w:color="auto"/>
                <w:right w:val="none" w:sz="0" w:space="0" w:color="auto"/>
              </w:divBdr>
            </w:div>
            <w:div w:id="2021153579">
              <w:marLeft w:val="0"/>
              <w:marRight w:val="0"/>
              <w:marTop w:val="0"/>
              <w:marBottom w:val="0"/>
              <w:divBdr>
                <w:top w:val="none" w:sz="0" w:space="0" w:color="auto"/>
                <w:left w:val="none" w:sz="0" w:space="0" w:color="auto"/>
                <w:bottom w:val="none" w:sz="0" w:space="0" w:color="auto"/>
                <w:right w:val="none" w:sz="0" w:space="0" w:color="auto"/>
              </w:divBdr>
            </w:div>
            <w:div w:id="2057699706">
              <w:marLeft w:val="0"/>
              <w:marRight w:val="0"/>
              <w:marTop w:val="0"/>
              <w:marBottom w:val="0"/>
              <w:divBdr>
                <w:top w:val="none" w:sz="0" w:space="0" w:color="auto"/>
                <w:left w:val="none" w:sz="0" w:space="0" w:color="auto"/>
                <w:bottom w:val="none" w:sz="0" w:space="0" w:color="auto"/>
                <w:right w:val="none" w:sz="0" w:space="0" w:color="auto"/>
              </w:divBdr>
            </w:div>
          </w:divsChild>
        </w:div>
        <w:div w:id="2101291689">
          <w:marLeft w:val="0"/>
          <w:marRight w:val="0"/>
          <w:marTop w:val="0"/>
          <w:marBottom w:val="0"/>
          <w:divBdr>
            <w:top w:val="none" w:sz="0" w:space="0" w:color="auto"/>
            <w:left w:val="none" w:sz="0" w:space="0" w:color="auto"/>
            <w:bottom w:val="none" w:sz="0" w:space="0" w:color="auto"/>
            <w:right w:val="none" w:sz="0" w:space="0" w:color="auto"/>
          </w:divBdr>
        </w:div>
        <w:div w:id="2126388649">
          <w:marLeft w:val="0"/>
          <w:marRight w:val="0"/>
          <w:marTop w:val="0"/>
          <w:marBottom w:val="0"/>
          <w:divBdr>
            <w:top w:val="none" w:sz="0" w:space="0" w:color="auto"/>
            <w:left w:val="none" w:sz="0" w:space="0" w:color="auto"/>
            <w:bottom w:val="none" w:sz="0" w:space="0" w:color="auto"/>
            <w:right w:val="none" w:sz="0" w:space="0" w:color="auto"/>
          </w:divBdr>
        </w:div>
      </w:divsChild>
    </w:div>
    <w:div w:id="1682588397">
      <w:bodyDiv w:val="1"/>
      <w:marLeft w:val="0"/>
      <w:marRight w:val="0"/>
      <w:marTop w:val="0"/>
      <w:marBottom w:val="0"/>
      <w:divBdr>
        <w:top w:val="none" w:sz="0" w:space="0" w:color="auto"/>
        <w:left w:val="none" w:sz="0" w:space="0" w:color="auto"/>
        <w:bottom w:val="none" w:sz="0" w:space="0" w:color="auto"/>
        <w:right w:val="none" w:sz="0" w:space="0" w:color="auto"/>
      </w:divBdr>
      <w:divsChild>
        <w:div w:id="18750031">
          <w:marLeft w:val="0"/>
          <w:marRight w:val="0"/>
          <w:marTop w:val="0"/>
          <w:marBottom w:val="0"/>
          <w:divBdr>
            <w:top w:val="none" w:sz="0" w:space="0" w:color="auto"/>
            <w:left w:val="none" w:sz="0" w:space="0" w:color="auto"/>
            <w:bottom w:val="none" w:sz="0" w:space="0" w:color="auto"/>
            <w:right w:val="none" w:sz="0" w:space="0" w:color="auto"/>
          </w:divBdr>
          <w:divsChild>
            <w:div w:id="1953394739">
              <w:marLeft w:val="0"/>
              <w:marRight w:val="0"/>
              <w:marTop w:val="0"/>
              <w:marBottom w:val="0"/>
              <w:divBdr>
                <w:top w:val="none" w:sz="0" w:space="0" w:color="auto"/>
                <w:left w:val="none" w:sz="0" w:space="0" w:color="auto"/>
                <w:bottom w:val="none" w:sz="0" w:space="0" w:color="auto"/>
                <w:right w:val="none" w:sz="0" w:space="0" w:color="auto"/>
              </w:divBdr>
            </w:div>
          </w:divsChild>
        </w:div>
        <w:div w:id="433601609">
          <w:marLeft w:val="0"/>
          <w:marRight w:val="0"/>
          <w:marTop w:val="0"/>
          <w:marBottom w:val="0"/>
          <w:divBdr>
            <w:top w:val="none" w:sz="0" w:space="0" w:color="auto"/>
            <w:left w:val="none" w:sz="0" w:space="0" w:color="auto"/>
            <w:bottom w:val="none" w:sz="0" w:space="0" w:color="auto"/>
            <w:right w:val="none" w:sz="0" w:space="0" w:color="auto"/>
          </w:divBdr>
          <w:divsChild>
            <w:div w:id="1425806758">
              <w:marLeft w:val="0"/>
              <w:marRight w:val="0"/>
              <w:marTop w:val="0"/>
              <w:marBottom w:val="0"/>
              <w:divBdr>
                <w:top w:val="none" w:sz="0" w:space="0" w:color="auto"/>
                <w:left w:val="none" w:sz="0" w:space="0" w:color="auto"/>
                <w:bottom w:val="none" w:sz="0" w:space="0" w:color="auto"/>
                <w:right w:val="none" w:sz="0" w:space="0" w:color="auto"/>
              </w:divBdr>
            </w:div>
          </w:divsChild>
        </w:div>
        <w:div w:id="1189951708">
          <w:marLeft w:val="0"/>
          <w:marRight w:val="0"/>
          <w:marTop w:val="0"/>
          <w:marBottom w:val="0"/>
          <w:divBdr>
            <w:top w:val="none" w:sz="0" w:space="0" w:color="auto"/>
            <w:left w:val="none" w:sz="0" w:space="0" w:color="auto"/>
            <w:bottom w:val="none" w:sz="0" w:space="0" w:color="auto"/>
            <w:right w:val="none" w:sz="0" w:space="0" w:color="auto"/>
          </w:divBdr>
          <w:divsChild>
            <w:div w:id="937912926">
              <w:marLeft w:val="0"/>
              <w:marRight w:val="0"/>
              <w:marTop w:val="0"/>
              <w:marBottom w:val="0"/>
              <w:divBdr>
                <w:top w:val="none" w:sz="0" w:space="0" w:color="auto"/>
                <w:left w:val="none" w:sz="0" w:space="0" w:color="auto"/>
                <w:bottom w:val="none" w:sz="0" w:space="0" w:color="auto"/>
                <w:right w:val="none" w:sz="0" w:space="0" w:color="auto"/>
              </w:divBdr>
            </w:div>
          </w:divsChild>
        </w:div>
        <w:div w:id="1240795597">
          <w:marLeft w:val="0"/>
          <w:marRight w:val="0"/>
          <w:marTop w:val="0"/>
          <w:marBottom w:val="0"/>
          <w:divBdr>
            <w:top w:val="none" w:sz="0" w:space="0" w:color="auto"/>
            <w:left w:val="none" w:sz="0" w:space="0" w:color="auto"/>
            <w:bottom w:val="none" w:sz="0" w:space="0" w:color="auto"/>
            <w:right w:val="none" w:sz="0" w:space="0" w:color="auto"/>
          </w:divBdr>
          <w:divsChild>
            <w:div w:id="268393630">
              <w:marLeft w:val="0"/>
              <w:marRight w:val="0"/>
              <w:marTop w:val="0"/>
              <w:marBottom w:val="0"/>
              <w:divBdr>
                <w:top w:val="none" w:sz="0" w:space="0" w:color="auto"/>
                <w:left w:val="none" w:sz="0" w:space="0" w:color="auto"/>
                <w:bottom w:val="none" w:sz="0" w:space="0" w:color="auto"/>
                <w:right w:val="none" w:sz="0" w:space="0" w:color="auto"/>
              </w:divBdr>
            </w:div>
          </w:divsChild>
        </w:div>
        <w:div w:id="1378120518">
          <w:marLeft w:val="0"/>
          <w:marRight w:val="0"/>
          <w:marTop w:val="0"/>
          <w:marBottom w:val="0"/>
          <w:divBdr>
            <w:top w:val="none" w:sz="0" w:space="0" w:color="auto"/>
            <w:left w:val="none" w:sz="0" w:space="0" w:color="auto"/>
            <w:bottom w:val="none" w:sz="0" w:space="0" w:color="auto"/>
            <w:right w:val="none" w:sz="0" w:space="0" w:color="auto"/>
          </w:divBdr>
          <w:divsChild>
            <w:div w:id="1810705797">
              <w:marLeft w:val="0"/>
              <w:marRight w:val="0"/>
              <w:marTop w:val="0"/>
              <w:marBottom w:val="0"/>
              <w:divBdr>
                <w:top w:val="none" w:sz="0" w:space="0" w:color="auto"/>
                <w:left w:val="none" w:sz="0" w:space="0" w:color="auto"/>
                <w:bottom w:val="none" w:sz="0" w:space="0" w:color="auto"/>
                <w:right w:val="none" w:sz="0" w:space="0" w:color="auto"/>
              </w:divBdr>
            </w:div>
          </w:divsChild>
        </w:div>
        <w:div w:id="1629815526">
          <w:marLeft w:val="0"/>
          <w:marRight w:val="0"/>
          <w:marTop w:val="0"/>
          <w:marBottom w:val="0"/>
          <w:divBdr>
            <w:top w:val="none" w:sz="0" w:space="0" w:color="auto"/>
            <w:left w:val="none" w:sz="0" w:space="0" w:color="auto"/>
            <w:bottom w:val="none" w:sz="0" w:space="0" w:color="auto"/>
            <w:right w:val="none" w:sz="0" w:space="0" w:color="auto"/>
          </w:divBdr>
          <w:divsChild>
            <w:div w:id="1836795364">
              <w:marLeft w:val="0"/>
              <w:marRight w:val="0"/>
              <w:marTop w:val="0"/>
              <w:marBottom w:val="0"/>
              <w:divBdr>
                <w:top w:val="none" w:sz="0" w:space="0" w:color="auto"/>
                <w:left w:val="none" w:sz="0" w:space="0" w:color="auto"/>
                <w:bottom w:val="none" w:sz="0" w:space="0" w:color="auto"/>
                <w:right w:val="none" w:sz="0" w:space="0" w:color="auto"/>
              </w:divBdr>
            </w:div>
          </w:divsChild>
        </w:div>
        <w:div w:id="1646348866">
          <w:marLeft w:val="0"/>
          <w:marRight w:val="0"/>
          <w:marTop w:val="0"/>
          <w:marBottom w:val="0"/>
          <w:divBdr>
            <w:top w:val="none" w:sz="0" w:space="0" w:color="auto"/>
            <w:left w:val="none" w:sz="0" w:space="0" w:color="auto"/>
            <w:bottom w:val="none" w:sz="0" w:space="0" w:color="auto"/>
            <w:right w:val="none" w:sz="0" w:space="0" w:color="auto"/>
          </w:divBdr>
          <w:divsChild>
            <w:div w:id="1146317237">
              <w:marLeft w:val="0"/>
              <w:marRight w:val="0"/>
              <w:marTop w:val="0"/>
              <w:marBottom w:val="0"/>
              <w:divBdr>
                <w:top w:val="none" w:sz="0" w:space="0" w:color="auto"/>
                <w:left w:val="none" w:sz="0" w:space="0" w:color="auto"/>
                <w:bottom w:val="none" w:sz="0" w:space="0" w:color="auto"/>
                <w:right w:val="none" w:sz="0" w:space="0" w:color="auto"/>
              </w:divBdr>
            </w:div>
          </w:divsChild>
        </w:div>
        <w:div w:id="1821724331">
          <w:marLeft w:val="0"/>
          <w:marRight w:val="0"/>
          <w:marTop w:val="0"/>
          <w:marBottom w:val="0"/>
          <w:divBdr>
            <w:top w:val="none" w:sz="0" w:space="0" w:color="auto"/>
            <w:left w:val="none" w:sz="0" w:space="0" w:color="auto"/>
            <w:bottom w:val="none" w:sz="0" w:space="0" w:color="auto"/>
            <w:right w:val="none" w:sz="0" w:space="0" w:color="auto"/>
          </w:divBdr>
          <w:divsChild>
            <w:div w:id="1986930440">
              <w:marLeft w:val="0"/>
              <w:marRight w:val="0"/>
              <w:marTop w:val="0"/>
              <w:marBottom w:val="0"/>
              <w:divBdr>
                <w:top w:val="none" w:sz="0" w:space="0" w:color="auto"/>
                <w:left w:val="none" w:sz="0" w:space="0" w:color="auto"/>
                <w:bottom w:val="none" w:sz="0" w:space="0" w:color="auto"/>
                <w:right w:val="none" w:sz="0" w:space="0" w:color="auto"/>
              </w:divBdr>
            </w:div>
          </w:divsChild>
        </w:div>
        <w:div w:id="1874223434">
          <w:marLeft w:val="0"/>
          <w:marRight w:val="0"/>
          <w:marTop w:val="0"/>
          <w:marBottom w:val="0"/>
          <w:divBdr>
            <w:top w:val="none" w:sz="0" w:space="0" w:color="auto"/>
            <w:left w:val="none" w:sz="0" w:space="0" w:color="auto"/>
            <w:bottom w:val="none" w:sz="0" w:space="0" w:color="auto"/>
            <w:right w:val="none" w:sz="0" w:space="0" w:color="auto"/>
          </w:divBdr>
          <w:divsChild>
            <w:div w:id="230895869">
              <w:marLeft w:val="0"/>
              <w:marRight w:val="0"/>
              <w:marTop w:val="0"/>
              <w:marBottom w:val="0"/>
              <w:divBdr>
                <w:top w:val="none" w:sz="0" w:space="0" w:color="auto"/>
                <w:left w:val="none" w:sz="0" w:space="0" w:color="auto"/>
                <w:bottom w:val="none" w:sz="0" w:space="0" w:color="auto"/>
                <w:right w:val="none" w:sz="0" w:space="0" w:color="auto"/>
              </w:divBdr>
            </w:div>
          </w:divsChild>
        </w:div>
        <w:div w:id="1951665486">
          <w:marLeft w:val="0"/>
          <w:marRight w:val="0"/>
          <w:marTop w:val="0"/>
          <w:marBottom w:val="0"/>
          <w:divBdr>
            <w:top w:val="none" w:sz="0" w:space="0" w:color="auto"/>
            <w:left w:val="none" w:sz="0" w:space="0" w:color="auto"/>
            <w:bottom w:val="none" w:sz="0" w:space="0" w:color="auto"/>
            <w:right w:val="none" w:sz="0" w:space="0" w:color="auto"/>
          </w:divBdr>
          <w:divsChild>
            <w:div w:id="1871868252">
              <w:marLeft w:val="0"/>
              <w:marRight w:val="0"/>
              <w:marTop w:val="0"/>
              <w:marBottom w:val="0"/>
              <w:divBdr>
                <w:top w:val="none" w:sz="0" w:space="0" w:color="auto"/>
                <w:left w:val="none" w:sz="0" w:space="0" w:color="auto"/>
                <w:bottom w:val="none" w:sz="0" w:space="0" w:color="auto"/>
                <w:right w:val="none" w:sz="0" w:space="0" w:color="auto"/>
              </w:divBdr>
            </w:div>
          </w:divsChild>
        </w:div>
        <w:div w:id="1987932558">
          <w:marLeft w:val="0"/>
          <w:marRight w:val="0"/>
          <w:marTop w:val="0"/>
          <w:marBottom w:val="0"/>
          <w:divBdr>
            <w:top w:val="none" w:sz="0" w:space="0" w:color="auto"/>
            <w:left w:val="none" w:sz="0" w:space="0" w:color="auto"/>
            <w:bottom w:val="none" w:sz="0" w:space="0" w:color="auto"/>
            <w:right w:val="none" w:sz="0" w:space="0" w:color="auto"/>
          </w:divBdr>
          <w:divsChild>
            <w:div w:id="1707827330">
              <w:marLeft w:val="0"/>
              <w:marRight w:val="0"/>
              <w:marTop w:val="0"/>
              <w:marBottom w:val="0"/>
              <w:divBdr>
                <w:top w:val="none" w:sz="0" w:space="0" w:color="auto"/>
                <w:left w:val="none" w:sz="0" w:space="0" w:color="auto"/>
                <w:bottom w:val="none" w:sz="0" w:space="0" w:color="auto"/>
                <w:right w:val="none" w:sz="0" w:space="0" w:color="auto"/>
              </w:divBdr>
            </w:div>
          </w:divsChild>
        </w:div>
        <w:div w:id="2114738133">
          <w:marLeft w:val="0"/>
          <w:marRight w:val="0"/>
          <w:marTop w:val="0"/>
          <w:marBottom w:val="0"/>
          <w:divBdr>
            <w:top w:val="none" w:sz="0" w:space="0" w:color="auto"/>
            <w:left w:val="none" w:sz="0" w:space="0" w:color="auto"/>
            <w:bottom w:val="none" w:sz="0" w:space="0" w:color="auto"/>
            <w:right w:val="none" w:sz="0" w:space="0" w:color="auto"/>
          </w:divBdr>
          <w:divsChild>
            <w:div w:id="20759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86979">
      <w:bodyDiv w:val="1"/>
      <w:marLeft w:val="0"/>
      <w:marRight w:val="0"/>
      <w:marTop w:val="0"/>
      <w:marBottom w:val="0"/>
      <w:divBdr>
        <w:top w:val="none" w:sz="0" w:space="0" w:color="auto"/>
        <w:left w:val="none" w:sz="0" w:space="0" w:color="auto"/>
        <w:bottom w:val="none" w:sz="0" w:space="0" w:color="auto"/>
        <w:right w:val="none" w:sz="0" w:space="0" w:color="auto"/>
      </w:divBdr>
    </w:div>
    <w:div w:id="1722707291">
      <w:bodyDiv w:val="1"/>
      <w:marLeft w:val="0"/>
      <w:marRight w:val="0"/>
      <w:marTop w:val="0"/>
      <w:marBottom w:val="0"/>
      <w:divBdr>
        <w:top w:val="none" w:sz="0" w:space="0" w:color="auto"/>
        <w:left w:val="none" w:sz="0" w:space="0" w:color="auto"/>
        <w:bottom w:val="none" w:sz="0" w:space="0" w:color="auto"/>
        <w:right w:val="none" w:sz="0" w:space="0" w:color="auto"/>
      </w:divBdr>
    </w:div>
    <w:div w:id="1749033751">
      <w:bodyDiv w:val="1"/>
      <w:marLeft w:val="0"/>
      <w:marRight w:val="0"/>
      <w:marTop w:val="0"/>
      <w:marBottom w:val="0"/>
      <w:divBdr>
        <w:top w:val="none" w:sz="0" w:space="0" w:color="auto"/>
        <w:left w:val="none" w:sz="0" w:space="0" w:color="auto"/>
        <w:bottom w:val="none" w:sz="0" w:space="0" w:color="auto"/>
        <w:right w:val="none" w:sz="0" w:space="0" w:color="auto"/>
      </w:divBdr>
      <w:divsChild>
        <w:div w:id="24447025">
          <w:marLeft w:val="0"/>
          <w:marRight w:val="0"/>
          <w:marTop w:val="0"/>
          <w:marBottom w:val="0"/>
          <w:divBdr>
            <w:top w:val="none" w:sz="0" w:space="0" w:color="auto"/>
            <w:left w:val="none" w:sz="0" w:space="0" w:color="auto"/>
            <w:bottom w:val="none" w:sz="0" w:space="0" w:color="auto"/>
            <w:right w:val="none" w:sz="0" w:space="0" w:color="auto"/>
          </w:divBdr>
        </w:div>
        <w:div w:id="160849868">
          <w:marLeft w:val="0"/>
          <w:marRight w:val="0"/>
          <w:marTop w:val="0"/>
          <w:marBottom w:val="0"/>
          <w:divBdr>
            <w:top w:val="none" w:sz="0" w:space="0" w:color="auto"/>
            <w:left w:val="none" w:sz="0" w:space="0" w:color="auto"/>
            <w:bottom w:val="none" w:sz="0" w:space="0" w:color="auto"/>
            <w:right w:val="none" w:sz="0" w:space="0" w:color="auto"/>
          </w:divBdr>
        </w:div>
        <w:div w:id="428086171">
          <w:marLeft w:val="0"/>
          <w:marRight w:val="0"/>
          <w:marTop w:val="0"/>
          <w:marBottom w:val="0"/>
          <w:divBdr>
            <w:top w:val="none" w:sz="0" w:space="0" w:color="auto"/>
            <w:left w:val="none" w:sz="0" w:space="0" w:color="auto"/>
            <w:bottom w:val="none" w:sz="0" w:space="0" w:color="auto"/>
            <w:right w:val="none" w:sz="0" w:space="0" w:color="auto"/>
          </w:divBdr>
        </w:div>
        <w:div w:id="545215401">
          <w:marLeft w:val="0"/>
          <w:marRight w:val="0"/>
          <w:marTop w:val="0"/>
          <w:marBottom w:val="0"/>
          <w:divBdr>
            <w:top w:val="none" w:sz="0" w:space="0" w:color="auto"/>
            <w:left w:val="none" w:sz="0" w:space="0" w:color="auto"/>
            <w:bottom w:val="none" w:sz="0" w:space="0" w:color="auto"/>
            <w:right w:val="none" w:sz="0" w:space="0" w:color="auto"/>
          </w:divBdr>
        </w:div>
        <w:div w:id="550731254">
          <w:marLeft w:val="0"/>
          <w:marRight w:val="0"/>
          <w:marTop w:val="0"/>
          <w:marBottom w:val="0"/>
          <w:divBdr>
            <w:top w:val="none" w:sz="0" w:space="0" w:color="auto"/>
            <w:left w:val="none" w:sz="0" w:space="0" w:color="auto"/>
            <w:bottom w:val="none" w:sz="0" w:space="0" w:color="auto"/>
            <w:right w:val="none" w:sz="0" w:space="0" w:color="auto"/>
          </w:divBdr>
        </w:div>
        <w:div w:id="715934935">
          <w:marLeft w:val="0"/>
          <w:marRight w:val="0"/>
          <w:marTop w:val="0"/>
          <w:marBottom w:val="0"/>
          <w:divBdr>
            <w:top w:val="none" w:sz="0" w:space="0" w:color="auto"/>
            <w:left w:val="none" w:sz="0" w:space="0" w:color="auto"/>
            <w:bottom w:val="none" w:sz="0" w:space="0" w:color="auto"/>
            <w:right w:val="none" w:sz="0" w:space="0" w:color="auto"/>
          </w:divBdr>
        </w:div>
        <w:div w:id="793519347">
          <w:marLeft w:val="0"/>
          <w:marRight w:val="0"/>
          <w:marTop w:val="0"/>
          <w:marBottom w:val="0"/>
          <w:divBdr>
            <w:top w:val="none" w:sz="0" w:space="0" w:color="auto"/>
            <w:left w:val="none" w:sz="0" w:space="0" w:color="auto"/>
            <w:bottom w:val="none" w:sz="0" w:space="0" w:color="auto"/>
            <w:right w:val="none" w:sz="0" w:space="0" w:color="auto"/>
          </w:divBdr>
        </w:div>
        <w:div w:id="832329842">
          <w:marLeft w:val="0"/>
          <w:marRight w:val="0"/>
          <w:marTop w:val="0"/>
          <w:marBottom w:val="0"/>
          <w:divBdr>
            <w:top w:val="none" w:sz="0" w:space="0" w:color="auto"/>
            <w:left w:val="none" w:sz="0" w:space="0" w:color="auto"/>
            <w:bottom w:val="none" w:sz="0" w:space="0" w:color="auto"/>
            <w:right w:val="none" w:sz="0" w:space="0" w:color="auto"/>
          </w:divBdr>
        </w:div>
        <w:div w:id="897980857">
          <w:marLeft w:val="0"/>
          <w:marRight w:val="0"/>
          <w:marTop w:val="0"/>
          <w:marBottom w:val="0"/>
          <w:divBdr>
            <w:top w:val="none" w:sz="0" w:space="0" w:color="auto"/>
            <w:left w:val="none" w:sz="0" w:space="0" w:color="auto"/>
            <w:bottom w:val="none" w:sz="0" w:space="0" w:color="auto"/>
            <w:right w:val="none" w:sz="0" w:space="0" w:color="auto"/>
          </w:divBdr>
        </w:div>
        <w:div w:id="960068240">
          <w:marLeft w:val="0"/>
          <w:marRight w:val="0"/>
          <w:marTop w:val="0"/>
          <w:marBottom w:val="0"/>
          <w:divBdr>
            <w:top w:val="none" w:sz="0" w:space="0" w:color="auto"/>
            <w:left w:val="none" w:sz="0" w:space="0" w:color="auto"/>
            <w:bottom w:val="none" w:sz="0" w:space="0" w:color="auto"/>
            <w:right w:val="none" w:sz="0" w:space="0" w:color="auto"/>
          </w:divBdr>
        </w:div>
        <w:div w:id="1108744119">
          <w:marLeft w:val="0"/>
          <w:marRight w:val="0"/>
          <w:marTop w:val="0"/>
          <w:marBottom w:val="0"/>
          <w:divBdr>
            <w:top w:val="none" w:sz="0" w:space="0" w:color="auto"/>
            <w:left w:val="none" w:sz="0" w:space="0" w:color="auto"/>
            <w:bottom w:val="none" w:sz="0" w:space="0" w:color="auto"/>
            <w:right w:val="none" w:sz="0" w:space="0" w:color="auto"/>
          </w:divBdr>
        </w:div>
        <w:div w:id="1111898355">
          <w:marLeft w:val="0"/>
          <w:marRight w:val="0"/>
          <w:marTop w:val="0"/>
          <w:marBottom w:val="0"/>
          <w:divBdr>
            <w:top w:val="none" w:sz="0" w:space="0" w:color="auto"/>
            <w:left w:val="none" w:sz="0" w:space="0" w:color="auto"/>
            <w:bottom w:val="none" w:sz="0" w:space="0" w:color="auto"/>
            <w:right w:val="none" w:sz="0" w:space="0" w:color="auto"/>
          </w:divBdr>
        </w:div>
        <w:div w:id="1117674585">
          <w:marLeft w:val="0"/>
          <w:marRight w:val="0"/>
          <w:marTop w:val="0"/>
          <w:marBottom w:val="0"/>
          <w:divBdr>
            <w:top w:val="none" w:sz="0" w:space="0" w:color="auto"/>
            <w:left w:val="none" w:sz="0" w:space="0" w:color="auto"/>
            <w:bottom w:val="none" w:sz="0" w:space="0" w:color="auto"/>
            <w:right w:val="none" w:sz="0" w:space="0" w:color="auto"/>
          </w:divBdr>
        </w:div>
        <w:div w:id="1198465343">
          <w:marLeft w:val="0"/>
          <w:marRight w:val="0"/>
          <w:marTop w:val="0"/>
          <w:marBottom w:val="0"/>
          <w:divBdr>
            <w:top w:val="none" w:sz="0" w:space="0" w:color="auto"/>
            <w:left w:val="none" w:sz="0" w:space="0" w:color="auto"/>
            <w:bottom w:val="none" w:sz="0" w:space="0" w:color="auto"/>
            <w:right w:val="none" w:sz="0" w:space="0" w:color="auto"/>
          </w:divBdr>
        </w:div>
        <w:div w:id="1316569053">
          <w:marLeft w:val="0"/>
          <w:marRight w:val="0"/>
          <w:marTop w:val="0"/>
          <w:marBottom w:val="0"/>
          <w:divBdr>
            <w:top w:val="none" w:sz="0" w:space="0" w:color="auto"/>
            <w:left w:val="none" w:sz="0" w:space="0" w:color="auto"/>
            <w:bottom w:val="none" w:sz="0" w:space="0" w:color="auto"/>
            <w:right w:val="none" w:sz="0" w:space="0" w:color="auto"/>
          </w:divBdr>
        </w:div>
        <w:div w:id="1529752404">
          <w:marLeft w:val="0"/>
          <w:marRight w:val="0"/>
          <w:marTop w:val="0"/>
          <w:marBottom w:val="0"/>
          <w:divBdr>
            <w:top w:val="none" w:sz="0" w:space="0" w:color="auto"/>
            <w:left w:val="none" w:sz="0" w:space="0" w:color="auto"/>
            <w:bottom w:val="none" w:sz="0" w:space="0" w:color="auto"/>
            <w:right w:val="none" w:sz="0" w:space="0" w:color="auto"/>
          </w:divBdr>
        </w:div>
        <w:div w:id="1597400301">
          <w:marLeft w:val="0"/>
          <w:marRight w:val="0"/>
          <w:marTop w:val="0"/>
          <w:marBottom w:val="0"/>
          <w:divBdr>
            <w:top w:val="none" w:sz="0" w:space="0" w:color="auto"/>
            <w:left w:val="none" w:sz="0" w:space="0" w:color="auto"/>
            <w:bottom w:val="none" w:sz="0" w:space="0" w:color="auto"/>
            <w:right w:val="none" w:sz="0" w:space="0" w:color="auto"/>
          </w:divBdr>
        </w:div>
        <w:div w:id="1652521752">
          <w:marLeft w:val="0"/>
          <w:marRight w:val="0"/>
          <w:marTop w:val="0"/>
          <w:marBottom w:val="0"/>
          <w:divBdr>
            <w:top w:val="none" w:sz="0" w:space="0" w:color="auto"/>
            <w:left w:val="none" w:sz="0" w:space="0" w:color="auto"/>
            <w:bottom w:val="none" w:sz="0" w:space="0" w:color="auto"/>
            <w:right w:val="none" w:sz="0" w:space="0" w:color="auto"/>
          </w:divBdr>
        </w:div>
        <w:div w:id="1683241403">
          <w:marLeft w:val="0"/>
          <w:marRight w:val="0"/>
          <w:marTop w:val="0"/>
          <w:marBottom w:val="0"/>
          <w:divBdr>
            <w:top w:val="none" w:sz="0" w:space="0" w:color="auto"/>
            <w:left w:val="none" w:sz="0" w:space="0" w:color="auto"/>
            <w:bottom w:val="none" w:sz="0" w:space="0" w:color="auto"/>
            <w:right w:val="none" w:sz="0" w:space="0" w:color="auto"/>
          </w:divBdr>
        </w:div>
        <w:div w:id="1731879364">
          <w:marLeft w:val="0"/>
          <w:marRight w:val="0"/>
          <w:marTop w:val="0"/>
          <w:marBottom w:val="0"/>
          <w:divBdr>
            <w:top w:val="none" w:sz="0" w:space="0" w:color="auto"/>
            <w:left w:val="none" w:sz="0" w:space="0" w:color="auto"/>
            <w:bottom w:val="none" w:sz="0" w:space="0" w:color="auto"/>
            <w:right w:val="none" w:sz="0" w:space="0" w:color="auto"/>
          </w:divBdr>
        </w:div>
        <w:div w:id="1867017739">
          <w:marLeft w:val="0"/>
          <w:marRight w:val="0"/>
          <w:marTop w:val="0"/>
          <w:marBottom w:val="0"/>
          <w:divBdr>
            <w:top w:val="none" w:sz="0" w:space="0" w:color="auto"/>
            <w:left w:val="none" w:sz="0" w:space="0" w:color="auto"/>
            <w:bottom w:val="none" w:sz="0" w:space="0" w:color="auto"/>
            <w:right w:val="none" w:sz="0" w:space="0" w:color="auto"/>
          </w:divBdr>
        </w:div>
        <w:div w:id="1906837462">
          <w:marLeft w:val="0"/>
          <w:marRight w:val="0"/>
          <w:marTop w:val="0"/>
          <w:marBottom w:val="0"/>
          <w:divBdr>
            <w:top w:val="none" w:sz="0" w:space="0" w:color="auto"/>
            <w:left w:val="none" w:sz="0" w:space="0" w:color="auto"/>
            <w:bottom w:val="none" w:sz="0" w:space="0" w:color="auto"/>
            <w:right w:val="none" w:sz="0" w:space="0" w:color="auto"/>
          </w:divBdr>
        </w:div>
        <w:div w:id="2121990348">
          <w:marLeft w:val="0"/>
          <w:marRight w:val="0"/>
          <w:marTop w:val="0"/>
          <w:marBottom w:val="0"/>
          <w:divBdr>
            <w:top w:val="none" w:sz="0" w:space="0" w:color="auto"/>
            <w:left w:val="none" w:sz="0" w:space="0" w:color="auto"/>
            <w:bottom w:val="none" w:sz="0" w:space="0" w:color="auto"/>
            <w:right w:val="none" w:sz="0" w:space="0" w:color="auto"/>
          </w:divBdr>
        </w:div>
      </w:divsChild>
    </w:div>
    <w:div w:id="1779906270">
      <w:bodyDiv w:val="1"/>
      <w:marLeft w:val="0"/>
      <w:marRight w:val="0"/>
      <w:marTop w:val="0"/>
      <w:marBottom w:val="0"/>
      <w:divBdr>
        <w:top w:val="none" w:sz="0" w:space="0" w:color="auto"/>
        <w:left w:val="none" w:sz="0" w:space="0" w:color="auto"/>
        <w:bottom w:val="none" w:sz="0" w:space="0" w:color="auto"/>
        <w:right w:val="none" w:sz="0" w:space="0" w:color="auto"/>
      </w:divBdr>
    </w:div>
    <w:div w:id="1796100201">
      <w:bodyDiv w:val="1"/>
      <w:marLeft w:val="0"/>
      <w:marRight w:val="0"/>
      <w:marTop w:val="0"/>
      <w:marBottom w:val="0"/>
      <w:divBdr>
        <w:top w:val="none" w:sz="0" w:space="0" w:color="auto"/>
        <w:left w:val="none" w:sz="0" w:space="0" w:color="auto"/>
        <w:bottom w:val="none" w:sz="0" w:space="0" w:color="auto"/>
        <w:right w:val="none" w:sz="0" w:space="0" w:color="auto"/>
      </w:divBdr>
    </w:div>
    <w:div w:id="1814061710">
      <w:bodyDiv w:val="1"/>
      <w:marLeft w:val="0"/>
      <w:marRight w:val="0"/>
      <w:marTop w:val="0"/>
      <w:marBottom w:val="0"/>
      <w:divBdr>
        <w:top w:val="none" w:sz="0" w:space="0" w:color="auto"/>
        <w:left w:val="none" w:sz="0" w:space="0" w:color="auto"/>
        <w:bottom w:val="none" w:sz="0" w:space="0" w:color="auto"/>
        <w:right w:val="none" w:sz="0" w:space="0" w:color="auto"/>
      </w:divBdr>
    </w:div>
    <w:div w:id="1820922440">
      <w:bodyDiv w:val="1"/>
      <w:marLeft w:val="0"/>
      <w:marRight w:val="0"/>
      <w:marTop w:val="0"/>
      <w:marBottom w:val="0"/>
      <w:divBdr>
        <w:top w:val="none" w:sz="0" w:space="0" w:color="auto"/>
        <w:left w:val="none" w:sz="0" w:space="0" w:color="auto"/>
        <w:bottom w:val="none" w:sz="0" w:space="0" w:color="auto"/>
        <w:right w:val="none" w:sz="0" w:space="0" w:color="auto"/>
      </w:divBdr>
    </w:div>
    <w:div w:id="1822231895">
      <w:bodyDiv w:val="1"/>
      <w:marLeft w:val="0"/>
      <w:marRight w:val="0"/>
      <w:marTop w:val="0"/>
      <w:marBottom w:val="0"/>
      <w:divBdr>
        <w:top w:val="none" w:sz="0" w:space="0" w:color="auto"/>
        <w:left w:val="none" w:sz="0" w:space="0" w:color="auto"/>
        <w:bottom w:val="none" w:sz="0" w:space="0" w:color="auto"/>
        <w:right w:val="none" w:sz="0" w:space="0" w:color="auto"/>
      </w:divBdr>
      <w:divsChild>
        <w:div w:id="979189971">
          <w:marLeft w:val="0"/>
          <w:marRight w:val="0"/>
          <w:marTop w:val="0"/>
          <w:marBottom w:val="0"/>
          <w:divBdr>
            <w:top w:val="none" w:sz="0" w:space="0" w:color="auto"/>
            <w:left w:val="none" w:sz="0" w:space="0" w:color="auto"/>
            <w:bottom w:val="none" w:sz="0" w:space="0" w:color="auto"/>
            <w:right w:val="none" w:sz="0" w:space="0" w:color="auto"/>
          </w:divBdr>
        </w:div>
        <w:div w:id="1433627060">
          <w:marLeft w:val="0"/>
          <w:marRight w:val="0"/>
          <w:marTop w:val="0"/>
          <w:marBottom w:val="0"/>
          <w:divBdr>
            <w:top w:val="none" w:sz="0" w:space="0" w:color="auto"/>
            <w:left w:val="none" w:sz="0" w:space="0" w:color="auto"/>
            <w:bottom w:val="none" w:sz="0" w:space="0" w:color="auto"/>
            <w:right w:val="none" w:sz="0" w:space="0" w:color="auto"/>
          </w:divBdr>
          <w:divsChild>
            <w:div w:id="220410706">
              <w:marLeft w:val="-75"/>
              <w:marRight w:val="0"/>
              <w:marTop w:val="30"/>
              <w:marBottom w:val="30"/>
              <w:divBdr>
                <w:top w:val="none" w:sz="0" w:space="0" w:color="auto"/>
                <w:left w:val="none" w:sz="0" w:space="0" w:color="auto"/>
                <w:bottom w:val="none" w:sz="0" w:space="0" w:color="auto"/>
                <w:right w:val="none" w:sz="0" w:space="0" w:color="auto"/>
              </w:divBdr>
              <w:divsChild>
                <w:div w:id="99615549">
                  <w:marLeft w:val="0"/>
                  <w:marRight w:val="0"/>
                  <w:marTop w:val="0"/>
                  <w:marBottom w:val="0"/>
                  <w:divBdr>
                    <w:top w:val="none" w:sz="0" w:space="0" w:color="auto"/>
                    <w:left w:val="none" w:sz="0" w:space="0" w:color="auto"/>
                    <w:bottom w:val="none" w:sz="0" w:space="0" w:color="auto"/>
                    <w:right w:val="none" w:sz="0" w:space="0" w:color="auto"/>
                  </w:divBdr>
                  <w:divsChild>
                    <w:div w:id="268701967">
                      <w:marLeft w:val="0"/>
                      <w:marRight w:val="0"/>
                      <w:marTop w:val="0"/>
                      <w:marBottom w:val="0"/>
                      <w:divBdr>
                        <w:top w:val="none" w:sz="0" w:space="0" w:color="auto"/>
                        <w:left w:val="none" w:sz="0" w:space="0" w:color="auto"/>
                        <w:bottom w:val="none" w:sz="0" w:space="0" w:color="auto"/>
                        <w:right w:val="none" w:sz="0" w:space="0" w:color="auto"/>
                      </w:divBdr>
                    </w:div>
                  </w:divsChild>
                </w:div>
                <w:div w:id="552473485">
                  <w:marLeft w:val="0"/>
                  <w:marRight w:val="0"/>
                  <w:marTop w:val="0"/>
                  <w:marBottom w:val="0"/>
                  <w:divBdr>
                    <w:top w:val="none" w:sz="0" w:space="0" w:color="auto"/>
                    <w:left w:val="none" w:sz="0" w:space="0" w:color="auto"/>
                    <w:bottom w:val="none" w:sz="0" w:space="0" w:color="auto"/>
                    <w:right w:val="none" w:sz="0" w:space="0" w:color="auto"/>
                  </w:divBdr>
                  <w:divsChild>
                    <w:div w:id="1430465380">
                      <w:marLeft w:val="0"/>
                      <w:marRight w:val="0"/>
                      <w:marTop w:val="0"/>
                      <w:marBottom w:val="0"/>
                      <w:divBdr>
                        <w:top w:val="none" w:sz="0" w:space="0" w:color="auto"/>
                        <w:left w:val="none" w:sz="0" w:space="0" w:color="auto"/>
                        <w:bottom w:val="none" w:sz="0" w:space="0" w:color="auto"/>
                        <w:right w:val="none" w:sz="0" w:space="0" w:color="auto"/>
                      </w:divBdr>
                    </w:div>
                  </w:divsChild>
                </w:div>
                <w:div w:id="579102312">
                  <w:marLeft w:val="0"/>
                  <w:marRight w:val="0"/>
                  <w:marTop w:val="0"/>
                  <w:marBottom w:val="0"/>
                  <w:divBdr>
                    <w:top w:val="none" w:sz="0" w:space="0" w:color="auto"/>
                    <w:left w:val="none" w:sz="0" w:space="0" w:color="auto"/>
                    <w:bottom w:val="none" w:sz="0" w:space="0" w:color="auto"/>
                    <w:right w:val="none" w:sz="0" w:space="0" w:color="auto"/>
                  </w:divBdr>
                  <w:divsChild>
                    <w:div w:id="466239300">
                      <w:marLeft w:val="0"/>
                      <w:marRight w:val="0"/>
                      <w:marTop w:val="0"/>
                      <w:marBottom w:val="0"/>
                      <w:divBdr>
                        <w:top w:val="none" w:sz="0" w:space="0" w:color="auto"/>
                        <w:left w:val="none" w:sz="0" w:space="0" w:color="auto"/>
                        <w:bottom w:val="none" w:sz="0" w:space="0" w:color="auto"/>
                        <w:right w:val="none" w:sz="0" w:space="0" w:color="auto"/>
                      </w:divBdr>
                    </w:div>
                  </w:divsChild>
                </w:div>
                <w:div w:id="627931502">
                  <w:marLeft w:val="0"/>
                  <w:marRight w:val="0"/>
                  <w:marTop w:val="0"/>
                  <w:marBottom w:val="0"/>
                  <w:divBdr>
                    <w:top w:val="none" w:sz="0" w:space="0" w:color="auto"/>
                    <w:left w:val="none" w:sz="0" w:space="0" w:color="auto"/>
                    <w:bottom w:val="none" w:sz="0" w:space="0" w:color="auto"/>
                    <w:right w:val="none" w:sz="0" w:space="0" w:color="auto"/>
                  </w:divBdr>
                  <w:divsChild>
                    <w:div w:id="1008215964">
                      <w:marLeft w:val="0"/>
                      <w:marRight w:val="0"/>
                      <w:marTop w:val="0"/>
                      <w:marBottom w:val="0"/>
                      <w:divBdr>
                        <w:top w:val="none" w:sz="0" w:space="0" w:color="auto"/>
                        <w:left w:val="none" w:sz="0" w:space="0" w:color="auto"/>
                        <w:bottom w:val="none" w:sz="0" w:space="0" w:color="auto"/>
                        <w:right w:val="none" w:sz="0" w:space="0" w:color="auto"/>
                      </w:divBdr>
                    </w:div>
                  </w:divsChild>
                </w:div>
                <w:div w:id="633409327">
                  <w:marLeft w:val="0"/>
                  <w:marRight w:val="0"/>
                  <w:marTop w:val="0"/>
                  <w:marBottom w:val="0"/>
                  <w:divBdr>
                    <w:top w:val="none" w:sz="0" w:space="0" w:color="auto"/>
                    <w:left w:val="none" w:sz="0" w:space="0" w:color="auto"/>
                    <w:bottom w:val="none" w:sz="0" w:space="0" w:color="auto"/>
                    <w:right w:val="none" w:sz="0" w:space="0" w:color="auto"/>
                  </w:divBdr>
                  <w:divsChild>
                    <w:div w:id="248736907">
                      <w:marLeft w:val="0"/>
                      <w:marRight w:val="0"/>
                      <w:marTop w:val="0"/>
                      <w:marBottom w:val="0"/>
                      <w:divBdr>
                        <w:top w:val="none" w:sz="0" w:space="0" w:color="auto"/>
                        <w:left w:val="none" w:sz="0" w:space="0" w:color="auto"/>
                        <w:bottom w:val="none" w:sz="0" w:space="0" w:color="auto"/>
                        <w:right w:val="none" w:sz="0" w:space="0" w:color="auto"/>
                      </w:divBdr>
                    </w:div>
                  </w:divsChild>
                </w:div>
                <w:div w:id="724380106">
                  <w:marLeft w:val="0"/>
                  <w:marRight w:val="0"/>
                  <w:marTop w:val="0"/>
                  <w:marBottom w:val="0"/>
                  <w:divBdr>
                    <w:top w:val="none" w:sz="0" w:space="0" w:color="auto"/>
                    <w:left w:val="none" w:sz="0" w:space="0" w:color="auto"/>
                    <w:bottom w:val="none" w:sz="0" w:space="0" w:color="auto"/>
                    <w:right w:val="none" w:sz="0" w:space="0" w:color="auto"/>
                  </w:divBdr>
                  <w:divsChild>
                    <w:div w:id="699862438">
                      <w:marLeft w:val="0"/>
                      <w:marRight w:val="0"/>
                      <w:marTop w:val="0"/>
                      <w:marBottom w:val="0"/>
                      <w:divBdr>
                        <w:top w:val="none" w:sz="0" w:space="0" w:color="auto"/>
                        <w:left w:val="none" w:sz="0" w:space="0" w:color="auto"/>
                        <w:bottom w:val="none" w:sz="0" w:space="0" w:color="auto"/>
                        <w:right w:val="none" w:sz="0" w:space="0" w:color="auto"/>
                      </w:divBdr>
                    </w:div>
                  </w:divsChild>
                </w:div>
                <w:div w:id="781799683">
                  <w:marLeft w:val="0"/>
                  <w:marRight w:val="0"/>
                  <w:marTop w:val="0"/>
                  <w:marBottom w:val="0"/>
                  <w:divBdr>
                    <w:top w:val="none" w:sz="0" w:space="0" w:color="auto"/>
                    <w:left w:val="none" w:sz="0" w:space="0" w:color="auto"/>
                    <w:bottom w:val="none" w:sz="0" w:space="0" w:color="auto"/>
                    <w:right w:val="none" w:sz="0" w:space="0" w:color="auto"/>
                  </w:divBdr>
                  <w:divsChild>
                    <w:div w:id="1582257599">
                      <w:marLeft w:val="0"/>
                      <w:marRight w:val="0"/>
                      <w:marTop w:val="0"/>
                      <w:marBottom w:val="0"/>
                      <w:divBdr>
                        <w:top w:val="none" w:sz="0" w:space="0" w:color="auto"/>
                        <w:left w:val="none" w:sz="0" w:space="0" w:color="auto"/>
                        <w:bottom w:val="none" w:sz="0" w:space="0" w:color="auto"/>
                        <w:right w:val="none" w:sz="0" w:space="0" w:color="auto"/>
                      </w:divBdr>
                    </w:div>
                  </w:divsChild>
                </w:div>
                <w:div w:id="797072189">
                  <w:marLeft w:val="0"/>
                  <w:marRight w:val="0"/>
                  <w:marTop w:val="0"/>
                  <w:marBottom w:val="0"/>
                  <w:divBdr>
                    <w:top w:val="none" w:sz="0" w:space="0" w:color="auto"/>
                    <w:left w:val="none" w:sz="0" w:space="0" w:color="auto"/>
                    <w:bottom w:val="none" w:sz="0" w:space="0" w:color="auto"/>
                    <w:right w:val="none" w:sz="0" w:space="0" w:color="auto"/>
                  </w:divBdr>
                  <w:divsChild>
                    <w:div w:id="1961454277">
                      <w:marLeft w:val="0"/>
                      <w:marRight w:val="0"/>
                      <w:marTop w:val="0"/>
                      <w:marBottom w:val="0"/>
                      <w:divBdr>
                        <w:top w:val="none" w:sz="0" w:space="0" w:color="auto"/>
                        <w:left w:val="none" w:sz="0" w:space="0" w:color="auto"/>
                        <w:bottom w:val="none" w:sz="0" w:space="0" w:color="auto"/>
                        <w:right w:val="none" w:sz="0" w:space="0" w:color="auto"/>
                      </w:divBdr>
                    </w:div>
                  </w:divsChild>
                </w:div>
                <w:div w:id="804658237">
                  <w:marLeft w:val="0"/>
                  <w:marRight w:val="0"/>
                  <w:marTop w:val="0"/>
                  <w:marBottom w:val="0"/>
                  <w:divBdr>
                    <w:top w:val="none" w:sz="0" w:space="0" w:color="auto"/>
                    <w:left w:val="none" w:sz="0" w:space="0" w:color="auto"/>
                    <w:bottom w:val="none" w:sz="0" w:space="0" w:color="auto"/>
                    <w:right w:val="none" w:sz="0" w:space="0" w:color="auto"/>
                  </w:divBdr>
                  <w:divsChild>
                    <w:div w:id="1598979499">
                      <w:marLeft w:val="0"/>
                      <w:marRight w:val="0"/>
                      <w:marTop w:val="0"/>
                      <w:marBottom w:val="0"/>
                      <w:divBdr>
                        <w:top w:val="none" w:sz="0" w:space="0" w:color="auto"/>
                        <w:left w:val="none" w:sz="0" w:space="0" w:color="auto"/>
                        <w:bottom w:val="none" w:sz="0" w:space="0" w:color="auto"/>
                        <w:right w:val="none" w:sz="0" w:space="0" w:color="auto"/>
                      </w:divBdr>
                    </w:div>
                  </w:divsChild>
                </w:div>
                <w:div w:id="919171824">
                  <w:marLeft w:val="0"/>
                  <w:marRight w:val="0"/>
                  <w:marTop w:val="0"/>
                  <w:marBottom w:val="0"/>
                  <w:divBdr>
                    <w:top w:val="none" w:sz="0" w:space="0" w:color="auto"/>
                    <w:left w:val="none" w:sz="0" w:space="0" w:color="auto"/>
                    <w:bottom w:val="none" w:sz="0" w:space="0" w:color="auto"/>
                    <w:right w:val="none" w:sz="0" w:space="0" w:color="auto"/>
                  </w:divBdr>
                  <w:divsChild>
                    <w:div w:id="178398415">
                      <w:marLeft w:val="0"/>
                      <w:marRight w:val="0"/>
                      <w:marTop w:val="0"/>
                      <w:marBottom w:val="0"/>
                      <w:divBdr>
                        <w:top w:val="none" w:sz="0" w:space="0" w:color="auto"/>
                        <w:left w:val="none" w:sz="0" w:space="0" w:color="auto"/>
                        <w:bottom w:val="none" w:sz="0" w:space="0" w:color="auto"/>
                        <w:right w:val="none" w:sz="0" w:space="0" w:color="auto"/>
                      </w:divBdr>
                    </w:div>
                    <w:div w:id="1011684885">
                      <w:marLeft w:val="0"/>
                      <w:marRight w:val="0"/>
                      <w:marTop w:val="0"/>
                      <w:marBottom w:val="0"/>
                      <w:divBdr>
                        <w:top w:val="none" w:sz="0" w:space="0" w:color="auto"/>
                        <w:left w:val="none" w:sz="0" w:space="0" w:color="auto"/>
                        <w:bottom w:val="none" w:sz="0" w:space="0" w:color="auto"/>
                        <w:right w:val="none" w:sz="0" w:space="0" w:color="auto"/>
                      </w:divBdr>
                    </w:div>
                  </w:divsChild>
                </w:div>
                <w:div w:id="960766681">
                  <w:marLeft w:val="0"/>
                  <w:marRight w:val="0"/>
                  <w:marTop w:val="0"/>
                  <w:marBottom w:val="0"/>
                  <w:divBdr>
                    <w:top w:val="none" w:sz="0" w:space="0" w:color="auto"/>
                    <w:left w:val="none" w:sz="0" w:space="0" w:color="auto"/>
                    <w:bottom w:val="none" w:sz="0" w:space="0" w:color="auto"/>
                    <w:right w:val="none" w:sz="0" w:space="0" w:color="auto"/>
                  </w:divBdr>
                  <w:divsChild>
                    <w:div w:id="830221940">
                      <w:marLeft w:val="0"/>
                      <w:marRight w:val="0"/>
                      <w:marTop w:val="0"/>
                      <w:marBottom w:val="0"/>
                      <w:divBdr>
                        <w:top w:val="none" w:sz="0" w:space="0" w:color="auto"/>
                        <w:left w:val="none" w:sz="0" w:space="0" w:color="auto"/>
                        <w:bottom w:val="none" w:sz="0" w:space="0" w:color="auto"/>
                        <w:right w:val="none" w:sz="0" w:space="0" w:color="auto"/>
                      </w:divBdr>
                    </w:div>
                  </w:divsChild>
                </w:div>
                <w:div w:id="992635702">
                  <w:marLeft w:val="0"/>
                  <w:marRight w:val="0"/>
                  <w:marTop w:val="0"/>
                  <w:marBottom w:val="0"/>
                  <w:divBdr>
                    <w:top w:val="none" w:sz="0" w:space="0" w:color="auto"/>
                    <w:left w:val="none" w:sz="0" w:space="0" w:color="auto"/>
                    <w:bottom w:val="none" w:sz="0" w:space="0" w:color="auto"/>
                    <w:right w:val="none" w:sz="0" w:space="0" w:color="auto"/>
                  </w:divBdr>
                  <w:divsChild>
                    <w:div w:id="1564682658">
                      <w:marLeft w:val="0"/>
                      <w:marRight w:val="0"/>
                      <w:marTop w:val="0"/>
                      <w:marBottom w:val="0"/>
                      <w:divBdr>
                        <w:top w:val="none" w:sz="0" w:space="0" w:color="auto"/>
                        <w:left w:val="none" w:sz="0" w:space="0" w:color="auto"/>
                        <w:bottom w:val="none" w:sz="0" w:space="0" w:color="auto"/>
                        <w:right w:val="none" w:sz="0" w:space="0" w:color="auto"/>
                      </w:divBdr>
                    </w:div>
                  </w:divsChild>
                </w:div>
                <w:div w:id="1005783281">
                  <w:marLeft w:val="0"/>
                  <w:marRight w:val="0"/>
                  <w:marTop w:val="0"/>
                  <w:marBottom w:val="0"/>
                  <w:divBdr>
                    <w:top w:val="none" w:sz="0" w:space="0" w:color="auto"/>
                    <w:left w:val="none" w:sz="0" w:space="0" w:color="auto"/>
                    <w:bottom w:val="none" w:sz="0" w:space="0" w:color="auto"/>
                    <w:right w:val="none" w:sz="0" w:space="0" w:color="auto"/>
                  </w:divBdr>
                  <w:divsChild>
                    <w:div w:id="499656555">
                      <w:marLeft w:val="0"/>
                      <w:marRight w:val="0"/>
                      <w:marTop w:val="0"/>
                      <w:marBottom w:val="0"/>
                      <w:divBdr>
                        <w:top w:val="none" w:sz="0" w:space="0" w:color="auto"/>
                        <w:left w:val="none" w:sz="0" w:space="0" w:color="auto"/>
                        <w:bottom w:val="none" w:sz="0" w:space="0" w:color="auto"/>
                        <w:right w:val="none" w:sz="0" w:space="0" w:color="auto"/>
                      </w:divBdr>
                    </w:div>
                  </w:divsChild>
                </w:div>
                <w:div w:id="1109393430">
                  <w:marLeft w:val="0"/>
                  <w:marRight w:val="0"/>
                  <w:marTop w:val="0"/>
                  <w:marBottom w:val="0"/>
                  <w:divBdr>
                    <w:top w:val="none" w:sz="0" w:space="0" w:color="auto"/>
                    <w:left w:val="none" w:sz="0" w:space="0" w:color="auto"/>
                    <w:bottom w:val="none" w:sz="0" w:space="0" w:color="auto"/>
                    <w:right w:val="none" w:sz="0" w:space="0" w:color="auto"/>
                  </w:divBdr>
                  <w:divsChild>
                    <w:div w:id="166213577">
                      <w:marLeft w:val="0"/>
                      <w:marRight w:val="0"/>
                      <w:marTop w:val="0"/>
                      <w:marBottom w:val="0"/>
                      <w:divBdr>
                        <w:top w:val="none" w:sz="0" w:space="0" w:color="auto"/>
                        <w:left w:val="none" w:sz="0" w:space="0" w:color="auto"/>
                        <w:bottom w:val="none" w:sz="0" w:space="0" w:color="auto"/>
                        <w:right w:val="none" w:sz="0" w:space="0" w:color="auto"/>
                      </w:divBdr>
                    </w:div>
                  </w:divsChild>
                </w:div>
                <w:div w:id="1174296375">
                  <w:marLeft w:val="0"/>
                  <w:marRight w:val="0"/>
                  <w:marTop w:val="0"/>
                  <w:marBottom w:val="0"/>
                  <w:divBdr>
                    <w:top w:val="none" w:sz="0" w:space="0" w:color="auto"/>
                    <w:left w:val="none" w:sz="0" w:space="0" w:color="auto"/>
                    <w:bottom w:val="none" w:sz="0" w:space="0" w:color="auto"/>
                    <w:right w:val="none" w:sz="0" w:space="0" w:color="auto"/>
                  </w:divBdr>
                  <w:divsChild>
                    <w:div w:id="1250890405">
                      <w:marLeft w:val="0"/>
                      <w:marRight w:val="0"/>
                      <w:marTop w:val="0"/>
                      <w:marBottom w:val="0"/>
                      <w:divBdr>
                        <w:top w:val="none" w:sz="0" w:space="0" w:color="auto"/>
                        <w:left w:val="none" w:sz="0" w:space="0" w:color="auto"/>
                        <w:bottom w:val="none" w:sz="0" w:space="0" w:color="auto"/>
                        <w:right w:val="none" w:sz="0" w:space="0" w:color="auto"/>
                      </w:divBdr>
                    </w:div>
                  </w:divsChild>
                </w:div>
                <w:div w:id="1307929011">
                  <w:marLeft w:val="0"/>
                  <w:marRight w:val="0"/>
                  <w:marTop w:val="0"/>
                  <w:marBottom w:val="0"/>
                  <w:divBdr>
                    <w:top w:val="none" w:sz="0" w:space="0" w:color="auto"/>
                    <w:left w:val="none" w:sz="0" w:space="0" w:color="auto"/>
                    <w:bottom w:val="none" w:sz="0" w:space="0" w:color="auto"/>
                    <w:right w:val="none" w:sz="0" w:space="0" w:color="auto"/>
                  </w:divBdr>
                  <w:divsChild>
                    <w:div w:id="44837426">
                      <w:marLeft w:val="0"/>
                      <w:marRight w:val="0"/>
                      <w:marTop w:val="0"/>
                      <w:marBottom w:val="0"/>
                      <w:divBdr>
                        <w:top w:val="none" w:sz="0" w:space="0" w:color="auto"/>
                        <w:left w:val="none" w:sz="0" w:space="0" w:color="auto"/>
                        <w:bottom w:val="none" w:sz="0" w:space="0" w:color="auto"/>
                        <w:right w:val="none" w:sz="0" w:space="0" w:color="auto"/>
                      </w:divBdr>
                    </w:div>
                  </w:divsChild>
                </w:div>
                <w:div w:id="1497964097">
                  <w:marLeft w:val="0"/>
                  <w:marRight w:val="0"/>
                  <w:marTop w:val="0"/>
                  <w:marBottom w:val="0"/>
                  <w:divBdr>
                    <w:top w:val="none" w:sz="0" w:space="0" w:color="auto"/>
                    <w:left w:val="none" w:sz="0" w:space="0" w:color="auto"/>
                    <w:bottom w:val="none" w:sz="0" w:space="0" w:color="auto"/>
                    <w:right w:val="none" w:sz="0" w:space="0" w:color="auto"/>
                  </w:divBdr>
                  <w:divsChild>
                    <w:div w:id="1364133083">
                      <w:marLeft w:val="0"/>
                      <w:marRight w:val="0"/>
                      <w:marTop w:val="0"/>
                      <w:marBottom w:val="0"/>
                      <w:divBdr>
                        <w:top w:val="none" w:sz="0" w:space="0" w:color="auto"/>
                        <w:left w:val="none" w:sz="0" w:space="0" w:color="auto"/>
                        <w:bottom w:val="none" w:sz="0" w:space="0" w:color="auto"/>
                        <w:right w:val="none" w:sz="0" w:space="0" w:color="auto"/>
                      </w:divBdr>
                    </w:div>
                  </w:divsChild>
                </w:div>
                <w:div w:id="1579707381">
                  <w:marLeft w:val="0"/>
                  <w:marRight w:val="0"/>
                  <w:marTop w:val="0"/>
                  <w:marBottom w:val="0"/>
                  <w:divBdr>
                    <w:top w:val="none" w:sz="0" w:space="0" w:color="auto"/>
                    <w:left w:val="none" w:sz="0" w:space="0" w:color="auto"/>
                    <w:bottom w:val="none" w:sz="0" w:space="0" w:color="auto"/>
                    <w:right w:val="none" w:sz="0" w:space="0" w:color="auto"/>
                  </w:divBdr>
                  <w:divsChild>
                    <w:div w:id="4529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7001">
          <w:marLeft w:val="0"/>
          <w:marRight w:val="0"/>
          <w:marTop w:val="0"/>
          <w:marBottom w:val="0"/>
          <w:divBdr>
            <w:top w:val="none" w:sz="0" w:space="0" w:color="auto"/>
            <w:left w:val="none" w:sz="0" w:space="0" w:color="auto"/>
            <w:bottom w:val="none" w:sz="0" w:space="0" w:color="auto"/>
            <w:right w:val="none" w:sz="0" w:space="0" w:color="auto"/>
          </w:divBdr>
        </w:div>
      </w:divsChild>
    </w:div>
    <w:div w:id="1848133748">
      <w:bodyDiv w:val="1"/>
      <w:marLeft w:val="0"/>
      <w:marRight w:val="0"/>
      <w:marTop w:val="0"/>
      <w:marBottom w:val="0"/>
      <w:divBdr>
        <w:top w:val="none" w:sz="0" w:space="0" w:color="auto"/>
        <w:left w:val="none" w:sz="0" w:space="0" w:color="auto"/>
        <w:bottom w:val="none" w:sz="0" w:space="0" w:color="auto"/>
        <w:right w:val="none" w:sz="0" w:space="0" w:color="auto"/>
      </w:divBdr>
    </w:div>
    <w:div w:id="1933976699">
      <w:bodyDiv w:val="1"/>
      <w:marLeft w:val="0"/>
      <w:marRight w:val="0"/>
      <w:marTop w:val="0"/>
      <w:marBottom w:val="0"/>
      <w:divBdr>
        <w:top w:val="none" w:sz="0" w:space="0" w:color="auto"/>
        <w:left w:val="none" w:sz="0" w:space="0" w:color="auto"/>
        <w:bottom w:val="none" w:sz="0" w:space="0" w:color="auto"/>
        <w:right w:val="none" w:sz="0" w:space="0" w:color="auto"/>
      </w:divBdr>
    </w:div>
    <w:div w:id="1944874586">
      <w:bodyDiv w:val="1"/>
      <w:marLeft w:val="0"/>
      <w:marRight w:val="0"/>
      <w:marTop w:val="0"/>
      <w:marBottom w:val="0"/>
      <w:divBdr>
        <w:top w:val="none" w:sz="0" w:space="0" w:color="auto"/>
        <w:left w:val="none" w:sz="0" w:space="0" w:color="auto"/>
        <w:bottom w:val="none" w:sz="0" w:space="0" w:color="auto"/>
        <w:right w:val="none" w:sz="0" w:space="0" w:color="auto"/>
      </w:divBdr>
    </w:div>
    <w:div w:id="1977176990">
      <w:bodyDiv w:val="1"/>
      <w:marLeft w:val="0"/>
      <w:marRight w:val="0"/>
      <w:marTop w:val="0"/>
      <w:marBottom w:val="0"/>
      <w:divBdr>
        <w:top w:val="none" w:sz="0" w:space="0" w:color="auto"/>
        <w:left w:val="none" w:sz="0" w:space="0" w:color="auto"/>
        <w:bottom w:val="none" w:sz="0" w:space="0" w:color="auto"/>
        <w:right w:val="none" w:sz="0" w:space="0" w:color="auto"/>
      </w:divBdr>
      <w:divsChild>
        <w:div w:id="210962336">
          <w:marLeft w:val="0"/>
          <w:marRight w:val="0"/>
          <w:marTop w:val="0"/>
          <w:marBottom w:val="0"/>
          <w:divBdr>
            <w:top w:val="none" w:sz="0" w:space="0" w:color="auto"/>
            <w:left w:val="none" w:sz="0" w:space="0" w:color="auto"/>
            <w:bottom w:val="none" w:sz="0" w:space="0" w:color="auto"/>
            <w:right w:val="none" w:sz="0" w:space="0" w:color="auto"/>
          </w:divBdr>
        </w:div>
        <w:div w:id="352342321">
          <w:marLeft w:val="0"/>
          <w:marRight w:val="0"/>
          <w:marTop w:val="0"/>
          <w:marBottom w:val="0"/>
          <w:divBdr>
            <w:top w:val="none" w:sz="0" w:space="0" w:color="auto"/>
            <w:left w:val="none" w:sz="0" w:space="0" w:color="auto"/>
            <w:bottom w:val="none" w:sz="0" w:space="0" w:color="auto"/>
            <w:right w:val="none" w:sz="0" w:space="0" w:color="auto"/>
          </w:divBdr>
        </w:div>
        <w:div w:id="394357559">
          <w:marLeft w:val="0"/>
          <w:marRight w:val="0"/>
          <w:marTop w:val="0"/>
          <w:marBottom w:val="0"/>
          <w:divBdr>
            <w:top w:val="none" w:sz="0" w:space="0" w:color="auto"/>
            <w:left w:val="none" w:sz="0" w:space="0" w:color="auto"/>
            <w:bottom w:val="none" w:sz="0" w:space="0" w:color="auto"/>
            <w:right w:val="none" w:sz="0" w:space="0" w:color="auto"/>
          </w:divBdr>
        </w:div>
        <w:div w:id="497039047">
          <w:marLeft w:val="0"/>
          <w:marRight w:val="0"/>
          <w:marTop w:val="0"/>
          <w:marBottom w:val="0"/>
          <w:divBdr>
            <w:top w:val="none" w:sz="0" w:space="0" w:color="auto"/>
            <w:left w:val="none" w:sz="0" w:space="0" w:color="auto"/>
            <w:bottom w:val="none" w:sz="0" w:space="0" w:color="auto"/>
            <w:right w:val="none" w:sz="0" w:space="0" w:color="auto"/>
          </w:divBdr>
        </w:div>
        <w:div w:id="1204514915">
          <w:marLeft w:val="0"/>
          <w:marRight w:val="0"/>
          <w:marTop w:val="0"/>
          <w:marBottom w:val="0"/>
          <w:divBdr>
            <w:top w:val="none" w:sz="0" w:space="0" w:color="auto"/>
            <w:left w:val="none" w:sz="0" w:space="0" w:color="auto"/>
            <w:bottom w:val="none" w:sz="0" w:space="0" w:color="auto"/>
            <w:right w:val="none" w:sz="0" w:space="0" w:color="auto"/>
          </w:divBdr>
        </w:div>
        <w:div w:id="1360348984">
          <w:marLeft w:val="0"/>
          <w:marRight w:val="0"/>
          <w:marTop w:val="0"/>
          <w:marBottom w:val="0"/>
          <w:divBdr>
            <w:top w:val="none" w:sz="0" w:space="0" w:color="auto"/>
            <w:left w:val="none" w:sz="0" w:space="0" w:color="auto"/>
            <w:bottom w:val="none" w:sz="0" w:space="0" w:color="auto"/>
            <w:right w:val="none" w:sz="0" w:space="0" w:color="auto"/>
          </w:divBdr>
        </w:div>
        <w:div w:id="1395008848">
          <w:marLeft w:val="0"/>
          <w:marRight w:val="0"/>
          <w:marTop w:val="0"/>
          <w:marBottom w:val="0"/>
          <w:divBdr>
            <w:top w:val="none" w:sz="0" w:space="0" w:color="auto"/>
            <w:left w:val="none" w:sz="0" w:space="0" w:color="auto"/>
            <w:bottom w:val="none" w:sz="0" w:space="0" w:color="auto"/>
            <w:right w:val="none" w:sz="0" w:space="0" w:color="auto"/>
          </w:divBdr>
        </w:div>
        <w:div w:id="1465929451">
          <w:marLeft w:val="0"/>
          <w:marRight w:val="0"/>
          <w:marTop w:val="0"/>
          <w:marBottom w:val="0"/>
          <w:divBdr>
            <w:top w:val="none" w:sz="0" w:space="0" w:color="auto"/>
            <w:left w:val="none" w:sz="0" w:space="0" w:color="auto"/>
            <w:bottom w:val="none" w:sz="0" w:space="0" w:color="auto"/>
            <w:right w:val="none" w:sz="0" w:space="0" w:color="auto"/>
          </w:divBdr>
        </w:div>
        <w:div w:id="1712612518">
          <w:marLeft w:val="0"/>
          <w:marRight w:val="0"/>
          <w:marTop w:val="0"/>
          <w:marBottom w:val="0"/>
          <w:divBdr>
            <w:top w:val="none" w:sz="0" w:space="0" w:color="auto"/>
            <w:left w:val="none" w:sz="0" w:space="0" w:color="auto"/>
            <w:bottom w:val="none" w:sz="0" w:space="0" w:color="auto"/>
            <w:right w:val="none" w:sz="0" w:space="0" w:color="auto"/>
          </w:divBdr>
        </w:div>
        <w:div w:id="2016149706">
          <w:marLeft w:val="0"/>
          <w:marRight w:val="0"/>
          <w:marTop w:val="0"/>
          <w:marBottom w:val="0"/>
          <w:divBdr>
            <w:top w:val="none" w:sz="0" w:space="0" w:color="auto"/>
            <w:left w:val="none" w:sz="0" w:space="0" w:color="auto"/>
            <w:bottom w:val="none" w:sz="0" w:space="0" w:color="auto"/>
            <w:right w:val="none" w:sz="0" w:space="0" w:color="auto"/>
          </w:divBdr>
        </w:div>
        <w:div w:id="2131700771">
          <w:marLeft w:val="0"/>
          <w:marRight w:val="0"/>
          <w:marTop w:val="0"/>
          <w:marBottom w:val="0"/>
          <w:divBdr>
            <w:top w:val="none" w:sz="0" w:space="0" w:color="auto"/>
            <w:left w:val="none" w:sz="0" w:space="0" w:color="auto"/>
            <w:bottom w:val="none" w:sz="0" w:space="0" w:color="auto"/>
            <w:right w:val="none" w:sz="0" w:space="0" w:color="auto"/>
          </w:divBdr>
        </w:div>
      </w:divsChild>
    </w:div>
    <w:div w:id="2002730910">
      <w:bodyDiv w:val="1"/>
      <w:marLeft w:val="0"/>
      <w:marRight w:val="0"/>
      <w:marTop w:val="0"/>
      <w:marBottom w:val="0"/>
      <w:divBdr>
        <w:top w:val="none" w:sz="0" w:space="0" w:color="auto"/>
        <w:left w:val="none" w:sz="0" w:space="0" w:color="auto"/>
        <w:bottom w:val="none" w:sz="0" w:space="0" w:color="auto"/>
        <w:right w:val="none" w:sz="0" w:space="0" w:color="auto"/>
      </w:divBdr>
    </w:div>
    <w:div w:id="2006472193">
      <w:bodyDiv w:val="1"/>
      <w:marLeft w:val="0"/>
      <w:marRight w:val="0"/>
      <w:marTop w:val="0"/>
      <w:marBottom w:val="0"/>
      <w:divBdr>
        <w:top w:val="none" w:sz="0" w:space="0" w:color="auto"/>
        <w:left w:val="none" w:sz="0" w:space="0" w:color="auto"/>
        <w:bottom w:val="none" w:sz="0" w:space="0" w:color="auto"/>
        <w:right w:val="none" w:sz="0" w:space="0" w:color="auto"/>
      </w:divBdr>
    </w:div>
    <w:div w:id="2043632421">
      <w:bodyDiv w:val="1"/>
      <w:marLeft w:val="0"/>
      <w:marRight w:val="0"/>
      <w:marTop w:val="0"/>
      <w:marBottom w:val="0"/>
      <w:divBdr>
        <w:top w:val="none" w:sz="0" w:space="0" w:color="auto"/>
        <w:left w:val="none" w:sz="0" w:space="0" w:color="auto"/>
        <w:bottom w:val="none" w:sz="0" w:space="0" w:color="auto"/>
        <w:right w:val="none" w:sz="0" w:space="0" w:color="auto"/>
      </w:divBdr>
      <w:divsChild>
        <w:div w:id="574630544">
          <w:marLeft w:val="0"/>
          <w:marRight w:val="0"/>
          <w:marTop w:val="0"/>
          <w:marBottom w:val="0"/>
          <w:divBdr>
            <w:top w:val="none" w:sz="0" w:space="0" w:color="auto"/>
            <w:left w:val="none" w:sz="0" w:space="0" w:color="auto"/>
            <w:bottom w:val="none" w:sz="0" w:space="0" w:color="auto"/>
            <w:right w:val="none" w:sz="0" w:space="0" w:color="auto"/>
          </w:divBdr>
        </w:div>
        <w:div w:id="1710370540">
          <w:marLeft w:val="0"/>
          <w:marRight w:val="0"/>
          <w:marTop w:val="0"/>
          <w:marBottom w:val="0"/>
          <w:divBdr>
            <w:top w:val="none" w:sz="0" w:space="0" w:color="auto"/>
            <w:left w:val="none" w:sz="0" w:space="0" w:color="auto"/>
            <w:bottom w:val="none" w:sz="0" w:space="0" w:color="auto"/>
            <w:right w:val="none" w:sz="0" w:space="0" w:color="auto"/>
          </w:divBdr>
        </w:div>
      </w:divsChild>
    </w:div>
    <w:div w:id="2121025609">
      <w:bodyDiv w:val="1"/>
      <w:marLeft w:val="0"/>
      <w:marRight w:val="0"/>
      <w:marTop w:val="0"/>
      <w:marBottom w:val="0"/>
      <w:divBdr>
        <w:top w:val="none" w:sz="0" w:space="0" w:color="auto"/>
        <w:left w:val="none" w:sz="0" w:space="0" w:color="auto"/>
        <w:bottom w:val="none" w:sz="0" w:space="0" w:color="auto"/>
        <w:right w:val="none" w:sz="0" w:space="0" w:color="auto"/>
      </w:divBdr>
      <w:divsChild>
        <w:div w:id="123550114">
          <w:marLeft w:val="0"/>
          <w:marRight w:val="0"/>
          <w:marTop w:val="0"/>
          <w:marBottom w:val="0"/>
          <w:divBdr>
            <w:top w:val="none" w:sz="0" w:space="0" w:color="auto"/>
            <w:left w:val="none" w:sz="0" w:space="0" w:color="auto"/>
            <w:bottom w:val="none" w:sz="0" w:space="0" w:color="auto"/>
            <w:right w:val="none" w:sz="0" w:space="0" w:color="auto"/>
          </w:divBdr>
          <w:divsChild>
            <w:div w:id="316810266">
              <w:marLeft w:val="0"/>
              <w:marRight w:val="0"/>
              <w:marTop w:val="0"/>
              <w:marBottom w:val="0"/>
              <w:divBdr>
                <w:top w:val="none" w:sz="0" w:space="0" w:color="auto"/>
                <w:left w:val="none" w:sz="0" w:space="0" w:color="auto"/>
                <w:bottom w:val="none" w:sz="0" w:space="0" w:color="auto"/>
                <w:right w:val="none" w:sz="0" w:space="0" w:color="auto"/>
              </w:divBdr>
            </w:div>
          </w:divsChild>
        </w:div>
        <w:div w:id="290790329">
          <w:marLeft w:val="0"/>
          <w:marRight w:val="0"/>
          <w:marTop w:val="0"/>
          <w:marBottom w:val="0"/>
          <w:divBdr>
            <w:top w:val="none" w:sz="0" w:space="0" w:color="auto"/>
            <w:left w:val="none" w:sz="0" w:space="0" w:color="auto"/>
            <w:bottom w:val="none" w:sz="0" w:space="0" w:color="auto"/>
            <w:right w:val="none" w:sz="0" w:space="0" w:color="auto"/>
          </w:divBdr>
          <w:divsChild>
            <w:div w:id="335040895">
              <w:marLeft w:val="0"/>
              <w:marRight w:val="0"/>
              <w:marTop w:val="0"/>
              <w:marBottom w:val="0"/>
              <w:divBdr>
                <w:top w:val="none" w:sz="0" w:space="0" w:color="auto"/>
                <w:left w:val="none" w:sz="0" w:space="0" w:color="auto"/>
                <w:bottom w:val="none" w:sz="0" w:space="0" w:color="auto"/>
                <w:right w:val="none" w:sz="0" w:space="0" w:color="auto"/>
              </w:divBdr>
            </w:div>
          </w:divsChild>
        </w:div>
        <w:div w:id="902986564">
          <w:marLeft w:val="0"/>
          <w:marRight w:val="0"/>
          <w:marTop w:val="0"/>
          <w:marBottom w:val="0"/>
          <w:divBdr>
            <w:top w:val="none" w:sz="0" w:space="0" w:color="auto"/>
            <w:left w:val="none" w:sz="0" w:space="0" w:color="auto"/>
            <w:bottom w:val="none" w:sz="0" w:space="0" w:color="auto"/>
            <w:right w:val="none" w:sz="0" w:space="0" w:color="auto"/>
          </w:divBdr>
          <w:divsChild>
            <w:div w:id="78599963">
              <w:marLeft w:val="0"/>
              <w:marRight w:val="0"/>
              <w:marTop w:val="0"/>
              <w:marBottom w:val="0"/>
              <w:divBdr>
                <w:top w:val="none" w:sz="0" w:space="0" w:color="auto"/>
                <w:left w:val="none" w:sz="0" w:space="0" w:color="auto"/>
                <w:bottom w:val="none" w:sz="0" w:space="0" w:color="auto"/>
                <w:right w:val="none" w:sz="0" w:space="0" w:color="auto"/>
              </w:divBdr>
            </w:div>
          </w:divsChild>
        </w:div>
        <w:div w:id="1016424621">
          <w:marLeft w:val="0"/>
          <w:marRight w:val="0"/>
          <w:marTop w:val="0"/>
          <w:marBottom w:val="0"/>
          <w:divBdr>
            <w:top w:val="none" w:sz="0" w:space="0" w:color="auto"/>
            <w:left w:val="none" w:sz="0" w:space="0" w:color="auto"/>
            <w:bottom w:val="none" w:sz="0" w:space="0" w:color="auto"/>
            <w:right w:val="none" w:sz="0" w:space="0" w:color="auto"/>
          </w:divBdr>
          <w:divsChild>
            <w:div w:id="1589535445">
              <w:marLeft w:val="0"/>
              <w:marRight w:val="0"/>
              <w:marTop w:val="0"/>
              <w:marBottom w:val="0"/>
              <w:divBdr>
                <w:top w:val="none" w:sz="0" w:space="0" w:color="auto"/>
                <w:left w:val="none" w:sz="0" w:space="0" w:color="auto"/>
                <w:bottom w:val="none" w:sz="0" w:space="0" w:color="auto"/>
                <w:right w:val="none" w:sz="0" w:space="0" w:color="auto"/>
              </w:divBdr>
            </w:div>
          </w:divsChild>
        </w:div>
        <w:div w:id="1049573289">
          <w:marLeft w:val="0"/>
          <w:marRight w:val="0"/>
          <w:marTop w:val="0"/>
          <w:marBottom w:val="0"/>
          <w:divBdr>
            <w:top w:val="none" w:sz="0" w:space="0" w:color="auto"/>
            <w:left w:val="none" w:sz="0" w:space="0" w:color="auto"/>
            <w:bottom w:val="none" w:sz="0" w:space="0" w:color="auto"/>
            <w:right w:val="none" w:sz="0" w:space="0" w:color="auto"/>
          </w:divBdr>
          <w:divsChild>
            <w:div w:id="1497107081">
              <w:marLeft w:val="0"/>
              <w:marRight w:val="0"/>
              <w:marTop w:val="0"/>
              <w:marBottom w:val="0"/>
              <w:divBdr>
                <w:top w:val="none" w:sz="0" w:space="0" w:color="auto"/>
                <w:left w:val="none" w:sz="0" w:space="0" w:color="auto"/>
                <w:bottom w:val="none" w:sz="0" w:space="0" w:color="auto"/>
                <w:right w:val="none" w:sz="0" w:space="0" w:color="auto"/>
              </w:divBdr>
            </w:div>
          </w:divsChild>
        </w:div>
        <w:div w:id="1391925936">
          <w:marLeft w:val="0"/>
          <w:marRight w:val="0"/>
          <w:marTop w:val="0"/>
          <w:marBottom w:val="0"/>
          <w:divBdr>
            <w:top w:val="none" w:sz="0" w:space="0" w:color="auto"/>
            <w:left w:val="none" w:sz="0" w:space="0" w:color="auto"/>
            <w:bottom w:val="none" w:sz="0" w:space="0" w:color="auto"/>
            <w:right w:val="none" w:sz="0" w:space="0" w:color="auto"/>
          </w:divBdr>
          <w:divsChild>
            <w:div w:id="1482039641">
              <w:marLeft w:val="0"/>
              <w:marRight w:val="0"/>
              <w:marTop w:val="0"/>
              <w:marBottom w:val="0"/>
              <w:divBdr>
                <w:top w:val="none" w:sz="0" w:space="0" w:color="auto"/>
                <w:left w:val="none" w:sz="0" w:space="0" w:color="auto"/>
                <w:bottom w:val="none" w:sz="0" w:space="0" w:color="auto"/>
                <w:right w:val="none" w:sz="0" w:space="0" w:color="auto"/>
              </w:divBdr>
            </w:div>
          </w:divsChild>
        </w:div>
        <w:div w:id="1571190216">
          <w:marLeft w:val="0"/>
          <w:marRight w:val="0"/>
          <w:marTop w:val="0"/>
          <w:marBottom w:val="0"/>
          <w:divBdr>
            <w:top w:val="none" w:sz="0" w:space="0" w:color="auto"/>
            <w:left w:val="none" w:sz="0" w:space="0" w:color="auto"/>
            <w:bottom w:val="none" w:sz="0" w:space="0" w:color="auto"/>
            <w:right w:val="none" w:sz="0" w:space="0" w:color="auto"/>
          </w:divBdr>
          <w:divsChild>
            <w:div w:id="24138753">
              <w:marLeft w:val="0"/>
              <w:marRight w:val="0"/>
              <w:marTop w:val="0"/>
              <w:marBottom w:val="0"/>
              <w:divBdr>
                <w:top w:val="none" w:sz="0" w:space="0" w:color="auto"/>
                <w:left w:val="none" w:sz="0" w:space="0" w:color="auto"/>
                <w:bottom w:val="none" w:sz="0" w:space="0" w:color="auto"/>
                <w:right w:val="none" w:sz="0" w:space="0" w:color="auto"/>
              </w:divBdr>
            </w:div>
          </w:divsChild>
        </w:div>
        <w:div w:id="1684017152">
          <w:marLeft w:val="0"/>
          <w:marRight w:val="0"/>
          <w:marTop w:val="0"/>
          <w:marBottom w:val="0"/>
          <w:divBdr>
            <w:top w:val="none" w:sz="0" w:space="0" w:color="auto"/>
            <w:left w:val="none" w:sz="0" w:space="0" w:color="auto"/>
            <w:bottom w:val="none" w:sz="0" w:space="0" w:color="auto"/>
            <w:right w:val="none" w:sz="0" w:space="0" w:color="auto"/>
          </w:divBdr>
          <w:divsChild>
            <w:div w:id="2004699807">
              <w:marLeft w:val="0"/>
              <w:marRight w:val="0"/>
              <w:marTop w:val="0"/>
              <w:marBottom w:val="0"/>
              <w:divBdr>
                <w:top w:val="none" w:sz="0" w:space="0" w:color="auto"/>
                <w:left w:val="none" w:sz="0" w:space="0" w:color="auto"/>
                <w:bottom w:val="none" w:sz="0" w:space="0" w:color="auto"/>
                <w:right w:val="none" w:sz="0" w:space="0" w:color="auto"/>
              </w:divBdr>
            </w:div>
          </w:divsChild>
        </w:div>
        <w:div w:id="1853571190">
          <w:marLeft w:val="0"/>
          <w:marRight w:val="0"/>
          <w:marTop w:val="0"/>
          <w:marBottom w:val="0"/>
          <w:divBdr>
            <w:top w:val="none" w:sz="0" w:space="0" w:color="auto"/>
            <w:left w:val="none" w:sz="0" w:space="0" w:color="auto"/>
            <w:bottom w:val="none" w:sz="0" w:space="0" w:color="auto"/>
            <w:right w:val="none" w:sz="0" w:space="0" w:color="auto"/>
          </w:divBdr>
          <w:divsChild>
            <w:div w:id="1324355911">
              <w:marLeft w:val="0"/>
              <w:marRight w:val="0"/>
              <w:marTop w:val="0"/>
              <w:marBottom w:val="0"/>
              <w:divBdr>
                <w:top w:val="none" w:sz="0" w:space="0" w:color="auto"/>
                <w:left w:val="none" w:sz="0" w:space="0" w:color="auto"/>
                <w:bottom w:val="none" w:sz="0" w:space="0" w:color="auto"/>
                <w:right w:val="none" w:sz="0" w:space="0" w:color="auto"/>
              </w:divBdr>
            </w:div>
          </w:divsChild>
        </w:div>
        <w:div w:id="1958753190">
          <w:marLeft w:val="0"/>
          <w:marRight w:val="0"/>
          <w:marTop w:val="0"/>
          <w:marBottom w:val="0"/>
          <w:divBdr>
            <w:top w:val="none" w:sz="0" w:space="0" w:color="auto"/>
            <w:left w:val="none" w:sz="0" w:space="0" w:color="auto"/>
            <w:bottom w:val="none" w:sz="0" w:space="0" w:color="auto"/>
            <w:right w:val="none" w:sz="0" w:space="0" w:color="auto"/>
          </w:divBdr>
          <w:divsChild>
            <w:div w:id="900140383">
              <w:marLeft w:val="0"/>
              <w:marRight w:val="0"/>
              <w:marTop w:val="0"/>
              <w:marBottom w:val="0"/>
              <w:divBdr>
                <w:top w:val="none" w:sz="0" w:space="0" w:color="auto"/>
                <w:left w:val="none" w:sz="0" w:space="0" w:color="auto"/>
                <w:bottom w:val="none" w:sz="0" w:space="0" w:color="auto"/>
                <w:right w:val="none" w:sz="0" w:space="0" w:color="auto"/>
              </w:divBdr>
            </w:div>
          </w:divsChild>
        </w:div>
        <w:div w:id="1967807467">
          <w:marLeft w:val="0"/>
          <w:marRight w:val="0"/>
          <w:marTop w:val="0"/>
          <w:marBottom w:val="0"/>
          <w:divBdr>
            <w:top w:val="none" w:sz="0" w:space="0" w:color="auto"/>
            <w:left w:val="none" w:sz="0" w:space="0" w:color="auto"/>
            <w:bottom w:val="none" w:sz="0" w:space="0" w:color="auto"/>
            <w:right w:val="none" w:sz="0" w:space="0" w:color="auto"/>
          </w:divBdr>
          <w:divsChild>
            <w:div w:id="1544901604">
              <w:marLeft w:val="0"/>
              <w:marRight w:val="0"/>
              <w:marTop w:val="0"/>
              <w:marBottom w:val="0"/>
              <w:divBdr>
                <w:top w:val="none" w:sz="0" w:space="0" w:color="auto"/>
                <w:left w:val="none" w:sz="0" w:space="0" w:color="auto"/>
                <w:bottom w:val="none" w:sz="0" w:space="0" w:color="auto"/>
                <w:right w:val="none" w:sz="0" w:space="0" w:color="auto"/>
              </w:divBdr>
            </w:div>
          </w:divsChild>
        </w:div>
        <w:div w:id="2017340693">
          <w:marLeft w:val="0"/>
          <w:marRight w:val="0"/>
          <w:marTop w:val="0"/>
          <w:marBottom w:val="0"/>
          <w:divBdr>
            <w:top w:val="none" w:sz="0" w:space="0" w:color="auto"/>
            <w:left w:val="none" w:sz="0" w:space="0" w:color="auto"/>
            <w:bottom w:val="none" w:sz="0" w:space="0" w:color="auto"/>
            <w:right w:val="none" w:sz="0" w:space="0" w:color="auto"/>
          </w:divBdr>
          <w:divsChild>
            <w:div w:id="176379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714">
      <w:bodyDiv w:val="1"/>
      <w:marLeft w:val="0"/>
      <w:marRight w:val="0"/>
      <w:marTop w:val="0"/>
      <w:marBottom w:val="0"/>
      <w:divBdr>
        <w:top w:val="none" w:sz="0" w:space="0" w:color="auto"/>
        <w:left w:val="none" w:sz="0" w:space="0" w:color="auto"/>
        <w:bottom w:val="none" w:sz="0" w:space="0" w:color="auto"/>
        <w:right w:val="none" w:sz="0" w:space="0" w:color="auto"/>
      </w:divBdr>
      <w:divsChild>
        <w:div w:id="29304107">
          <w:marLeft w:val="0"/>
          <w:marRight w:val="0"/>
          <w:marTop w:val="0"/>
          <w:marBottom w:val="0"/>
          <w:divBdr>
            <w:top w:val="none" w:sz="0" w:space="0" w:color="auto"/>
            <w:left w:val="none" w:sz="0" w:space="0" w:color="auto"/>
            <w:bottom w:val="none" w:sz="0" w:space="0" w:color="auto"/>
            <w:right w:val="none" w:sz="0" w:space="0" w:color="auto"/>
          </w:divBdr>
        </w:div>
        <w:div w:id="88476488">
          <w:marLeft w:val="0"/>
          <w:marRight w:val="0"/>
          <w:marTop w:val="0"/>
          <w:marBottom w:val="0"/>
          <w:divBdr>
            <w:top w:val="none" w:sz="0" w:space="0" w:color="auto"/>
            <w:left w:val="none" w:sz="0" w:space="0" w:color="auto"/>
            <w:bottom w:val="none" w:sz="0" w:space="0" w:color="auto"/>
            <w:right w:val="none" w:sz="0" w:space="0" w:color="auto"/>
          </w:divBdr>
        </w:div>
        <w:div w:id="160701815">
          <w:marLeft w:val="0"/>
          <w:marRight w:val="0"/>
          <w:marTop w:val="0"/>
          <w:marBottom w:val="0"/>
          <w:divBdr>
            <w:top w:val="none" w:sz="0" w:space="0" w:color="auto"/>
            <w:left w:val="none" w:sz="0" w:space="0" w:color="auto"/>
            <w:bottom w:val="none" w:sz="0" w:space="0" w:color="auto"/>
            <w:right w:val="none" w:sz="0" w:space="0" w:color="auto"/>
          </w:divBdr>
        </w:div>
        <w:div w:id="341131883">
          <w:marLeft w:val="0"/>
          <w:marRight w:val="0"/>
          <w:marTop w:val="0"/>
          <w:marBottom w:val="0"/>
          <w:divBdr>
            <w:top w:val="none" w:sz="0" w:space="0" w:color="auto"/>
            <w:left w:val="none" w:sz="0" w:space="0" w:color="auto"/>
            <w:bottom w:val="none" w:sz="0" w:space="0" w:color="auto"/>
            <w:right w:val="none" w:sz="0" w:space="0" w:color="auto"/>
          </w:divBdr>
        </w:div>
        <w:div w:id="357924728">
          <w:marLeft w:val="0"/>
          <w:marRight w:val="0"/>
          <w:marTop w:val="0"/>
          <w:marBottom w:val="0"/>
          <w:divBdr>
            <w:top w:val="none" w:sz="0" w:space="0" w:color="auto"/>
            <w:left w:val="none" w:sz="0" w:space="0" w:color="auto"/>
            <w:bottom w:val="none" w:sz="0" w:space="0" w:color="auto"/>
            <w:right w:val="none" w:sz="0" w:space="0" w:color="auto"/>
          </w:divBdr>
        </w:div>
        <w:div w:id="455682194">
          <w:marLeft w:val="0"/>
          <w:marRight w:val="0"/>
          <w:marTop w:val="0"/>
          <w:marBottom w:val="0"/>
          <w:divBdr>
            <w:top w:val="none" w:sz="0" w:space="0" w:color="auto"/>
            <w:left w:val="none" w:sz="0" w:space="0" w:color="auto"/>
            <w:bottom w:val="none" w:sz="0" w:space="0" w:color="auto"/>
            <w:right w:val="none" w:sz="0" w:space="0" w:color="auto"/>
          </w:divBdr>
        </w:div>
        <w:div w:id="458378620">
          <w:marLeft w:val="0"/>
          <w:marRight w:val="0"/>
          <w:marTop w:val="0"/>
          <w:marBottom w:val="0"/>
          <w:divBdr>
            <w:top w:val="none" w:sz="0" w:space="0" w:color="auto"/>
            <w:left w:val="none" w:sz="0" w:space="0" w:color="auto"/>
            <w:bottom w:val="none" w:sz="0" w:space="0" w:color="auto"/>
            <w:right w:val="none" w:sz="0" w:space="0" w:color="auto"/>
          </w:divBdr>
        </w:div>
        <w:div w:id="502667175">
          <w:marLeft w:val="0"/>
          <w:marRight w:val="0"/>
          <w:marTop w:val="0"/>
          <w:marBottom w:val="0"/>
          <w:divBdr>
            <w:top w:val="none" w:sz="0" w:space="0" w:color="auto"/>
            <w:left w:val="none" w:sz="0" w:space="0" w:color="auto"/>
            <w:bottom w:val="none" w:sz="0" w:space="0" w:color="auto"/>
            <w:right w:val="none" w:sz="0" w:space="0" w:color="auto"/>
          </w:divBdr>
        </w:div>
        <w:div w:id="514539016">
          <w:marLeft w:val="0"/>
          <w:marRight w:val="0"/>
          <w:marTop w:val="0"/>
          <w:marBottom w:val="0"/>
          <w:divBdr>
            <w:top w:val="none" w:sz="0" w:space="0" w:color="auto"/>
            <w:left w:val="none" w:sz="0" w:space="0" w:color="auto"/>
            <w:bottom w:val="none" w:sz="0" w:space="0" w:color="auto"/>
            <w:right w:val="none" w:sz="0" w:space="0" w:color="auto"/>
          </w:divBdr>
        </w:div>
        <w:div w:id="608127310">
          <w:marLeft w:val="0"/>
          <w:marRight w:val="0"/>
          <w:marTop w:val="0"/>
          <w:marBottom w:val="0"/>
          <w:divBdr>
            <w:top w:val="none" w:sz="0" w:space="0" w:color="auto"/>
            <w:left w:val="none" w:sz="0" w:space="0" w:color="auto"/>
            <w:bottom w:val="none" w:sz="0" w:space="0" w:color="auto"/>
            <w:right w:val="none" w:sz="0" w:space="0" w:color="auto"/>
          </w:divBdr>
        </w:div>
        <w:div w:id="664014519">
          <w:marLeft w:val="0"/>
          <w:marRight w:val="0"/>
          <w:marTop w:val="0"/>
          <w:marBottom w:val="0"/>
          <w:divBdr>
            <w:top w:val="none" w:sz="0" w:space="0" w:color="auto"/>
            <w:left w:val="none" w:sz="0" w:space="0" w:color="auto"/>
            <w:bottom w:val="none" w:sz="0" w:space="0" w:color="auto"/>
            <w:right w:val="none" w:sz="0" w:space="0" w:color="auto"/>
          </w:divBdr>
        </w:div>
        <w:div w:id="679772153">
          <w:marLeft w:val="0"/>
          <w:marRight w:val="0"/>
          <w:marTop w:val="0"/>
          <w:marBottom w:val="0"/>
          <w:divBdr>
            <w:top w:val="none" w:sz="0" w:space="0" w:color="auto"/>
            <w:left w:val="none" w:sz="0" w:space="0" w:color="auto"/>
            <w:bottom w:val="none" w:sz="0" w:space="0" w:color="auto"/>
            <w:right w:val="none" w:sz="0" w:space="0" w:color="auto"/>
          </w:divBdr>
        </w:div>
        <w:div w:id="772288645">
          <w:marLeft w:val="0"/>
          <w:marRight w:val="0"/>
          <w:marTop w:val="0"/>
          <w:marBottom w:val="0"/>
          <w:divBdr>
            <w:top w:val="none" w:sz="0" w:space="0" w:color="auto"/>
            <w:left w:val="none" w:sz="0" w:space="0" w:color="auto"/>
            <w:bottom w:val="none" w:sz="0" w:space="0" w:color="auto"/>
            <w:right w:val="none" w:sz="0" w:space="0" w:color="auto"/>
          </w:divBdr>
        </w:div>
        <w:div w:id="780413380">
          <w:marLeft w:val="0"/>
          <w:marRight w:val="0"/>
          <w:marTop w:val="0"/>
          <w:marBottom w:val="0"/>
          <w:divBdr>
            <w:top w:val="none" w:sz="0" w:space="0" w:color="auto"/>
            <w:left w:val="none" w:sz="0" w:space="0" w:color="auto"/>
            <w:bottom w:val="none" w:sz="0" w:space="0" w:color="auto"/>
            <w:right w:val="none" w:sz="0" w:space="0" w:color="auto"/>
          </w:divBdr>
        </w:div>
        <w:div w:id="829365074">
          <w:marLeft w:val="0"/>
          <w:marRight w:val="0"/>
          <w:marTop w:val="0"/>
          <w:marBottom w:val="0"/>
          <w:divBdr>
            <w:top w:val="none" w:sz="0" w:space="0" w:color="auto"/>
            <w:left w:val="none" w:sz="0" w:space="0" w:color="auto"/>
            <w:bottom w:val="none" w:sz="0" w:space="0" w:color="auto"/>
            <w:right w:val="none" w:sz="0" w:space="0" w:color="auto"/>
          </w:divBdr>
        </w:div>
        <w:div w:id="854536880">
          <w:marLeft w:val="0"/>
          <w:marRight w:val="0"/>
          <w:marTop w:val="0"/>
          <w:marBottom w:val="0"/>
          <w:divBdr>
            <w:top w:val="none" w:sz="0" w:space="0" w:color="auto"/>
            <w:left w:val="none" w:sz="0" w:space="0" w:color="auto"/>
            <w:bottom w:val="none" w:sz="0" w:space="0" w:color="auto"/>
            <w:right w:val="none" w:sz="0" w:space="0" w:color="auto"/>
          </w:divBdr>
        </w:div>
        <w:div w:id="1240095390">
          <w:marLeft w:val="0"/>
          <w:marRight w:val="0"/>
          <w:marTop w:val="0"/>
          <w:marBottom w:val="0"/>
          <w:divBdr>
            <w:top w:val="none" w:sz="0" w:space="0" w:color="auto"/>
            <w:left w:val="none" w:sz="0" w:space="0" w:color="auto"/>
            <w:bottom w:val="none" w:sz="0" w:space="0" w:color="auto"/>
            <w:right w:val="none" w:sz="0" w:space="0" w:color="auto"/>
          </w:divBdr>
        </w:div>
        <w:div w:id="1588882354">
          <w:marLeft w:val="0"/>
          <w:marRight w:val="0"/>
          <w:marTop w:val="0"/>
          <w:marBottom w:val="0"/>
          <w:divBdr>
            <w:top w:val="none" w:sz="0" w:space="0" w:color="auto"/>
            <w:left w:val="none" w:sz="0" w:space="0" w:color="auto"/>
            <w:bottom w:val="none" w:sz="0" w:space="0" w:color="auto"/>
            <w:right w:val="none" w:sz="0" w:space="0" w:color="auto"/>
          </w:divBdr>
        </w:div>
        <w:div w:id="1756903128">
          <w:marLeft w:val="0"/>
          <w:marRight w:val="0"/>
          <w:marTop w:val="0"/>
          <w:marBottom w:val="0"/>
          <w:divBdr>
            <w:top w:val="none" w:sz="0" w:space="0" w:color="auto"/>
            <w:left w:val="none" w:sz="0" w:space="0" w:color="auto"/>
            <w:bottom w:val="none" w:sz="0" w:space="0" w:color="auto"/>
            <w:right w:val="none" w:sz="0" w:space="0" w:color="auto"/>
          </w:divBdr>
        </w:div>
        <w:div w:id="1848013506">
          <w:marLeft w:val="0"/>
          <w:marRight w:val="0"/>
          <w:marTop w:val="0"/>
          <w:marBottom w:val="0"/>
          <w:divBdr>
            <w:top w:val="none" w:sz="0" w:space="0" w:color="auto"/>
            <w:left w:val="none" w:sz="0" w:space="0" w:color="auto"/>
            <w:bottom w:val="none" w:sz="0" w:space="0" w:color="auto"/>
            <w:right w:val="none" w:sz="0" w:space="0" w:color="auto"/>
          </w:divBdr>
        </w:div>
        <w:div w:id="1930768105">
          <w:marLeft w:val="0"/>
          <w:marRight w:val="0"/>
          <w:marTop w:val="0"/>
          <w:marBottom w:val="0"/>
          <w:divBdr>
            <w:top w:val="none" w:sz="0" w:space="0" w:color="auto"/>
            <w:left w:val="none" w:sz="0" w:space="0" w:color="auto"/>
            <w:bottom w:val="none" w:sz="0" w:space="0" w:color="auto"/>
            <w:right w:val="none" w:sz="0" w:space="0" w:color="auto"/>
          </w:divBdr>
        </w:div>
        <w:div w:id="1975672046">
          <w:marLeft w:val="0"/>
          <w:marRight w:val="0"/>
          <w:marTop w:val="0"/>
          <w:marBottom w:val="0"/>
          <w:divBdr>
            <w:top w:val="none" w:sz="0" w:space="0" w:color="auto"/>
            <w:left w:val="none" w:sz="0" w:space="0" w:color="auto"/>
            <w:bottom w:val="none" w:sz="0" w:space="0" w:color="auto"/>
            <w:right w:val="none" w:sz="0" w:space="0" w:color="auto"/>
          </w:divBdr>
        </w:div>
        <w:div w:id="2035425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afercare.vic.gov.au/report-manage-issues/sentinel-events/what-to-report" TargetMode="External"/><Relationship Id="rId21" Type="http://schemas.openxmlformats.org/officeDocument/2006/relationships/footer" Target="footer5.xml"/><Relationship Id="rId42" Type="http://schemas.openxmlformats.org/officeDocument/2006/relationships/hyperlink" Target="https://www.safercare.vic.gov.au/publications/pulmonary-embolism-pe-practice-points" TargetMode="External"/><Relationship Id="rId47" Type="http://schemas.openxmlformats.org/officeDocument/2006/relationships/hyperlink" Target="https://www.safercare.vic.gov.au/news/celebrating-improvement-in-planned-surgery-results-from-2024-to-2025" TargetMode="External"/><Relationship Id="rId63" Type="http://schemas.openxmlformats.org/officeDocument/2006/relationships/hyperlink" Target="https://learn.rch.org.au/" TargetMode="External"/><Relationship Id="rId68" Type="http://schemas.openxmlformats.org/officeDocument/2006/relationships/hyperlink" Target="https://www.safescript.vic.gov.au/" TargetMode="External"/><Relationship Id="rId84" Type="http://schemas.openxmlformats.org/officeDocument/2006/relationships/hyperlink" Target="https://www.safercare.vic.gov.au/best-practice-improvement/improvement-projects/older-people-and-palliative-care/falls-review-tool-pilot-project" TargetMode="External"/><Relationship Id="rId89" Type="http://schemas.openxmlformats.org/officeDocument/2006/relationships/hyperlink" Target="https://www.safercare.vic.gov.au/publications/morbidity-and-mortality-meetings-framework-and-toolkit" TargetMode="External"/><Relationship Id="rId16" Type="http://schemas.openxmlformats.org/officeDocument/2006/relationships/hyperlink" Target="https://www.safercare.vic.gov.au" TargetMode="External"/><Relationship Id="rId107" Type="http://schemas.openxmlformats.org/officeDocument/2006/relationships/hyperlink" Target="https://www.safetyandquality.gov.au/" TargetMode="External"/><Relationship Id="rId11" Type="http://schemas.openxmlformats.org/officeDocument/2006/relationships/header" Target="header1.xml"/><Relationship Id="rId32" Type="http://schemas.openxmlformats.org/officeDocument/2006/relationships/footer" Target="footer7.xml"/><Relationship Id="rId37" Type="http://schemas.openxmlformats.org/officeDocument/2006/relationships/hyperlink" Target="https://www.safercare.vic.gov.au/support-and-training/partnering-with-consumers/health-services/how-to-engage-a-consumer-representative" TargetMode="External"/><Relationship Id="rId53" Type="http://schemas.openxmlformats.org/officeDocument/2006/relationships/hyperlink" Target="https://www.safercare.vic.gov.au/councils/victorian-maternity-taskforce" TargetMode="External"/><Relationship Id="rId58" Type="http://schemas.openxmlformats.org/officeDocument/2006/relationships/hyperlink" Target="https://safercarevictoria.reach360.com/learn/course/ef75e894-7c08-4391-b624-29fad715a916" TargetMode="External"/><Relationship Id="rId74" Type="http://schemas.openxmlformats.org/officeDocument/2006/relationships/hyperlink" Target="https://www.safercare.vic.gov.au/improvement/projects/preventing-venous-thromboembolism" TargetMode="External"/><Relationship Id="rId79" Type="http://schemas.openxmlformats.org/officeDocument/2006/relationships/hyperlink" Target="https://www.safercare.vic.gov.au/sites/default/files/2026-01/SCV%20Statement%20-%20Abridged%20SAPSE%20review%20reports_Dec%202025_FINAL.pdf" TargetMode="External"/><Relationship Id="rId102" Type="http://schemas.openxmlformats.org/officeDocument/2006/relationships/hyperlink" Target="https://healthtransformation.deakin.edu.au/our-research/health-voices-victoria/" TargetMode="External"/><Relationship Id="rId5" Type="http://schemas.openxmlformats.org/officeDocument/2006/relationships/numbering" Target="numbering.xml"/><Relationship Id="rId90" Type="http://schemas.openxmlformats.org/officeDocument/2006/relationships/hyperlink" Target="https://www.safercare.vic.gov.au/best-practice-improvement/quality-improvement/toolkit" TargetMode="External"/><Relationship Id="rId95" Type="http://schemas.openxmlformats.org/officeDocument/2006/relationships/hyperlink" Target="https://www.safercare.vic.gov.au/best-practice-improvement/publications/thematic-interrogation-of-patient-complaints-in-the-state-of-victoria" TargetMode="External"/><Relationship Id="rId22" Type="http://schemas.openxmlformats.org/officeDocument/2006/relationships/footer" Target="footer6.xml"/><Relationship Id="rId27" Type="http://schemas.openxmlformats.org/officeDocument/2006/relationships/hyperlink" Target="https://www.safercare.vic.gov.au/best-practice-improvement/publications/sentinel-events-guide" TargetMode="External"/><Relationship Id="rId43" Type="http://schemas.openxmlformats.org/officeDocument/2006/relationships/hyperlink" Target="https://www.safercare.vic.gov.au/publications/concealed-blood-loss-as-a-cause-of-postoperative-deterioration-clinical-practice-point" TargetMode="External"/><Relationship Id="rId48" Type="http://schemas.openxmlformats.org/officeDocument/2006/relationships/hyperlink" Target="https://www.safercare.vic.gov.au/best-practice-improvement/clinical-guidance/non-urgent-elective-surgery/sip-til-send-fluid-fasting" TargetMode="External"/><Relationship Id="rId64" Type="http://schemas.openxmlformats.org/officeDocument/2006/relationships/hyperlink" Target="https://www.safercare.vic.gov.au/best-practice-improvement/mental-health-improvement-program/initiatives/zero-suicide-framework" TargetMode="External"/><Relationship Id="rId69" Type="http://schemas.openxmlformats.org/officeDocument/2006/relationships/hyperlink" Target="https://www.health.vic.gov.au/safescript/safescript-for-prescribers-and-pharmacists" TargetMode="External"/><Relationship Id="rId80" Type="http://schemas.openxmlformats.org/officeDocument/2006/relationships/hyperlink" Target="https://www.safercare.vic.gov.au/best-practice-improvement/publications/clinical-governance-framework" TargetMode="External"/><Relationship Id="rId85" Type="http://schemas.openxmlformats.org/officeDocument/2006/relationships/hyperlink" Target="https://www.safercare.vic.gov.au/publications/partnering-in-healthcare" TargetMode="External"/><Relationship Id="rId12" Type="http://schemas.openxmlformats.org/officeDocument/2006/relationships/footer" Target="footer1.xml"/><Relationship Id="rId17" Type="http://schemas.openxmlformats.org/officeDocument/2006/relationships/hyperlink" Target="http://www.safercare.vic" TargetMode="External"/><Relationship Id="rId33" Type="http://schemas.openxmlformats.org/officeDocument/2006/relationships/footer" Target="footer8.xml"/><Relationship Id="rId38" Type="http://schemas.openxmlformats.org/officeDocument/2006/relationships/hyperlink" Target="https://www.safercare.vic.gov.au/report-manage-issues/sentinel-events/involve-consumers-in-incident-reviews" TargetMode="External"/><Relationship Id="rId59" Type="http://schemas.openxmlformats.org/officeDocument/2006/relationships/hyperlink" Target="https://fsep.ranzcog.edu.au/" TargetMode="External"/><Relationship Id="rId103" Type="http://schemas.openxmlformats.org/officeDocument/2006/relationships/hyperlink" Target="https://www.safercare.vic.gov.au/publications/morbidity-and-mortality-meetings-framework-and-toolkit" TargetMode="External"/><Relationship Id="rId108" Type="http://schemas.openxmlformats.org/officeDocument/2006/relationships/hyperlink" Target="https://www.who.int/publications/i/item/WHO-IER-PSP-2010.2" TargetMode="External"/><Relationship Id="rId54" Type="http://schemas.openxmlformats.org/officeDocument/2006/relationships/hyperlink" Target="https://www.safercare.vic.gov.au/publications/respectful-maternity-and-newborn-care-framework" TargetMode="External"/><Relationship Id="rId70" Type="http://schemas.openxmlformats.org/officeDocument/2006/relationships/hyperlink" Target="https://www.safercare.vic.gov.au/publications/methadone-use-in-the-postoperative-setting-clinical-practice-point" TargetMode="External"/><Relationship Id="rId75" Type="http://schemas.openxmlformats.org/officeDocument/2006/relationships/hyperlink" Target="https://www.safercare.vic.gov.au/best-practice-improvement/publications/guides-to-consumer-representatives-on-adverse-event-reviews" TargetMode="External"/><Relationship Id="rId91" Type="http://schemas.openxmlformats.org/officeDocument/2006/relationships/hyperlink" Target="https://www.safetyandquality.gov.au/our-work/open-disclosure/the-open-disclosure-framework" TargetMode="External"/><Relationship Id="rId96" Type="http://schemas.openxmlformats.org/officeDocument/2006/relationships/hyperlink" Target="https://www.safercare.vic.gov.au/publications/mch-systems-focused-review-too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info@safercarevictoria.vic.gov.au" TargetMode="External"/><Relationship Id="rId23" Type="http://schemas.openxmlformats.org/officeDocument/2006/relationships/hyperlink" Target="https://forms.cloud.microsoft/pages/responsepage.aspx?id=H2DgwKwPnESciKEExOufKKKiKj4jFNJOpdpiDEyZVANUNlhBMkwyUTJERVNRQ0IzWElST1g0RVpUNC4u&amp;origin=QRCode&amp;route=shorturl" TargetMode="External"/><Relationship Id="rId28" Type="http://schemas.openxmlformats.org/officeDocument/2006/relationships/hyperlink" Target="https://www.safercare.vic.gov.au/best-practice-improvement/online-training-modules" TargetMode="External"/><Relationship Id="rId36" Type="http://schemas.openxmlformats.org/officeDocument/2006/relationships/hyperlink" Target="https://www.safercare.vic.gov.au/best-practice-improvement/publications/guides-to-consumer-representatives-on-adverse-event-reviews" TargetMode="External"/><Relationship Id="rId49" Type="http://schemas.openxmlformats.org/officeDocument/2006/relationships/hyperlink" Target="https://www.safercare.vic.gov.au/publications/morbidity-and-mortality-meetings-framework-and-toolkit" TargetMode="External"/><Relationship Id="rId57" Type="http://schemas.openxmlformats.org/officeDocument/2006/relationships/hyperlink" Target="https://www.safercare.vic.gov.au/publications/mch-systems-focused-review-tool" TargetMode="External"/><Relationship Id="rId106" Type="http://schemas.openxmlformats.org/officeDocument/2006/relationships/hyperlink" Target="https://www.safercare.vic.gov.au/report-manage-issues/managing-adverse-events" TargetMode="External"/><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hyperlink" Target="https://www.safercare.vic.gov.au/improvement/projects/reducing-picv-infections" TargetMode="External"/><Relationship Id="rId52" Type="http://schemas.openxmlformats.org/officeDocument/2006/relationships/hyperlink" Target="https://www.safercare.vic.gov.au/best-practice-improvement/clinical-guidance/maternity/maternal-sepsis" TargetMode="External"/><Relationship Id="rId60" Type="http://schemas.openxmlformats.org/officeDocument/2006/relationships/hyperlink" Target="https://ranzcog.edu.au/wp-content/uploads/Intrapartum-Fetal-Surveillance.pdf" TargetMode="External"/><Relationship Id="rId65" Type="http://schemas.openxmlformats.org/officeDocument/2006/relationships/hyperlink" Target="https://www.safetyandquality.gov.au/sites/default/files/migrated/National-Standard-for-User-Applied-Labelling-Aug-2015.pdf" TargetMode="External"/><Relationship Id="rId73" Type="http://schemas.openxmlformats.org/officeDocument/2006/relationships/hyperlink" Target="https://www.safercare.vic.gov.au/publications/pulmonary-embolism-pe-practice-points" TargetMode="External"/><Relationship Id="rId78" Type="http://schemas.openxmlformats.org/officeDocument/2006/relationships/hyperlink" Target="https://www.safercare.vic.gov.au/report-manage-issues/sentinel-events/adverse-event-review-and-response/resources-for-involving-impacted-consumers" TargetMode="External"/><Relationship Id="rId81" Type="http://schemas.openxmlformats.org/officeDocument/2006/relationships/hyperlink" Target="https://www.safercare.vic.gov.au/publications/victorian-safety-culture-guide" TargetMode="External"/><Relationship Id="rId86" Type="http://schemas.openxmlformats.org/officeDocument/2006/relationships/hyperlink" Target="https://www.safetyandquality.gov.au/data-and-measurement/safety-and-quality-measures/sentinel-events" TargetMode="External"/><Relationship Id="rId94" Type="http://schemas.openxmlformats.org/officeDocument/2006/relationships/hyperlink" Target="https://www.safercare.vic.gov.au/report-manage-issues/sentinel-events/adverse-event-review-and-response/just-culture-training-and-resources" TargetMode="External"/><Relationship Id="rId99" Type="http://schemas.openxmlformats.org/officeDocument/2006/relationships/hyperlink" Target="https://www.safercare.vic.gov.au/report-manage-issues/sentinel-events/adverse-event-review-and-response/resources-for-involving-impacted-consumers" TargetMode="External"/><Relationship Id="rId101" Type="http://schemas.openxmlformats.org/officeDocument/2006/relationships/hyperlink" Target="https://www.safercare.vic.gov.au/consumer-resources/duty-of-candour-resources-for-patients-families-and-their-carer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2.xml"/><Relationship Id="rId39" Type="http://schemas.openxmlformats.org/officeDocument/2006/relationships/hyperlink" Target="https://www.safercare.vic.gov.au/sites/default/files/2019-01/Remunerating%20consumers%20a%20guide%20for%20government.pdf" TargetMode="External"/><Relationship Id="rId109" Type="http://schemas.openxmlformats.org/officeDocument/2006/relationships/fontTable" Target="fontTable.xml"/><Relationship Id="rId34" Type="http://schemas.openxmlformats.org/officeDocument/2006/relationships/header" Target="header6.xml"/><Relationship Id="rId50" Type="http://schemas.openxmlformats.org/officeDocument/2006/relationships/hyperlink" Target="https://www.safercare.vic.gov.au/publications/considerations-for-a-two-surgeon-model-of-care-clinical-practice-point" TargetMode="External"/><Relationship Id="rId55" Type="http://schemas.openxmlformats.org/officeDocument/2006/relationships/hyperlink" Target="https://www.safercare.vic.gov.au/improvement/projects/safety-culture-in-birth-suite" TargetMode="External"/><Relationship Id="rId76" Type="http://schemas.openxmlformats.org/officeDocument/2006/relationships/hyperlink" Target="https://healthcarecomplaintsanalysis.com/" TargetMode="External"/><Relationship Id="rId97" Type="http://schemas.openxmlformats.org/officeDocument/2006/relationships/hyperlink" Target="https://www.safercare.vic.gov.au/sites/default/files/2024-09/MCH%20Systems%20Focused%20Review%20Tool%20-%20Guidance%20Document%20%285%29.pdf" TargetMode="External"/><Relationship Id="rId104" Type="http://schemas.openxmlformats.org/officeDocument/2006/relationships/hyperlink" Target="https://www.safercare.vic.gov.au/best-practice-improvement/publications/sentinel-events-guide" TargetMode="External"/><Relationship Id="rId7" Type="http://schemas.openxmlformats.org/officeDocument/2006/relationships/settings" Target="settings.xml"/><Relationship Id="rId71" Type="http://schemas.openxmlformats.org/officeDocument/2006/relationships/hyperlink" Target="https://www.safercare.vic.gov.au/publications/analgesic-stewardship-toolkit" TargetMode="External"/><Relationship Id="rId92" Type="http://schemas.openxmlformats.org/officeDocument/2006/relationships/hyperlink" Target="https://www.safercare.vic.gov.au/report-manage-issues/adverse-events/duty-of-candour" TargetMode="External"/><Relationship Id="rId2" Type="http://schemas.openxmlformats.org/officeDocument/2006/relationships/customXml" Target="../customXml/item2.xml"/><Relationship Id="rId29" Type="http://schemas.openxmlformats.org/officeDocument/2006/relationships/hyperlink" Target="https://www.safercare.vic.gov.au/report-manage-issues/managing-adverse-events" TargetMode="External"/><Relationship Id="rId24" Type="http://schemas.openxmlformats.org/officeDocument/2006/relationships/image" Target="media/image3.png"/><Relationship Id="rId40" Type="http://schemas.openxmlformats.org/officeDocument/2006/relationships/hyperlink" Target="https://www.health.vic.gov.au/planned-surgery-reform-blueprint" TargetMode="External"/><Relationship Id="rId45" Type="http://schemas.openxmlformats.org/officeDocument/2006/relationships/hyperlink" Target="https://www.safercare.vic.gov.au/improvement/projects/preventing-venous-thromboembolism" TargetMode="External"/><Relationship Id="rId66" Type="http://schemas.openxmlformats.org/officeDocument/2006/relationships/hyperlink" Target="https://www.safercare.vic.gov.au/improvement/projects/safer-medicines-at-transitions-of-care" TargetMode="External"/><Relationship Id="rId87" Type="http://schemas.openxmlformats.org/officeDocument/2006/relationships/hyperlink" Target="https://www.safercare.vic.gov.au/report-manage-issues/adverse-events/policy" TargetMode="External"/><Relationship Id="rId110" Type="http://schemas.openxmlformats.org/officeDocument/2006/relationships/theme" Target="theme/theme1.xml"/><Relationship Id="rId61" Type="http://schemas.openxmlformats.org/officeDocument/2006/relationships/hyperlink" Target="https://www.safercare.vic.gov.au/improvement/projects/safer-care-for-kids-victor" TargetMode="External"/><Relationship Id="rId82" Type="http://schemas.openxmlformats.org/officeDocument/2006/relationships/hyperlink" Target="https://www.safercare.vic.gov.au/best-practice-improvement/publications/policy-adverse-patient-safety-events" TargetMode="External"/><Relationship Id="rId19" Type="http://schemas.openxmlformats.org/officeDocument/2006/relationships/header" Target="header3.xml"/><Relationship Id="rId14" Type="http://schemas.openxmlformats.org/officeDocument/2006/relationships/footer" Target="footer3.xml"/><Relationship Id="rId30" Type="http://schemas.openxmlformats.org/officeDocument/2006/relationships/header" Target="header4.xml"/><Relationship Id="rId35" Type="http://schemas.openxmlformats.org/officeDocument/2006/relationships/footer" Target="footer9.xml"/><Relationship Id="rId56" Type="http://schemas.openxmlformats.org/officeDocument/2006/relationships/hyperlink" Target="https://www.safercare.vic.gov.au/improvement/projects/my-maternity-journey" TargetMode="External"/><Relationship Id="rId77" Type="http://schemas.openxmlformats.org/officeDocument/2006/relationships/hyperlink" Target="https://www.safercare.vic.gov.au/best-practice-improvement/publications/thematic-interrogation-of-patient-complaints-in-the-state-of-victoria" TargetMode="External"/><Relationship Id="rId100" Type="http://schemas.openxmlformats.org/officeDocument/2006/relationships/hyperlink" Target="https://www.safercare.vic.gov.au/best-practice-improvement/publications/guides-to-consumer-representatives-on-adverse-event-reviews" TargetMode="External"/><Relationship Id="rId105" Type="http://schemas.openxmlformats.org/officeDocument/2006/relationships/hyperlink" Target="https://www.safercare.vic.gov.au/sites/default/files/2023-07/Adverse%20Patient%20Safety%20Event%20guideline_Safer%20Care%20Victoria_2.pdf" TargetMode="External"/><Relationship Id="rId8" Type="http://schemas.openxmlformats.org/officeDocument/2006/relationships/webSettings" Target="webSettings.xml"/><Relationship Id="rId51" Type="http://schemas.openxmlformats.org/officeDocument/2006/relationships/hyperlink" Target="https://www.safercare.vic.gov.au/improvement/projects/national-preterm-birth-prevention-collaborative" TargetMode="External"/><Relationship Id="rId72" Type="http://schemas.openxmlformats.org/officeDocument/2006/relationships/hyperlink" Target="https://www.safercare.vic.gov.au/best-practice-improvement/clinical-guidance/venous-thromboembolism/victorian-guideline" TargetMode="External"/><Relationship Id="rId93" Type="http://schemas.openxmlformats.org/officeDocument/2006/relationships/hyperlink" Target="https://www.safercare.vic.gov.au/report-manage-issues/about-the-sentinel-events-portal" TargetMode="External"/><Relationship Id="rId98" Type="http://schemas.openxmlformats.org/officeDocument/2006/relationships/hyperlink" Target="https://www.safercare.vic.gov.au/consumer-resources/what-adverse-sentinel-events" TargetMode="External"/><Relationship Id="rId3" Type="http://schemas.openxmlformats.org/officeDocument/2006/relationships/customXml" Target="../customXml/item3.xml"/><Relationship Id="rId25" Type="http://schemas.openxmlformats.org/officeDocument/2006/relationships/hyperlink" Target="mailto:sentinel.events@safercare.vic.gov.au" TargetMode="External"/><Relationship Id="rId46" Type="http://schemas.openxmlformats.org/officeDocument/2006/relationships/hyperlink" Target="https://www.safercare.vic.gov.au/improvement/projects/discharge-optimisation-for-planned-surgery" TargetMode="External"/><Relationship Id="rId67" Type="http://schemas.openxmlformats.org/officeDocument/2006/relationships/hyperlink" Target="https://www.safetyandquality.gov.au/our-work/medicines-safety-and-quality/medication-reconciliation/national-medication-management-plan" TargetMode="External"/><Relationship Id="rId20" Type="http://schemas.openxmlformats.org/officeDocument/2006/relationships/footer" Target="footer4.xml"/><Relationship Id="rId41" Type="http://schemas.openxmlformats.org/officeDocument/2006/relationships/hyperlink" Target="https://www.safercare.vic.gov.au/publications/testicular-torsion-clinical-practice-points" TargetMode="External"/><Relationship Id="rId62" Type="http://schemas.openxmlformats.org/officeDocument/2006/relationships/hyperlink" Target="https://www.safercare.vic.gov.au/best-practice-improvement/clinical-guidance/paediatric/victor" TargetMode="External"/><Relationship Id="rId83" Type="http://schemas.openxmlformats.org/officeDocument/2006/relationships/hyperlink" Target="https://www.safercare.vic.gov.au/best-practice-improvement/publications/policy-adverse-patient-safety-events" TargetMode="External"/><Relationship Id="rId88" Type="http://schemas.openxmlformats.org/officeDocument/2006/relationships/hyperlink" Target="https://www.safercare.vic.gov.au/best-practice-improvement/publications/guides-to-consumer-representatives-on-adverse-event-reviews" TargetMode="External"/><Relationship Id="rId111"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https://tinyurl.com/37khkwn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vynq\Downloads\SCV%20report%20-%20No%20image%20-%20Arial%20font.dotx" TargetMode="External"/></Relationships>
</file>

<file path=word/documenttasks/documenttasks1.xml><?xml version="1.0" encoding="utf-8"?>
<t:Tasks xmlns:t="http://schemas.microsoft.com/office/tasks/2019/documenttasks" xmlns:oel="http://schemas.microsoft.com/office/2019/extlst">
  <t:Task id="{C2F00FFC-343A-4FC5-B83D-56074ABF8FAC}">
    <t:Anchor>
      <t:Comment id="2068526159"/>
    </t:Anchor>
    <t:History>
      <t:Event id="{7F3F8B19-6EF6-4FCF-8104-166242442A63}" time="2025-02-06T06:36:47.511Z">
        <t:Attribution userId="S::clare.kitch@safercare.vic.gov.au::6fc590d3-9cec-4d0f-88f9-18de43e16609" userProvider="AD" userName="Clare Kitch (SCV)"/>
        <t:Anchor>
          <t:Comment id="2068526159"/>
        </t:Anchor>
        <t:Create/>
      </t:Event>
      <t:Event id="{192991AD-3A64-4727-9295-CA797681C025}" time="2025-02-06T06:36:47.511Z">
        <t:Attribution userId="S::clare.kitch@safercare.vic.gov.au::6fc590d3-9cec-4d0f-88f9-18de43e16609" userProvider="AD" userName="Clare Kitch (SCV)"/>
        <t:Anchor>
          <t:Comment id="2068526159"/>
        </t:Anchor>
        <t:Assign userId="S::lanii.birks@safercare.vic.gov.au::9b253cd9-4b78-4ff6-bfed-a6294aa39be3" userProvider="AD" userName="Lanii Birks (SCV)"/>
      </t:Event>
      <t:Event id="{69BC1F56-30EF-4C51-840B-7974E22DE86E}" time="2025-02-06T06:36:47.511Z">
        <t:Attribution userId="S::clare.kitch@safercare.vic.gov.au::6fc590d3-9cec-4d0f-88f9-18de43e16609" userProvider="AD" userName="Clare Kitch (SCV)"/>
        <t:Anchor>
          <t:Comment id="2068526159"/>
        </t:Anchor>
        <t:SetTitle title="@Lanii Birks (SCV) please see additional comment for SCV will and 'Advice for Health services' to capture Shefton's feedback"/>
      </t:Event>
      <t:Event id="{7B1F052D-BD24-4446-985D-91B6973A9110}" time="2025-02-07T02:14:38.435Z">
        <t:Attribution userId="S::clare.kitch@safercare.vic.gov.au::6fc590d3-9cec-4d0f-88f9-18de43e16609" userProvider="AD" userName="Clare Kitch (SCV)"/>
        <t:Progress percentComplete="100"/>
      </t:Event>
    </t:History>
  </t:Task>
  <t:Task id="{C4DF432A-A073-4949-BAFE-EFC91BB0C8A4}">
    <t:Anchor>
      <t:Comment id="1219235488"/>
    </t:Anchor>
    <t:History>
      <t:Event id="{BB0F80AE-9AD5-4836-B614-4E1EC590FA1B}" time="2025-02-06T23:55:03.469Z">
        <t:Attribution userId="S::clare.kitch@safercare.vic.gov.au::6fc590d3-9cec-4d0f-88f9-18de43e16609" userProvider="AD" userName="Clare Kitch (SCV)"/>
        <t:Anchor>
          <t:Comment id="1219235488"/>
        </t:Anchor>
        <t:Create/>
      </t:Event>
      <t:Event id="{677746C7-3BF6-4438-9683-BB71FE63AD4A}" time="2025-02-06T23:55:03.469Z">
        <t:Attribution userId="S::clare.kitch@safercare.vic.gov.au::6fc590d3-9cec-4d0f-88f9-18de43e16609" userProvider="AD" userName="Clare Kitch (SCV)"/>
        <t:Anchor>
          <t:Comment id="1219235488"/>
        </t:Anchor>
        <t:Assign userId="S::lanii.birks@safercare.vic.gov.au::9b253cd9-4b78-4ff6-bfed-a6294aa39be3" userProvider="AD" userName="Lanii Birks (SCV)"/>
      </t:Event>
      <t:Event id="{99CE28E6-AED7-4296-8F68-77A445EAA192}" time="2025-02-06T23:55:03.469Z">
        <t:Attribution userId="S::clare.kitch@safercare.vic.gov.au::6fc590d3-9cec-4d0f-88f9-18de43e16609" userProvider="AD" userName="Clare Kitch (SCV)"/>
        <t:Anchor>
          <t:Comment id="1219235488"/>
        </t:Anchor>
        <t:SetTitle title="@Lanii Birks (SCV) this added by Robyn -? keep here or move to start,"/>
      </t:Event>
      <t:Event id="{4440ED54-D334-424E-94E9-A22BBB562E46}" time="2025-02-07T02:34:09.129Z">
        <t:Attribution userId="S::clare.kitch@safercare.vic.gov.au::6fc590d3-9cec-4d0f-88f9-18de43e16609" userProvider="AD" userName="Clare Kitch (SCV)"/>
        <t:Progress percentComplete="100"/>
      </t:Event>
    </t:History>
  </t:Task>
  <t:Task id="{EA796C32-8995-4CFE-B331-2F940D8E03F2}">
    <t:Anchor>
      <t:Comment id="1695762918"/>
    </t:Anchor>
    <t:History>
      <t:Event id="{53153FEC-3206-49D9-AD82-8CA6FE5ABB53}" time="2025-02-07T02:32:20.901Z">
        <t:Attribution userId="S::lanii.birks@safercare.vic.gov.au::9b253cd9-4b78-4ff6-bfed-a6294aa39be3" userProvider="AD" userName="Lanii Birks (SCV)"/>
        <t:Anchor>
          <t:Comment id="906735627"/>
        </t:Anchor>
        <t:Create/>
      </t:Event>
      <t:Event id="{F3B1DC9D-5705-4275-BDF5-494DADEADFD4}" time="2025-02-07T02:32:20.901Z">
        <t:Attribution userId="S::lanii.birks@safercare.vic.gov.au::9b253cd9-4b78-4ff6-bfed-a6294aa39be3" userProvider="AD" userName="Lanii Birks (SCV)"/>
        <t:Anchor>
          <t:Comment id="906735627"/>
        </t:Anchor>
        <t:Assign userId="S::clare.kitch@safercare.vic.gov.au::6fc590d3-9cec-4d0f-88f9-18de43e16609" userProvider="AD" userName="Clare Kitch (SCV)"/>
      </t:Event>
      <t:Event id="{83607D3D-ADF4-4214-9780-E25A46B181E2}" time="2025-02-07T02:32:20.901Z">
        <t:Attribution userId="S::lanii.birks@safercare.vic.gov.au::9b253cd9-4b78-4ff6-bfed-a6294aa39be3" userProvider="AD" userName="Lanii Birks (SCV)"/>
        <t:Anchor>
          <t:Comment id="906735627"/>
        </t:Anchor>
        <t:SetTitle title="…that the title of the graph directly uder this references safety culture. To cover this would just need a few lines introducing the graph and how just/safety culture are linked. We should have some sort of worded intro o all graphs. @Clare Kitch (SCV) "/>
      </t:Event>
    </t:History>
  </t:Task>
  <t:Task id="{DF1A0AA7-FB33-4CFE-AA8F-A0D449B116AF}">
    <t:Anchor>
      <t:Comment id="1197950306"/>
    </t:Anchor>
    <t:History>
      <t:Event id="{8051A13D-25C3-4E96-A1A8-8689496D9A45}" time="2025-01-15T04:05:01.08Z">
        <t:Attribution userId="S::clare.kitch@safercare.vic.gov.au::6fc590d3-9cec-4d0f-88f9-18de43e16609" userProvider="AD" userName="Clare Kitch (SCV)"/>
        <t:Anchor>
          <t:Comment id="277990631"/>
        </t:Anchor>
        <t:Create/>
      </t:Event>
      <t:Event id="{F2F1E1F7-888F-4B66-9CB6-166594A785A8}" time="2025-01-15T04:05:01.08Z">
        <t:Attribution userId="S::clare.kitch@safercare.vic.gov.au::6fc590d3-9cec-4d0f-88f9-18de43e16609" userProvider="AD" userName="Clare Kitch (SCV)"/>
        <t:Anchor>
          <t:Comment id="277990631"/>
        </t:Anchor>
        <t:Assign userId="S::william.o'sullivan@safercare.vic.gov.au::b6e983a7-9d6a-451b-89ff-6660aeadee39" userProvider="AD" userName="William O'Sullivan (SCV)"/>
      </t:Event>
      <t:Event id="{3C99E53D-E0EB-4696-943E-01F5D3D769A0}" time="2025-01-15T04:05:01.08Z">
        <t:Attribution userId="S::clare.kitch@safercare.vic.gov.au::6fc590d3-9cec-4d0f-88f9-18de43e16609" userProvider="AD" userName="Clare Kitch (SCV)"/>
        <t:Anchor>
          <t:Comment id="277990631"/>
        </t:Anchor>
        <t:SetTitle title="@William O'Sullivan (SCV)"/>
      </t:Event>
      <t:Event id="{86C38211-52A2-4027-BC4A-667F6381B56E}" time="2025-01-15T06:45:18.055Z">
        <t:Attribution userId="S::william.o'sullivan@safercare.vic.gov.au::b6e983a7-9d6a-451b-89ff-6660aeadee39" userProvider="AD" userName="William O'Sullivan (SCV)"/>
        <t:Anchor>
          <t:Comment id="529903178"/>
        </t:Anchor>
        <t:UnassignAll/>
      </t:Event>
      <t:Event id="{B9A66845-5D9F-4F03-A84D-9F0889E03831}" time="2025-01-15T06:45:18.055Z">
        <t:Attribution userId="S::william.o'sullivan@safercare.vic.gov.au::b6e983a7-9d6a-451b-89ff-6660aeadee39" userProvider="AD" userName="William O'Sullivan (SCV)"/>
        <t:Anchor>
          <t:Comment id="529903178"/>
        </t:Anchor>
        <t:Assign userId="S::clare.kitch@safercare.vic.gov.au::6fc590d3-9cec-4d0f-88f9-18de43e16609" userProvider="AD" userName="Clare Kitch (SCV)"/>
      </t:Event>
      <t:Event id="{F8D74F60-761E-4468-8FBE-324603D8D4DC}" time="2025-01-16T02:52:17.675Z">
        <t:Attribution userId="S::clare.kitch@safercare.vic.gov.au::6fc590d3-9cec-4d0f-88f9-18de43e16609" userProvider="AD" userName="Clare Kitch (SCV)"/>
        <t:Progress percentComplete="100"/>
      </t:Event>
    </t:History>
  </t:Task>
  <t:Task id="{D684799D-7A6C-4D3F-B0EF-B74F08B6972F}">
    <t:Anchor>
      <t:Comment id="1994068394"/>
    </t:Anchor>
    <t:History>
      <t:Event id="{BC727849-12B4-4BBC-A706-BA74AE245304}" time="2025-02-05T23:36:46.399Z">
        <t:Attribution userId="S::clare.kitch@safercare.vic.gov.au::6fc590d3-9cec-4d0f-88f9-18de43e16609" userProvider="AD" userName="Clare Kitch (SCV)"/>
        <t:Anchor>
          <t:Comment id="1994068394"/>
        </t:Anchor>
        <t:Create/>
      </t:Event>
      <t:Event id="{DDA1B9BC-2EBD-47EB-93B1-E666E6248461}" time="2025-02-05T23:36:46.399Z">
        <t:Attribution userId="S::clare.kitch@safercare.vic.gov.au::6fc590d3-9cec-4d0f-88f9-18de43e16609" userProvider="AD" userName="Clare Kitch (SCV)"/>
        <t:Anchor>
          <t:Comment id="1994068394"/>
        </t:Anchor>
        <t:Assign userId="S::lanii.birks@safercare.vic.gov.au::9b253cd9-4b78-4ff6-bfed-a6294aa39be3" userProvider="AD" userName="Lanii Birks (SCV)"/>
      </t:Event>
      <t:Event id="{7443F10E-D1FB-41F1-9166-21B0129C65AF}" time="2025-02-05T23:36:46.399Z">
        <t:Attribution userId="S::clare.kitch@safercare.vic.gov.au::6fc590d3-9cec-4d0f-88f9-18de43e16609" userProvider="AD" userName="Clare Kitch (SCV)"/>
        <t:Anchor>
          <t:Comment id="1994068394"/>
        </t:Anchor>
        <t:SetTitle title="@Lanii Birks (SCV) @William O'Sullivan (SCV) please see amendments to this section based on Shefton's feedback"/>
      </t:Event>
    </t:History>
  </t:Task>
  <t:Task id="{D3BA619A-B472-41A7-AF34-354E9614A418}">
    <t:Anchor>
      <t:Comment id="765650586"/>
    </t:Anchor>
    <t:History>
      <t:Event id="{C56934F6-213F-4B6E-A239-51D106512AED}" time="2025-02-05T23:35:36.908Z">
        <t:Attribution userId="S::clare.kitch@safercare.vic.gov.au::6fc590d3-9cec-4d0f-88f9-18de43e16609" userProvider="AD" userName="Clare Kitch (SCV)"/>
        <t:Anchor>
          <t:Comment id="765650586"/>
        </t:Anchor>
        <t:Create/>
      </t:Event>
      <t:Event id="{49EEB8F4-CD43-425C-9EC7-0C4F73BE1FD1}" time="2025-02-05T23:35:36.908Z">
        <t:Attribution userId="S::clare.kitch@safercare.vic.gov.au::6fc590d3-9cec-4d0f-88f9-18de43e16609" userProvider="AD" userName="Clare Kitch (SCV)"/>
        <t:Anchor>
          <t:Comment id="765650586"/>
        </t:Anchor>
        <t:Assign userId="S::lanii.birks@safercare.vic.gov.au::9b253cd9-4b78-4ff6-bfed-a6294aa39be3" userProvider="AD" userName="Lanii Birks (SCV)"/>
      </t:Event>
      <t:Event id="{08B6C719-CC35-4A37-A38B-CD09545D339D}" time="2025-02-05T23:35:36.908Z">
        <t:Attribution userId="S::clare.kitch@safercare.vic.gov.au::6fc590d3-9cec-4d0f-88f9-18de43e16609" userProvider="AD" userName="Clare Kitch (SCV)"/>
        <t:Anchor>
          <t:Comment id="765650586"/>
        </t:Anchor>
        <t:SetTitle title="@Lanii Birks (SCV) please see changes in this section based on Shefton's feedback"/>
      </t:Event>
      <t:Event id="{70305AC7-2165-4B28-ACB7-03F1C2058B30}" time="2025-02-06T23:45:31.226Z">
        <t:Attribution userId="S::clare.kitch@safercare.vic.gov.au::6fc590d3-9cec-4d0f-88f9-18de43e16609" userProvider="AD" userName="Clare Kitch (SCV)"/>
        <t:Progress percentComplete="100"/>
      </t:Event>
    </t:History>
  </t:Task>
  <t:Task id="{51B79A5B-4C2E-414D-AA0D-804860A2AEFB}">
    <t:Anchor>
      <t:Comment id="1568611332"/>
    </t:Anchor>
    <t:History>
      <t:Event id="{C39D155C-6250-4216-B0F8-F0AC71067A66}" time="2025-02-07T02:01:58.437Z">
        <t:Attribution userId="S::lanii.birks@safercare.vic.gov.au::9b253cd9-4b78-4ff6-bfed-a6294aa39be3" userProvider="AD" userName="Lanii Birks (SCV)"/>
        <t:Anchor>
          <t:Comment id="2045887899"/>
        </t:Anchor>
        <t:Create/>
      </t:Event>
      <t:Event id="{01322375-D73F-4B49-A623-F2B17D10D213}" time="2025-02-07T02:01:58.437Z">
        <t:Attribution userId="S::lanii.birks@safercare.vic.gov.au::9b253cd9-4b78-4ff6-bfed-a6294aa39be3" userProvider="AD" userName="Lanii Birks (SCV)"/>
        <t:Anchor>
          <t:Comment id="2045887899"/>
        </t:Anchor>
        <t:Assign userId="S::clare.kitch@safercare.vic.gov.au::6fc590d3-9cec-4d0f-88f9-18de43e16609" userProvider="AD" userName="Clare Kitch (SCV)"/>
      </t:Event>
      <t:Event id="{61CB741F-3153-49B1-AF29-C1AC4522FC76}" time="2025-02-07T02:01:58.437Z">
        <t:Attribution userId="S::lanii.birks@safercare.vic.gov.au::9b253cd9-4b78-4ff6-bfed-a6294aa39be3" userProvider="AD" userName="Lanii Birks (SCV)"/>
        <t:Anchor>
          <t:Comment id="2045887899"/>
        </t:Anchor>
        <t:SetTitle title="@Clare Kitch (SCV) maybe we can add as a quote in the CEO forward? "/>
      </t:Event>
      <t:Event id="{4E0D868F-ABE3-49FD-8558-8F74F990A465}" time="2025-02-07T02:11:56.342Z">
        <t:Attribution userId="S::clare.kitch@safercare.vic.gov.au::6fc590d3-9cec-4d0f-88f9-18de43e16609" userProvider="AD" userName="Clare Kitch (SCV)"/>
        <t:Progress percentComplete="100"/>
      </t:Event>
    </t:History>
  </t:Task>
  <t:Task id="{9E9E46A6-F055-45EF-8904-769B78DEBB61}">
    <t:Anchor>
      <t:Comment id="676654222"/>
    </t:Anchor>
    <t:History>
      <t:Event id="{26E15216-C4FB-4CE7-A8EA-A87A5D0928EC}" time="2025-02-06T22:42:58.651Z">
        <t:Attribution userId="S::lanii.birks@safercare.vic.gov.au::9b253cd9-4b78-4ff6-bfed-a6294aa39be3" userProvider="AD" userName="Lanii Birks (SCV)"/>
        <t:Anchor>
          <t:Comment id="487722378"/>
        </t:Anchor>
        <t:Create/>
      </t:Event>
      <t:Event id="{83DD2453-8BE8-427B-B2F7-9BD07EA3A5F8}" time="2025-02-06T22:42:58.651Z">
        <t:Attribution userId="S::lanii.birks@safercare.vic.gov.au::9b253cd9-4b78-4ff6-bfed-a6294aa39be3" userProvider="AD" userName="Lanii Birks (SCV)"/>
        <t:Anchor>
          <t:Comment id="487722378"/>
        </t:Anchor>
        <t:Assign userId="S::clare.kitch@safercare.vic.gov.au::6fc590d3-9cec-4d0f-88f9-18de43e16609" userProvider="AD" userName="Clare Kitch (SCV)"/>
      </t:Event>
      <t:Event id="{7D86DB18-3D58-4BCB-9C03-AB4A5B14E3E5}" time="2025-02-06T22:42:58.651Z">
        <t:Attribution userId="S::lanii.birks@safercare.vic.gov.au::9b253cd9-4b78-4ff6-bfed-a6294aa39be3" userProvider="AD" userName="Lanii Birks (SCV)"/>
        <t:Anchor>
          <t:Comment id="487722378"/>
        </t:Anchor>
        <t:SetTitle title="@Clare Kitch (SCV) happy to take out or leave, up to you depending on whether this was a strong point NHW wanted to make or not. "/>
      </t:Event>
      <t:Event id="{9B9D11D9-5517-4701-BABA-9588BC915D7C}" time="2025-02-06T23:41:35.821Z">
        <t:Attribution userId="S::clare.kitch@safercare.vic.gov.au::6fc590d3-9cec-4d0f-88f9-18de43e16609" userProvider="AD" userName="Clare Kitch (SCV)"/>
        <t:Progress percentComplete="100"/>
      </t:Event>
    </t:History>
  </t:Task>
  <t:Task id="{7BA7210D-CC9A-4314-BFE6-BDDAAD1AFA9E}">
    <t:Anchor>
      <t:Comment id="961208526"/>
    </t:Anchor>
    <t:History>
      <t:Event id="{2424413B-0795-4A96-A510-A729509FDA36}" time="2025-02-06T07:08:45.539Z">
        <t:Attribution userId="S::clare.kitch@safercare.vic.gov.au::6fc590d3-9cec-4d0f-88f9-18de43e16609" userProvider="AD" userName="Clare Kitch (SCV)"/>
        <t:Anchor>
          <t:Comment id="961208526"/>
        </t:Anchor>
        <t:Create/>
      </t:Event>
      <t:Event id="{60FE2023-7517-4E73-AE35-38A9E8682602}" time="2025-02-06T07:08:45.539Z">
        <t:Attribution userId="S::clare.kitch@safercare.vic.gov.au::6fc590d3-9cec-4d0f-88f9-18de43e16609" userProvider="AD" userName="Clare Kitch (SCV)"/>
        <t:Anchor>
          <t:Comment id="961208526"/>
        </t:Anchor>
        <t:Assign userId="S::lanii.birks@safercare.vic.gov.au::9b253cd9-4b78-4ff6-bfed-a6294aa39be3" userProvider="AD" userName="Lanii Birks (SCV)"/>
      </t:Event>
      <t:Event id="{242915CE-4422-478E-AD5A-C2F4A89F94F5}" time="2025-02-06T07:08:45.539Z">
        <t:Attribution userId="S::clare.kitch@safercare.vic.gov.au::6fc590d3-9cec-4d0f-88f9-18de43e16609" userProvider="AD" userName="Clare Kitch (SCV)"/>
        <t:Anchor>
          <t:Comment id="961208526"/>
        </t:Anchor>
        <t:SetTitle title="@Lanii Birks (SCV) terminology acknowledgement"/>
      </t:Event>
      <t:Event id="{6A6EFC52-A6B1-41D6-B8C4-A8ACE1C0012E}" time="2025-02-06T23:51:22.954Z">
        <t:Attribution userId="S::clare.kitch@safercare.vic.gov.au::6fc590d3-9cec-4d0f-88f9-18de43e16609" userProvider="AD" userName="Clare Kitch (SCV)"/>
        <t:Progress percentComplete="100"/>
      </t:Event>
    </t:History>
  </t:Task>
  <t:Task id="{5282B54F-8C89-4436-9C29-275A279E80EF}">
    <t:Anchor>
      <t:Comment id="743416737"/>
    </t:Anchor>
    <t:History>
      <t:Event id="{13C71576-F03D-410C-84A6-F19F0DFA8EEC}" time="2025-02-06T23:55:03.469Z">
        <t:Attribution userId="S::clare.kitch@safercare.vic.gov.au::6fc590d3-9cec-4d0f-88f9-18de43e16609" userProvider="AD" userName="Clare Kitch (SCV)"/>
        <t:Anchor>
          <t:Comment id="743416737"/>
        </t:Anchor>
        <t:Create/>
      </t:Event>
      <t:Event id="{00D4A42D-39D4-4AD9-9D81-65D919F851C4}" time="2025-02-06T23:55:03.469Z">
        <t:Attribution userId="S::clare.kitch@safercare.vic.gov.au::6fc590d3-9cec-4d0f-88f9-18de43e16609" userProvider="AD" userName="Clare Kitch (SCV)"/>
        <t:Anchor>
          <t:Comment id="743416737"/>
        </t:Anchor>
        <t:Assign userId="S::lanii.birks@safercare.vic.gov.au::9b253cd9-4b78-4ff6-bfed-a6294aa39be3" userProvider="AD" userName="Lanii Birks (SCV)"/>
      </t:Event>
      <t:Event id="{4F770C6F-0153-4F63-BCE3-5234F45418D6}" time="2025-02-06T23:55:03.469Z">
        <t:Attribution userId="S::clare.kitch@safercare.vic.gov.au::6fc590d3-9cec-4d0f-88f9-18de43e16609" userProvider="AD" userName="Clare Kitch (SCV)"/>
        <t:Anchor>
          <t:Comment id="743416737"/>
        </t:Anchor>
        <t:SetTitle title="@Lanii Birks (SCV) this added by Robyn -? keep here or move to start,"/>
      </t:Event>
      <t:Event id="{55662ECE-142C-4902-8923-0561AD60F146}" time="2025-02-07T02:34:09.129Z">
        <t:Attribution userId="S::clare.kitch@safercare.vic.gov.au::6fc590d3-9cec-4d0f-88f9-18de43e16609" userProvider="AD" userName="Clare Kitch (SCV)"/>
        <t:Progress percentComplete="100"/>
      </t:Event>
    </t:History>
  </t:Task>
  <t:Task id="{388E0A07-0964-436F-A2F7-E86D536B2851}">
    <t:Anchor>
      <t:Comment id="1568216630"/>
    </t:Anchor>
    <t:History>
      <t:Event id="{2395DEA1-5D5C-4503-8E15-FEBE9E53EA2A}" time="2025-01-15T04:02:42.785Z">
        <t:Attribution userId="S::clare.kitch@safercare.vic.gov.au::6fc590d3-9cec-4d0f-88f9-18de43e16609" userProvider="AD" userName="Clare Kitch (SCV)"/>
        <t:Anchor>
          <t:Comment id="2044027234"/>
        </t:Anchor>
        <t:Create/>
      </t:Event>
      <t:Event id="{FB9032CB-7E10-4FD7-9B31-2A2CE41E97F3}" time="2025-01-15T04:02:42.785Z">
        <t:Attribution userId="S::clare.kitch@safercare.vic.gov.au::6fc590d3-9cec-4d0f-88f9-18de43e16609" userProvider="AD" userName="Clare Kitch (SCV)"/>
        <t:Anchor>
          <t:Comment id="2044027234"/>
        </t:Anchor>
        <t:Assign userId="S::william.o'sullivan@safercare.vic.gov.au::b6e983a7-9d6a-451b-89ff-6660aeadee39" userProvider="AD" userName="William O'Sullivan (SCV)"/>
      </t:Event>
      <t:Event id="{DF282D94-4441-4C58-B9DC-41C010C1610B}" time="2025-01-15T04:02:42.785Z">
        <t:Attribution userId="S::clare.kitch@safercare.vic.gov.au::6fc590d3-9cec-4d0f-88f9-18de43e16609" userProvider="AD" userName="Clare Kitch (SCV)"/>
        <t:Anchor>
          <t:Comment id="2044027234"/>
        </t:Anchor>
        <t:SetTitle title="@William O'Sullivan (SCV)"/>
      </t:Event>
      <t:Event id="{628DE4F0-D132-4093-AC3B-D1B9ED882419}" time="2025-01-16T05:39:07.51Z">
        <t:Attribution userId="S::clare.kitch@safercare.vic.gov.au::6fc590d3-9cec-4d0f-88f9-18de43e16609" userProvider="AD" userName="Clare Kitch (SCV)"/>
        <t:Progress percentComplete="100"/>
      </t:Event>
    </t:History>
  </t:Task>
  <t:Task id="{302736A6-6684-4B0E-B53F-75704DF19D90}">
    <t:Anchor>
      <t:Comment id="136930163"/>
    </t:Anchor>
    <t:History>
      <t:Event id="{2407676D-0A1A-485E-9969-9538D41A0CD1}" time="2025-02-07T02:32:20.901Z">
        <t:Attribution userId="S::lanii.birks@safercare.vic.gov.au::9b253cd9-4b78-4ff6-bfed-a6294aa39be3" userProvider="AD" userName="Lanii Birks (SCV)"/>
        <t:Anchor>
          <t:Comment id="1402531661"/>
        </t:Anchor>
        <t:Create/>
      </t:Event>
      <t:Event id="{F3BFCEB7-DD36-4EC8-B263-C41E32F33038}" time="2025-02-07T02:32:20.901Z">
        <t:Attribution userId="S::lanii.birks@safercare.vic.gov.au::9b253cd9-4b78-4ff6-bfed-a6294aa39be3" userProvider="AD" userName="Lanii Birks (SCV)"/>
        <t:Anchor>
          <t:Comment id="1402531661"/>
        </t:Anchor>
        <t:Assign userId="S::clare.kitch@safercare.vic.gov.au::6fc590d3-9cec-4d0f-88f9-18de43e16609" userProvider="AD" userName="Clare Kitch (SCV)"/>
      </t:Event>
      <t:Event id="{D90B3F92-B3FD-4EB0-9F0B-484F1ACD5286}" time="2025-02-07T02:32:20.901Z">
        <t:Attribution userId="S::lanii.birks@safercare.vic.gov.au::9b253cd9-4b78-4ff6-bfed-a6294aa39be3" userProvider="AD" userName="Lanii Birks (SCV)"/>
        <t:Anchor>
          <t:Comment id="1402531661"/>
        </t:Anchor>
        <t:SetTitle title="…that the title of the graph directly uder this references safety culture. To cover this would just need a few lines introducing the graph and how just/safety culture are linked. We should have some sort of worded intro o all graphs. @Clare Kitch (SCV) "/>
      </t:Event>
    </t:History>
  </t:Task>
  <t:Task id="{386F7A99-C731-4D8F-9B02-47356302D294}">
    <t:Anchor>
      <t:Comment id="341633876"/>
    </t:Anchor>
    <t:History>
      <t:Event id="{01AAE1CA-AFCC-4C05-BBDE-5DAD950D5990}" time="2026-06-25T23:24:10.725Z">
        <t:Attribution userId="S::julian.ellis@safercare.vic.gov.au::f2e4b688-dbf8-4131-aaef-25a5f4d36a48" userProvider="AD" userName="Julian Ellis (SCV)"/>
        <t:Anchor>
          <t:Comment id="341633876"/>
        </t:Anchor>
        <t:Create/>
      </t:Event>
      <t:Event id="{B7D5BFEE-5CA9-42B0-86FA-E4B335A699FA}" time="2026-06-25T23:24:10.725Z">
        <t:Attribution userId="S::julian.ellis@safercare.vic.gov.au::f2e4b688-dbf8-4131-aaef-25a5f4d36a48" userProvider="AD" userName="Julian Ellis (SCV)"/>
        <t:Anchor>
          <t:Comment id="341633876"/>
        </t:Anchor>
        <t:Assign userId="S::janelle.devereux@safercare.vic.gov.au::aa93ef1e-6776-488f-97eb-f42cac693bd2" userProvider="AD" userName="Janelle Devereux (SCV)"/>
      </t:Event>
      <t:Event id="{A83FDF91-2BCE-4ECB-A5E5-0124E57B6877}" time="2026-06-25T23:24:10.725Z">
        <t:Attribution userId="S::julian.ellis@safercare.vic.gov.au::f2e4b688-dbf8-4131-aaef-25a5f4d36a48" userProvider="AD" userName="Julian Ellis (SCV)"/>
        <t:Anchor>
          <t:Comment id="341633876"/>
        </t:Anchor>
        <t:SetTitle title="…only until 30 June 2026. Preventing Venous Thromboembolism and Supporting Anticoagulation Management | Safer Care Victoria @Janelle Devereux (SCV) would it be fair to call out that the lessons learned from this piece of work will transition into DOPs?"/>
      </t:Event>
    </t:History>
  </t:Task>
  <t:Task id="{B712E1C9-D48A-481D-8AB3-26489FA4014C}">
    <t:Anchor>
      <t:Comment id="18794249"/>
    </t:Anchor>
    <t:History>
      <t:Event id="{F04EF7D4-1F4D-4481-81FF-3A17FC67414A}" time="2025-02-06T01:53:28.165Z">
        <t:Attribution userId="S::clare.kitch@safercare.vic.gov.au::6fc590d3-9cec-4d0f-88f9-18de43e16609" userProvider="AD" userName="Clare Kitch (SCV)"/>
        <t:Anchor>
          <t:Comment id="18794249"/>
        </t:Anchor>
        <t:Create/>
      </t:Event>
      <t:Event id="{CB1F3F41-D136-4D01-945E-B9640BD04CC1}" time="2025-02-06T01:53:28.165Z">
        <t:Attribution userId="S::clare.kitch@safercare.vic.gov.au::6fc590d3-9cec-4d0f-88f9-18de43e16609" userProvider="AD" userName="Clare Kitch (SCV)"/>
        <t:Anchor>
          <t:Comment id="18794249"/>
        </t:Anchor>
        <t:Assign userId="S::lanii.birks@safercare.vic.gov.au::9b253cd9-4b78-4ff6-bfed-a6294aa39be3" userProvider="AD" userName="Lanii Birks (SCV)"/>
      </t:Event>
      <t:Event id="{86D173FC-40C8-4076-9B18-FA3F46ED5866}" time="2025-02-06T01:53:28.165Z">
        <t:Attribution userId="S::clare.kitch@safercare.vic.gov.au::6fc590d3-9cec-4d0f-88f9-18de43e16609" userProvider="AD" userName="Clare Kitch (SCV)"/>
        <t:Anchor>
          <t:Comment id="18794249"/>
        </t:Anchor>
        <t:SetTitle title="@Lanii Birks (SCV) ? for inclusion"/>
      </t:Event>
      <t:Event id="{4826D22B-4768-4CE3-BA57-BB41EE349F2E}" time="2025-02-06T23:50:25.525Z">
        <t:Attribution userId="S::clare.kitch@safercare.vic.gov.au::6fc590d3-9cec-4d0f-88f9-18de43e16609" userProvider="AD" userName="Clare Kitch (SCV)"/>
        <t:Progress percentComplete="100"/>
      </t:Event>
    </t:History>
  </t:Task>
  <t:Task id="{9CA811B5-FFE9-42C7-8DB8-1538CA3B729B}">
    <t:Anchor>
      <t:Comment id="423641954"/>
    </t:Anchor>
    <t:History>
      <t:Event id="{62B96AD0-E379-49B8-B930-70CDDF66B598}" time="2026-05-28T23:31:29.619Z">
        <t:Attribution userId="S::denis.finnegan@safercare.vic.gov.au::4d96ff49-1b04-426d-9a79-064226dd022b" userProvider="AD" userName="Denis Finnegan (SCV)"/>
        <t:Anchor>
          <t:Comment id="541474399"/>
        </t:Anchor>
        <t:Create/>
      </t:Event>
      <t:Event id="{59059B60-C250-4DBB-AA5A-6236CC15C7E4}" time="2026-05-28T23:31:29.619Z">
        <t:Attribution userId="S::denis.finnegan@safercare.vic.gov.au::4d96ff49-1b04-426d-9a79-064226dd022b" userProvider="AD" userName="Denis Finnegan (SCV)"/>
        <t:Anchor>
          <t:Comment id="541474399"/>
        </t:Anchor>
        <t:Assign userId="S::liesl.oliver-burger@safercare.vic.gov.au::901e5bb4-d850-434c-b7ee-11850b2a68bb" userProvider="AD" userName="Liesl Oliver-Burger (SCV)"/>
      </t:Event>
      <t:Event id="{0F008A68-AA6E-4C3D-990F-374B94139F23}" time="2026-05-28T23:31:29.619Z">
        <t:Attribution userId="S::denis.finnegan@safercare.vic.gov.au::4d96ff49-1b04-426d-9a79-064226dd022b" userProvider="AD" userName="Denis Finnegan (SCV)"/>
        <t:Anchor>
          <t:Comment id="541474399"/>
        </t:Anchor>
        <t:SetTitle title="@Liesl Oliver-Burger (SCV) this should not be deleted. The note is for the designer to make these two lists into a text box similar to previous reports. Thanks. "/>
      </t:Event>
    </t:History>
  </t:Task>
</t:Tasks>
</file>

<file path=word/theme/theme1.xml><?xml version="1.0" encoding="utf-8"?>
<a:theme xmlns:a="http://schemas.openxmlformats.org/drawingml/2006/main" name="Office Theme">
  <a:themeElements>
    <a:clrScheme name="Safer Care Victoria">
      <a:dk1>
        <a:srgbClr val="000000"/>
      </a:dk1>
      <a:lt1>
        <a:srgbClr val="FFFFFF"/>
      </a:lt1>
      <a:dk2>
        <a:srgbClr val="007586"/>
      </a:dk2>
      <a:lt2>
        <a:srgbClr val="EDF5F7"/>
      </a:lt2>
      <a:accent1>
        <a:srgbClr val="1B242A"/>
      </a:accent1>
      <a:accent2>
        <a:srgbClr val="007586"/>
      </a:accent2>
      <a:accent3>
        <a:srgbClr val="5AB9EB"/>
      </a:accent3>
      <a:accent4>
        <a:srgbClr val="004C97"/>
      </a:accent4>
      <a:accent5>
        <a:srgbClr val="5AAA64"/>
      </a:accent5>
      <a:accent6>
        <a:srgbClr val="E6643C"/>
      </a:accent6>
      <a:hlink>
        <a:srgbClr val="004C97"/>
      </a:hlink>
      <a:folHlink>
        <a:srgbClr val="007586"/>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FDB3CCA7CE54AA42F05FDFD5130DA" ma:contentTypeVersion="20" ma:contentTypeDescription="Create a new document." ma:contentTypeScope="" ma:versionID="79c20d7a0b8fe7a8a94c5b6c51c9bb20">
  <xsd:schema xmlns:xsd="http://www.w3.org/2001/XMLSchema" xmlns:xs="http://www.w3.org/2001/XMLSchema" xmlns:p="http://schemas.microsoft.com/office/2006/metadata/properties" xmlns:ns2="6fcdb6e3-7bed-48bc-92a0-c164f79f5d9b" xmlns:ns3="7a38ff2d-9f71-4e0c-809c-63178b66e3a9" xmlns:ns4="5ce0f2b5-5be5-4508-bce9-d7011ece0659" targetNamespace="http://schemas.microsoft.com/office/2006/metadata/properties" ma:root="true" ma:fieldsID="eb0d61415f9fb532eaaf44d7ccc7febd" ns2:_="" ns3:_="" ns4:_="">
    <xsd:import namespace="6fcdb6e3-7bed-48bc-92a0-c164f79f5d9b"/>
    <xsd:import namespace="7a38ff2d-9f71-4e0c-809c-63178b66e3a9"/>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db6e3-7bed-48bc-92a0-c164f79f5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38ff2d-9f71-4e0c-809c-63178b66e3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e9c2766-7e02-40d4-85f5-0405f0cb63aa}" ma:internalName="TaxCatchAll" ma:showField="CatchAllData" ma:web="7a38ff2d-9f71-4e0c-809c-63178b66e3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cdb6e3-7bed-48bc-92a0-c164f79f5d9b">
      <Terms xmlns="http://schemas.microsoft.com/office/infopath/2007/PartnerControls"/>
    </lcf76f155ced4ddcb4097134ff3c332f>
    <Notes xmlns="6fcdb6e3-7bed-48bc-92a0-c164f79f5d9b" xsi:nil="true"/>
    <TaxCatchAll xmlns="5ce0f2b5-5be5-4508-bce9-d7011ece06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64071-3E2E-40A1-9F4E-BF03C51EE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cdb6e3-7bed-48bc-92a0-c164f79f5d9b"/>
    <ds:schemaRef ds:uri="7a38ff2d-9f71-4e0c-809c-63178b66e3a9"/>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439C66-9861-48D1-85C1-8EDD55D5858C}">
  <ds:schemaRefs>
    <ds:schemaRef ds:uri="http://schemas.openxmlformats.org/officeDocument/2006/bibliography"/>
  </ds:schemaRefs>
</ds:datastoreItem>
</file>

<file path=customXml/itemProps3.xml><?xml version="1.0" encoding="utf-8"?>
<ds:datastoreItem xmlns:ds="http://schemas.openxmlformats.org/officeDocument/2006/customXml" ds:itemID="{AA604BED-FF29-4C77-A2C9-C8DBCEC446BD}">
  <ds:schemaRefs>
    <ds:schemaRef ds:uri="http://schemas.microsoft.com/office/2006/metadata/properties"/>
    <ds:schemaRef ds:uri="http://schemas.microsoft.com/office/infopath/2007/PartnerControls"/>
    <ds:schemaRef ds:uri="6fcdb6e3-7bed-48bc-92a0-c164f79f5d9b"/>
    <ds:schemaRef ds:uri="5ce0f2b5-5be5-4508-bce9-d7011ece0659"/>
  </ds:schemaRefs>
</ds:datastoreItem>
</file>

<file path=customXml/itemProps4.xml><?xml version="1.0" encoding="utf-8"?>
<ds:datastoreItem xmlns:ds="http://schemas.openxmlformats.org/officeDocument/2006/customXml" ds:itemID="{20131504-940F-4015-BD5F-8C365108F2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C:\Users\vidvynq\Downloads\SCV report - No image - Arial font.dotx</Template>
  <TotalTime>4</TotalTime>
  <Pages>63</Pages>
  <Words>14773</Words>
  <Characters>93219</Characters>
  <Application>Microsoft Office Word</Application>
  <DocSecurity>0</DocSecurity>
  <Lines>2663</Lines>
  <Paragraphs>1963</Paragraphs>
  <ScaleCrop>false</ScaleCrop>
  <HeadingPairs>
    <vt:vector size="2" baseType="variant">
      <vt:variant>
        <vt:lpstr>Title</vt:lpstr>
      </vt:variant>
      <vt:variant>
        <vt:i4>1</vt:i4>
      </vt:variant>
    </vt:vector>
  </HeadingPairs>
  <TitlesOfParts>
    <vt:vector size="1" baseType="lpstr">
      <vt:lpstr>Sentinel events annual report 2024-25</vt:lpstr>
    </vt:vector>
  </TitlesOfParts>
  <Manager/>
  <Company>State Government of Victoria</Company>
  <LinksUpToDate>false</LinksUpToDate>
  <CharactersWithSpaces>106029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Sentinel events annual report 2024-25</dc:title>
  <dc:subject>Sentinel events annual report 2024-25</dc:subject>
  <dc:creator>Safer Care Victoria</dc:creator>
  <cp:keywords>Sentinel events, annual report, healthcare, Victoria</cp:keywords>
  <dc:description/>
  <cp:lastModifiedBy>Max Arnold (Health)</cp:lastModifiedBy>
  <cp:revision>3</cp:revision>
  <cp:lastPrinted>2026-05-12T07:33:00Z</cp:lastPrinted>
  <dcterms:created xsi:type="dcterms:W3CDTF">2026-09-21T04:07:00Z</dcterms:created>
  <dcterms:modified xsi:type="dcterms:W3CDTF">2026-09-23T06:49:00Z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0x010100F0DFDB3CCA7CE54AA42F05FDFD5130DA</vt:lpwstr>
  </property>
  <property fmtid="{D5CDD505-2E9C-101B-9397-08002B2CF9AE}" pid="4" name="MediaServiceImageTags">
    <vt:lpwstr/>
  </property>
  <property fmtid="{D5CDD505-2E9C-101B-9397-08002B2CF9AE}" pid="5" name="docLang">
    <vt:lpwstr>en</vt:lpwstr>
  </property>
  <property fmtid="{D5CDD505-2E9C-101B-9397-08002B2CF9AE}" pid="6" name="Order">
    <vt:r8>15400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ClassificationContentMarkingFooterShapeIds">
    <vt:lpwstr>64b65345,12450589,4819c2c5,15f394c6,5c0ecfb8,4a78b668,5ea58bcc,37d51b93,7299520a</vt:lpwstr>
  </property>
  <property fmtid="{D5CDD505-2E9C-101B-9397-08002B2CF9AE}" pid="14" name="ClassificationContentMarkingFooterFontProps">
    <vt:lpwstr>#000000,10,Arial Black</vt:lpwstr>
  </property>
  <property fmtid="{D5CDD505-2E9C-101B-9397-08002B2CF9AE}" pid="15" name="ClassificationContentMarkingFooterText">
    <vt:lpwstr>OFFICIAL</vt:lpwstr>
  </property>
  <property fmtid="{D5CDD505-2E9C-101B-9397-08002B2CF9AE}" pid="16" name="MSIP_Label_43e64453-338c-4f93-8a4d-0039a0a41f2a_Enabled">
    <vt:lpwstr>true</vt:lpwstr>
  </property>
  <property fmtid="{D5CDD505-2E9C-101B-9397-08002B2CF9AE}" pid="17" name="MSIP_Label_43e64453-338c-4f93-8a4d-0039a0a41f2a_SetDate">
    <vt:lpwstr>2026-09-23T06:48:56Z</vt:lpwstr>
  </property>
  <property fmtid="{D5CDD505-2E9C-101B-9397-08002B2CF9AE}" pid="18" name="MSIP_Label_43e64453-338c-4f93-8a4d-0039a0a41f2a_Method">
    <vt:lpwstr>Privileged</vt:lpwstr>
  </property>
  <property fmtid="{D5CDD505-2E9C-101B-9397-08002B2CF9AE}" pid="19" name="MSIP_Label_43e64453-338c-4f93-8a4d-0039a0a41f2a_Name">
    <vt:lpwstr>43e64453-338c-4f93-8a4d-0039a0a41f2a</vt:lpwstr>
  </property>
  <property fmtid="{D5CDD505-2E9C-101B-9397-08002B2CF9AE}" pid="20" name="MSIP_Label_43e64453-338c-4f93-8a4d-0039a0a41f2a_SiteId">
    <vt:lpwstr>c0e0601f-0fac-449c-9c88-a104c4eb9f28</vt:lpwstr>
  </property>
  <property fmtid="{D5CDD505-2E9C-101B-9397-08002B2CF9AE}" pid="21" name="MSIP_Label_43e64453-338c-4f93-8a4d-0039a0a41f2a_ActionId">
    <vt:lpwstr>b700f765-5eb0-470c-aca5-059255e1b0dd</vt:lpwstr>
  </property>
  <property fmtid="{D5CDD505-2E9C-101B-9397-08002B2CF9AE}" pid="22" name="MSIP_Label_43e64453-338c-4f93-8a4d-0039a0a41f2a_ContentBits">
    <vt:lpwstr>2</vt:lpwstr>
  </property>
  <property fmtid="{D5CDD505-2E9C-101B-9397-08002B2CF9AE}" pid="23" name="MSIP_Label_43e64453-338c-4f93-8a4d-0039a0a41f2a_Tag">
    <vt:lpwstr>50, 0, 1, 1</vt:lpwstr>
  </property>
</Properties>
</file>