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B6CB7" w14:textId="2802FB04" w:rsidR="00D15955" w:rsidRPr="00883AB8" w:rsidRDefault="00AF7CC3" w:rsidP="00D15955">
      <w:pPr>
        <w:pStyle w:val="SCVdate"/>
      </w:pPr>
      <w:r w:rsidRPr="00883AB8">
        <w:t>October 2026</w:t>
      </w:r>
    </w:p>
    <w:p w14:paraId="40265B82" w14:textId="1F73B675" w:rsidR="00C50A2B" w:rsidRPr="00B01B15" w:rsidRDefault="00D20B14" w:rsidP="00D15955">
      <w:pPr>
        <w:pStyle w:val="SCVreporttitle"/>
        <w:spacing w:before="160"/>
      </w:pPr>
      <w:r w:rsidRPr="00B01B15">
        <w:t>Credentialing and scope of clinical practice for medical and dental practitioners</w:t>
      </w:r>
    </w:p>
    <w:p w14:paraId="54FB25E4" w14:textId="77777777" w:rsidR="00C50A2B" w:rsidRPr="00883AB8" w:rsidRDefault="00E15365" w:rsidP="00C50A2B">
      <w:pPr>
        <w:pStyle w:val="SCVprotectivemarkingbelowsubtitle"/>
      </w:pPr>
      <w:fldSimple w:instr=" FILLIN  &quot;Type the protective marking&quot; \d OFFICIAL \o  \* MERGEFORMAT ">
        <w:r w:rsidRPr="00883AB8">
          <w:t>OFFICIAL</w:t>
        </w:r>
      </w:fldSimple>
    </w:p>
    <w:p w14:paraId="37FFE881" w14:textId="77777777" w:rsidR="009A35AA" w:rsidRPr="00883AB8" w:rsidRDefault="009A35AA" w:rsidP="00A46288">
      <w:pPr>
        <w:pStyle w:val="NoSpacing"/>
      </w:pPr>
    </w:p>
    <w:p w14:paraId="6F877161" w14:textId="77777777" w:rsidR="00A46288" w:rsidRPr="00883AB8" w:rsidRDefault="00A46288" w:rsidP="00A45CB0">
      <w:pPr>
        <w:pStyle w:val="SCVbody"/>
        <w:sectPr w:rsidR="00A46288" w:rsidRPr="00883AB8" w:rsidSect="00D15955">
          <w:headerReference w:type="default" r:id="rId11"/>
          <w:footerReference w:type="even" r:id="rId12"/>
          <w:footerReference w:type="default" r:id="rId13"/>
          <w:pgSz w:w="11906" w:h="16838" w:code="9"/>
          <w:pgMar w:top="4536" w:right="3402" w:bottom="1361" w:left="851" w:header="454" w:footer="454" w:gutter="0"/>
          <w:cols w:space="284"/>
          <w:docGrid w:linePitch="360"/>
        </w:sectPr>
      </w:pPr>
    </w:p>
    <w:tbl>
      <w:tblPr>
        <w:tblStyle w:val="SCVInformationTable"/>
        <w:tblW w:w="10206" w:type="dxa"/>
        <w:tblLook w:val="0600" w:firstRow="0" w:lastRow="0" w:firstColumn="0" w:lastColumn="0" w:noHBand="1" w:noVBand="1"/>
      </w:tblPr>
      <w:tblGrid>
        <w:gridCol w:w="10206"/>
      </w:tblGrid>
      <w:tr w:rsidR="00B556E1" w:rsidRPr="00883AB8" w14:paraId="6898460A" w14:textId="77777777" w:rsidTr="009A35AA">
        <w:trPr>
          <w:trHeight w:val="6387"/>
        </w:trPr>
        <w:tc>
          <w:tcPr>
            <w:tcW w:w="9070" w:type="dxa"/>
            <w:shd w:val="clear" w:color="auto" w:fill="auto"/>
          </w:tcPr>
          <w:p w14:paraId="3A15923F" w14:textId="77777777" w:rsidR="00B556E1" w:rsidRPr="00883AB8" w:rsidRDefault="00B556E1" w:rsidP="00A45CB0">
            <w:pPr>
              <w:pStyle w:val="SCVaccessibilitypara"/>
            </w:pPr>
          </w:p>
        </w:tc>
      </w:tr>
      <w:tr w:rsidR="00C539DC" w:rsidRPr="00883AB8" w14:paraId="1F9421D0" w14:textId="77777777" w:rsidTr="00B37FF8">
        <w:trPr>
          <w:cantSplit/>
          <w:trHeight w:val="3969"/>
        </w:trPr>
        <w:tc>
          <w:tcPr>
            <w:tcW w:w="9070" w:type="dxa"/>
          </w:tcPr>
          <w:p w14:paraId="34C3CE97" w14:textId="77777777" w:rsidR="00C539DC" w:rsidRPr="00883AB8" w:rsidRDefault="00C539DC" w:rsidP="00A45CB0">
            <w:pPr>
              <w:pStyle w:val="SCVaccessibilitypara"/>
            </w:pPr>
            <w:r w:rsidRPr="00883AB8">
              <w:t xml:space="preserve">To receive this publication in an accessible format </w:t>
            </w:r>
            <w:hyperlink r:id="rId14" w:history="1">
              <w:r w:rsidRPr="00883AB8">
                <w:rPr>
                  <w:rStyle w:val="Hyperlink"/>
                </w:rPr>
                <w:t>email Safer Care Victoria</w:t>
              </w:r>
            </w:hyperlink>
            <w:r w:rsidRPr="00883AB8">
              <w:t xml:space="preserve"> </w:t>
            </w:r>
            <w:r w:rsidR="00D662E0" w:rsidRPr="00883AB8">
              <w:t>&lt;</w:t>
            </w:r>
            <w:r w:rsidR="00947A0F" w:rsidRPr="00883AB8">
              <w:t>info@</w:t>
            </w:r>
            <w:hyperlink r:id="rId15" w:history="1">
              <w:r w:rsidRPr="00883AB8">
                <w:t>safercare.vic</w:t>
              </w:r>
            </w:hyperlink>
            <w:r w:rsidRPr="00883AB8">
              <w:t>.gov.au</w:t>
            </w:r>
            <w:r w:rsidR="00D662E0" w:rsidRPr="00883AB8">
              <w:t>&gt;</w:t>
            </w:r>
          </w:p>
          <w:p w14:paraId="56D95258" w14:textId="77777777" w:rsidR="00C539DC" w:rsidRPr="00883AB8" w:rsidRDefault="00C539DC" w:rsidP="00B37FF8">
            <w:pPr>
              <w:pStyle w:val="SCVimprint"/>
            </w:pPr>
            <w:r w:rsidRPr="00883AB8">
              <w:t xml:space="preserve">Authorised and </w:t>
            </w:r>
            <w:r w:rsidRPr="00883AB8">
              <w:rPr>
                <w:spacing w:val="-2"/>
              </w:rPr>
              <w:t>published by the Victorian</w:t>
            </w:r>
            <w:r w:rsidRPr="00883AB8">
              <w:t xml:space="preserve"> Government, 1 Treasury Place, Melbourne.</w:t>
            </w:r>
          </w:p>
          <w:p w14:paraId="6A38CB7D" w14:textId="3F805A97" w:rsidR="00C539DC" w:rsidRPr="00883AB8" w:rsidRDefault="00C539DC" w:rsidP="00B37FF8">
            <w:pPr>
              <w:pStyle w:val="SCVimprint"/>
            </w:pPr>
            <w:r w:rsidRPr="00883AB8">
              <w:t xml:space="preserve">© State of Victoria, Australia, Safer Care Victoria, </w:t>
            </w:r>
            <w:r w:rsidR="008412FD" w:rsidRPr="00883AB8">
              <w:t>October 2026</w:t>
            </w:r>
          </w:p>
          <w:p w14:paraId="1FE36C3A" w14:textId="4CEA3522" w:rsidR="00C539DC" w:rsidRPr="00883AB8" w:rsidRDefault="00C539DC" w:rsidP="00B37FF8">
            <w:pPr>
              <w:pStyle w:val="SCVimprint"/>
            </w:pPr>
            <w:r w:rsidRPr="00883AB8">
              <w:t>ISBN</w:t>
            </w:r>
            <w:r w:rsidR="00270CF7" w:rsidRPr="00883AB8">
              <w:t xml:space="preserve"> 978-1-76069-475-3 (pdf/online/MS word)</w:t>
            </w:r>
          </w:p>
          <w:p w14:paraId="72BBC389" w14:textId="77777777" w:rsidR="00C539DC" w:rsidRPr="00883AB8" w:rsidRDefault="00C539DC" w:rsidP="00B37FF8">
            <w:pPr>
              <w:pStyle w:val="SCVimprint"/>
            </w:pPr>
            <w:r w:rsidRPr="00883AB8">
              <w:t xml:space="preserve">Available at the </w:t>
            </w:r>
            <w:hyperlink r:id="rId16" w:history="1">
              <w:r w:rsidRPr="00883AB8">
                <w:rPr>
                  <w:rStyle w:val="Hyperlink"/>
                </w:rPr>
                <w:t>Safer Care Victoria website</w:t>
              </w:r>
            </w:hyperlink>
            <w:r w:rsidRPr="00883AB8">
              <w:t xml:space="preserve"> </w:t>
            </w:r>
            <w:r w:rsidR="00D662E0" w:rsidRPr="00883AB8">
              <w:t>&lt;</w:t>
            </w:r>
            <w:r w:rsidRPr="00883AB8">
              <w:t>https://</w:t>
            </w:r>
            <w:hyperlink r:id="rId17" w:history="1">
              <w:r w:rsidRPr="00883AB8">
                <w:t>www.safercare.vic</w:t>
              </w:r>
            </w:hyperlink>
            <w:r w:rsidRPr="00883AB8">
              <w:t>.gov.au</w:t>
            </w:r>
            <w:r w:rsidR="00D662E0" w:rsidRPr="00883AB8">
              <w:t>&gt;</w:t>
            </w:r>
          </w:p>
          <w:p w14:paraId="28495023" w14:textId="77777777" w:rsidR="00C539DC" w:rsidRPr="00883AB8" w:rsidRDefault="00C539DC" w:rsidP="00205C68">
            <w:pPr>
              <w:pStyle w:val="SCVbody"/>
              <w:jc w:val="right"/>
            </w:pPr>
            <w:r w:rsidRPr="00883AB8">
              <w:rPr>
                <w:noProof/>
              </w:rPr>
              <w:drawing>
                <wp:inline distT="0" distB="0" distL="0" distR="0" wp14:anchorId="2F4E95AF" wp14:editId="74D125E0">
                  <wp:extent cx="795600" cy="453600"/>
                  <wp:effectExtent l="0" t="0" r="5080" b="3810"/>
                  <wp:docPr id="16" name="Picture 16" descr="Victoria State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Victoria State Governmen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95600" cy="453600"/>
                          </a:xfrm>
                          <a:prstGeom prst="rect">
                            <a:avLst/>
                          </a:prstGeom>
                        </pic:spPr>
                      </pic:pic>
                    </a:graphicData>
                  </a:graphic>
                </wp:inline>
              </w:drawing>
            </w:r>
          </w:p>
        </w:tc>
      </w:tr>
    </w:tbl>
    <w:p w14:paraId="10E1ECE6" w14:textId="77777777" w:rsidR="0086277A" w:rsidRPr="00883AB8" w:rsidRDefault="0086277A" w:rsidP="00A45CB0">
      <w:pPr>
        <w:pStyle w:val="SCVbody"/>
      </w:pPr>
    </w:p>
    <w:p w14:paraId="464A0035" w14:textId="77777777" w:rsidR="0086277A" w:rsidRPr="00883AB8" w:rsidRDefault="0086277A" w:rsidP="00A45CB0">
      <w:pPr>
        <w:pStyle w:val="SCVbody"/>
        <w:sectPr w:rsidR="0086277A" w:rsidRPr="00883AB8" w:rsidSect="00616087">
          <w:headerReference w:type="even" r:id="rId19"/>
          <w:headerReference w:type="default" r:id="rId20"/>
          <w:footerReference w:type="even" r:id="rId21"/>
          <w:footerReference w:type="default" r:id="rId22"/>
          <w:headerReference w:type="first" r:id="rId23"/>
          <w:footerReference w:type="first" r:id="rId24"/>
          <w:pgSz w:w="11906" w:h="16838" w:code="9"/>
          <w:pgMar w:top="3402" w:right="851" w:bottom="1361" w:left="851" w:header="851" w:footer="851" w:gutter="0"/>
          <w:pgNumType w:fmt="lowerRoman"/>
          <w:cols w:space="284"/>
          <w:docGrid w:linePitch="360"/>
        </w:sectPr>
      </w:pPr>
    </w:p>
    <w:sdt>
      <w:sdtPr>
        <w:rPr>
          <w:rFonts w:asciiTheme="minorHAnsi" w:eastAsiaTheme="minorEastAsia" w:hAnsiTheme="minorHAnsi" w:cstheme="minorBidi"/>
          <w:color w:val="auto"/>
          <w:spacing w:val="0"/>
          <w:sz w:val="20"/>
          <w:szCs w:val="20"/>
        </w:rPr>
        <w:id w:val="848373699"/>
        <w:docPartObj>
          <w:docPartGallery w:val="Table of Contents"/>
          <w:docPartUnique/>
        </w:docPartObj>
      </w:sdtPr>
      <w:sdtEndPr>
        <w:rPr>
          <w:b/>
          <w:bCs/>
        </w:rPr>
      </w:sdtEndPr>
      <w:sdtContent>
        <w:p w14:paraId="50A5829F" w14:textId="1386110C" w:rsidR="006034F7" w:rsidRPr="00883AB8" w:rsidRDefault="006034F7">
          <w:pPr>
            <w:pStyle w:val="TOCHeading"/>
          </w:pPr>
          <w:r w:rsidRPr="00883AB8">
            <w:t>Contents</w:t>
          </w:r>
        </w:p>
        <w:p w14:paraId="7617BB65" w14:textId="67F6E1C0" w:rsidR="002B7156" w:rsidRDefault="006034F7">
          <w:pPr>
            <w:pStyle w:val="TOC2"/>
            <w:rPr>
              <w:rFonts w:asciiTheme="minorHAnsi" w:hAnsiTheme="minorHAnsi"/>
              <w:bCs w:val="0"/>
              <w:color w:val="auto"/>
              <w:kern w:val="2"/>
              <w:sz w:val="24"/>
              <w:szCs w:val="24"/>
              <w14:ligatures w14:val="standardContextual"/>
            </w:rPr>
          </w:pPr>
          <w:r w:rsidRPr="00883AB8">
            <w:rPr>
              <w:noProof w:val="0"/>
            </w:rPr>
            <w:fldChar w:fldCharType="begin"/>
          </w:r>
          <w:r w:rsidRPr="00883AB8">
            <w:rPr>
              <w:noProof w:val="0"/>
            </w:rPr>
            <w:instrText xml:space="preserve"> TOC \o "1-3" \h \z \u </w:instrText>
          </w:r>
          <w:r w:rsidRPr="00883AB8">
            <w:rPr>
              <w:noProof w:val="0"/>
            </w:rPr>
            <w:fldChar w:fldCharType="separate"/>
          </w:r>
          <w:hyperlink w:anchor="_Toc244012551" w:history="1">
            <w:r w:rsidR="002B7156" w:rsidRPr="00ED1A61">
              <w:rPr>
                <w:rStyle w:val="Hyperlink"/>
              </w:rPr>
              <w:t>Purpose</w:t>
            </w:r>
            <w:r w:rsidR="002B7156">
              <w:rPr>
                <w:webHidden/>
              </w:rPr>
              <w:tab/>
            </w:r>
            <w:r w:rsidR="002B7156">
              <w:rPr>
                <w:webHidden/>
              </w:rPr>
              <w:fldChar w:fldCharType="begin"/>
            </w:r>
            <w:r w:rsidR="002B7156">
              <w:rPr>
                <w:webHidden/>
              </w:rPr>
              <w:instrText xml:space="preserve"> PAGEREF _Toc244012551 \h </w:instrText>
            </w:r>
            <w:r w:rsidR="002B7156">
              <w:rPr>
                <w:webHidden/>
              </w:rPr>
            </w:r>
            <w:r w:rsidR="002B7156">
              <w:rPr>
                <w:webHidden/>
              </w:rPr>
              <w:fldChar w:fldCharType="separate"/>
            </w:r>
            <w:r w:rsidR="002B7156">
              <w:rPr>
                <w:webHidden/>
              </w:rPr>
              <w:t>3</w:t>
            </w:r>
            <w:r w:rsidR="002B7156">
              <w:rPr>
                <w:webHidden/>
              </w:rPr>
              <w:fldChar w:fldCharType="end"/>
            </w:r>
          </w:hyperlink>
        </w:p>
        <w:p w14:paraId="077D12DF" w14:textId="6F64A9C3" w:rsidR="002B7156" w:rsidRDefault="002B7156">
          <w:pPr>
            <w:pStyle w:val="TOC2"/>
            <w:rPr>
              <w:rFonts w:asciiTheme="minorHAnsi" w:hAnsiTheme="minorHAnsi"/>
              <w:bCs w:val="0"/>
              <w:color w:val="auto"/>
              <w:kern w:val="2"/>
              <w:sz w:val="24"/>
              <w:szCs w:val="24"/>
              <w14:ligatures w14:val="standardContextual"/>
            </w:rPr>
          </w:pPr>
          <w:hyperlink w:anchor="_Toc244012552" w:history="1">
            <w:r w:rsidRPr="00ED1A61">
              <w:rPr>
                <w:rStyle w:val="Hyperlink"/>
              </w:rPr>
              <w:t>Target audience</w:t>
            </w:r>
            <w:r>
              <w:rPr>
                <w:webHidden/>
              </w:rPr>
              <w:tab/>
            </w:r>
            <w:r>
              <w:rPr>
                <w:webHidden/>
              </w:rPr>
              <w:fldChar w:fldCharType="begin"/>
            </w:r>
            <w:r>
              <w:rPr>
                <w:webHidden/>
              </w:rPr>
              <w:instrText xml:space="preserve"> PAGEREF _Toc244012552 \h </w:instrText>
            </w:r>
            <w:r>
              <w:rPr>
                <w:webHidden/>
              </w:rPr>
            </w:r>
            <w:r>
              <w:rPr>
                <w:webHidden/>
              </w:rPr>
              <w:fldChar w:fldCharType="separate"/>
            </w:r>
            <w:r>
              <w:rPr>
                <w:webHidden/>
              </w:rPr>
              <w:t>3</w:t>
            </w:r>
            <w:r>
              <w:rPr>
                <w:webHidden/>
              </w:rPr>
              <w:fldChar w:fldCharType="end"/>
            </w:r>
          </w:hyperlink>
        </w:p>
        <w:p w14:paraId="6449AE2E" w14:textId="16D4D55B" w:rsidR="002B7156" w:rsidRDefault="002B7156">
          <w:pPr>
            <w:pStyle w:val="TOC2"/>
            <w:rPr>
              <w:rFonts w:asciiTheme="minorHAnsi" w:hAnsiTheme="minorHAnsi"/>
              <w:bCs w:val="0"/>
              <w:color w:val="auto"/>
              <w:kern w:val="2"/>
              <w:sz w:val="24"/>
              <w:szCs w:val="24"/>
              <w14:ligatures w14:val="standardContextual"/>
            </w:rPr>
          </w:pPr>
          <w:hyperlink w:anchor="_Toc244012553" w:history="1">
            <w:r w:rsidRPr="00ED1A61">
              <w:rPr>
                <w:rStyle w:val="Hyperlink"/>
              </w:rPr>
              <w:t>Background</w:t>
            </w:r>
            <w:r>
              <w:rPr>
                <w:webHidden/>
              </w:rPr>
              <w:tab/>
            </w:r>
            <w:r>
              <w:rPr>
                <w:webHidden/>
              </w:rPr>
              <w:fldChar w:fldCharType="begin"/>
            </w:r>
            <w:r>
              <w:rPr>
                <w:webHidden/>
              </w:rPr>
              <w:instrText xml:space="preserve"> PAGEREF _Toc244012553 \h </w:instrText>
            </w:r>
            <w:r>
              <w:rPr>
                <w:webHidden/>
              </w:rPr>
            </w:r>
            <w:r>
              <w:rPr>
                <w:webHidden/>
              </w:rPr>
              <w:fldChar w:fldCharType="separate"/>
            </w:r>
            <w:r>
              <w:rPr>
                <w:webHidden/>
              </w:rPr>
              <w:t>4</w:t>
            </w:r>
            <w:r>
              <w:rPr>
                <w:webHidden/>
              </w:rPr>
              <w:fldChar w:fldCharType="end"/>
            </w:r>
          </w:hyperlink>
        </w:p>
        <w:p w14:paraId="79AC0B40" w14:textId="57E69C84" w:rsidR="002B7156" w:rsidRDefault="002B7156">
          <w:pPr>
            <w:pStyle w:val="TOC2"/>
            <w:rPr>
              <w:rFonts w:asciiTheme="minorHAnsi" w:hAnsiTheme="minorHAnsi"/>
              <w:bCs w:val="0"/>
              <w:color w:val="auto"/>
              <w:kern w:val="2"/>
              <w:sz w:val="24"/>
              <w:szCs w:val="24"/>
              <w14:ligatures w14:val="standardContextual"/>
            </w:rPr>
          </w:pPr>
          <w:hyperlink w:anchor="_Toc244012554" w:history="1">
            <w:r w:rsidRPr="00ED1A61">
              <w:rPr>
                <w:rStyle w:val="Hyperlink"/>
              </w:rPr>
              <w:t>Policy</w:t>
            </w:r>
            <w:r>
              <w:rPr>
                <w:webHidden/>
              </w:rPr>
              <w:tab/>
            </w:r>
            <w:r>
              <w:rPr>
                <w:webHidden/>
              </w:rPr>
              <w:fldChar w:fldCharType="begin"/>
            </w:r>
            <w:r>
              <w:rPr>
                <w:webHidden/>
              </w:rPr>
              <w:instrText xml:space="preserve"> PAGEREF _Toc244012554 \h </w:instrText>
            </w:r>
            <w:r>
              <w:rPr>
                <w:webHidden/>
              </w:rPr>
            </w:r>
            <w:r>
              <w:rPr>
                <w:webHidden/>
              </w:rPr>
              <w:fldChar w:fldCharType="separate"/>
            </w:r>
            <w:r>
              <w:rPr>
                <w:webHidden/>
              </w:rPr>
              <w:t>4</w:t>
            </w:r>
            <w:r>
              <w:rPr>
                <w:webHidden/>
              </w:rPr>
              <w:fldChar w:fldCharType="end"/>
            </w:r>
          </w:hyperlink>
        </w:p>
        <w:p w14:paraId="58388FB5" w14:textId="77D4AEA8" w:rsidR="002B7156" w:rsidRDefault="002B7156">
          <w:pPr>
            <w:pStyle w:val="TOC2"/>
            <w:rPr>
              <w:rFonts w:asciiTheme="minorHAnsi" w:hAnsiTheme="minorHAnsi"/>
              <w:bCs w:val="0"/>
              <w:color w:val="auto"/>
              <w:kern w:val="2"/>
              <w:sz w:val="24"/>
              <w:szCs w:val="24"/>
              <w14:ligatures w14:val="standardContextual"/>
            </w:rPr>
          </w:pPr>
          <w:hyperlink w:anchor="_Toc244012555" w:history="1">
            <w:r w:rsidRPr="00ED1A61">
              <w:rPr>
                <w:rStyle w:val="Hyperlink"/>
              </w:rPr>
              <w:t>Governance and process</w:t>
            </w:r>
            <w:r>
              <w:rPr>
                <w:webHidden/>
              </w:rPr>
              <w:tab/>
            </w:r>
            <w:r>
              <w:rPr>
                <w:webHidden/>
              </w:rPr>
              <w:fldChar w:fldCharType="begin"/>
            </w:r>
            <w:r>
              <w:rPr>
                <w:webHidden/>
              </w:rPr>
              <w:instrText xml:space="preserve"> PAGEREF _Toc244012555 \h </w:instrText>
            </w:r>
            <w:r>
              <w:rPr>
                <w:webHidden/>
              </w:rPr>
            </w:r>
            <w:r>
              <w:rPr>
                <w:webHidden/>
              </w:rPr>
              <w:fldChar w:fldCharType="separate"/>
            </w:r>
            <w:r>
              <w:rPr>
                <w:webHidden/>
              </w:rPr>
              <w:t>4</w:t>
            </w:r>
            <w:r>
              <w:rPr>
                <w:webHidden/>
              </w:rPr>
              <w:fldChar w:fldCharType="end"/>
            </w:r>
          </w:hyperlink>
        </w:p>
        <w:p w14:paraId="0CEDFD88" w14:textId="0C7424CF" w:rsidR="002B7156" w:rsidRDefault="002B7156">
          <w:pPr>
            <w:pStyle w:val="TOC2"/>
            <w:rPr>
              <w:rFonts w:asciiTheme="minorHAnsi" w:hAnsiTheme="minorHAnsi"/>
              <w:bCs w:val="0"/>
              <w:color w:val="auto"/>
              <w:kern w:val="2"/>
              <w:sz w:val="24"/>
              <w:szCs w:val="24"/>
              <w14:ligatures w14:val="standardContextual"/>
            </w:rPr>
          </w:pPr>
          <w:hyperlink w:anchor="_Toc244012556" w:history="1">
            <w:r w:rsidRPr="00ED1A61">
              <w:rPr>
                <w:rStyle w:val="Hyperlink"/>
              </w:rPr>
              <w:t>Roles and responsibilities</w:t>
            </w:r>
            <w:r>
              <w:rPr>
                <w:webHidden/>
              </w:rPr>
              <w:tab/>
            </w:r>
            <w:r>
              <w:rPr>
                <w:webHidden/>
              </w:rPr>
              <w:fldChar w:fldCharType="begin"/>
            </w:r>
            <w:r>
              <w:rPr>
                <w:webHidden/>
              </w:rPr>
              <w:instrText xml:space="preserve"> PAGEREF _Toc244012556 \h </w:instrText>
            </w:r>
            <w:r>
              <w:rPr>
                <w:webHidden/>
              </w:rPr>
            </w:r>
            <w:r>
              <w:rPr>
                <w:webHidden/>
              </w:rPr>
              <w:fldChar w:fldCharType="separate"/>
            </w:r>
            <w:r>
              <w:rPr>
                <w:webHidden/>
              </w:rPr>
              <w:t>6</w:t>
            </w:r>
            <w:r>
              <w:rPr>
                <w:webHidden/>
              </w:rPr>
              <w:fldChar w:fldCharType="end"/>
            </w:r>
          </w:hyperlink>
        </w:p>
        <w:p w14:paraId="2123F7AA" w14:textId="5AE02637" w:rsidR="002B7156" w:rsidRPr="002B7156" w:rsidRDefault="002B7156">
          <w:pPr>
            <w:pStyle w:val="TOC3"/>
            <w:rPr>
              <w:rFonts w:asciiTheme="minorHAnsi" w:hAnsiTheme="minorHAnsi"/>
              <w:b w:val="0"/>
              <w:bCs/>
              <w:color w:val="auto"/>
              <w:kern w:val="2"/>
              <w:sz w:val="24"/>
              <w:szCs w:val="24"/>
              <w14:ligatures w14:val="standardContextual"/>
            </w:rPr>
          </w:pPr>
          <w:hyperlink w:anchor="_Toc244012557" w:history="1">
            <w:r w:rsidRPr="002B7156">
              <w:rPr>
                <w:rStyle w:val="Hyperlink"/>
                <w:b w:val="0"/>
                <w:bCs/>
              </w:rPr>
              <w:t>The health service board</w:t>
            </w:r>
            <w:r w:rsidRPr="002B7156">
              <w:rPr>
                <w:b w:val="0"/>
                <w:bCs/>
                <w:webHidden/>
              </w:rPr>
              <w:tab/>
            </w:r>
            <w:r w:rsidRPr="002B7156">
              <w:rPr>
                <w:b w:val="0"/>
                <w:bCs/>
                <w:webHidden/>
              </w:rPr>
              <w:fldChar w:fldCharType="begin"/>
            </w:r>
            <w:r w:rsidRPr="002B7156">
              <w:rPr>
                <w:b w:val="0"/>
                <w:bCs/>
                <w:webHidden/>
              </w:rPr>
              <w:instrText xml:space="preserve"> PAGEREF _Toc244012557 \h </w:instrText>
            </w:r>
            <w:r w:rsidRPr="002B7156">
              <w:rPr>
                <w:b w:val="0"/>
                <w:bCs/>
                <w:webHidden/>
              </w:rPr>
            </w:r>
            <w:r w:rsidRPr="002B7156">
              <w:rPr>
                <w:b w:val="0"/>
                <w:bCs/>
                <w:webHidden/>
              </w:rPr>
              <w:fldChar w:fldCharType="separate"/>
            </w:r>
            <w:r w:rsidRPr="002B7156">
              <w:rPr>
                <w:b w:val="0"/>
                <w:bCs/>
                <w:webHidden/>
              </w:rPr>
              <w:t>6</w:t>
            </w:r>
            <w:r w:rsidRPr="002B7156">
              <w:rPr>
                <w:b w:val="0"/>
                <w:bCs/>
                <w:webHidden/>
              </w:rPr>
              <w:fldChar w:fldCharType="end"/>
            </w:r>
          </w:hyperlink>
        </w:p>
        <w:p w14:paraId="7BE10381" w14:textId="440092D0" w:rsidR="002B7156" w:rsidRPr="002B7156" w:rsidRDefault="002B7156">
          <w:pPr>
            <w:pStyle w:val="TOC3"/>
            <w:rPr>
              <w:rFonts w:asciiTheme="minorHAnsi" w:hAnsiTheme="minorHAnsi"/>
              <w:b w:val="0"/>
              <w:bCs/>
              <w:color w:val="auto"/>
              <w:kern w:val="2"/>
              <w:sz w:val="24"/>
              <w:szCs w:val="24"/>
              <w14:ligatures w14:val="standardContextual"/>
            </w:rPr>
          </w:pPr>
          <w:hyperlink w:anchor="_Toc244012558" w:history="1">
            <w:r w:rsidRPr="002B7156">
              <w:rPr>
                <w:rStyle w:val="Hyperlink"/>
                <w:b w:val="0"/>
                <w:bCs/>
              </w:rPr>
              <w:t>The health service CEO (or equivalent)</w:t>
            </w:r>
            <w:r w:rsidRPr="002B7156">
              <w:rPr>
                <w:b w:val="0"/>
                <w:bCs/>
                <w:webHidden/>
              </w:rPr>
              <w:tab/>
            </w:r>
            <w:r w:rsidRPr="002B7156">
              <w:rPr>
                <w:b w:val="0"/>
                <w:bCs/>
                <w:webHidden/>
              </w:rPr>
              <w:fldChar w:fldCharType="begin"/>
            </w:r>
            <w:r w:rsidRPr="002B7156">
              <w:rPr>
                <w:b w:val="0"/>
                <w:bCs/>
                <w:webHidden/>
              </w:rPr>
              <w:instrText xml:space="preserve"> PAGEREF _Toc244012558 \h </w:instrText>
            </w:r>
            <w:r w:rsidRPr="002B7156">
              <w:rPr>
                <w:b w:val="0"/>
                <w:bCs/>
                <w:webHidden/>
              </w:rPr>
            </w:r>
            <w:r w:rsidRPr="002B7156">
              <w:rPr>
                <w:b w:val="0"/>
                <w:bCs/>
                <w:webHidden/>
              </w:rPr>
              <w:fldChar w:fldCharType="separate"/>
            </w:r>
            <w:r w:rsidRPr="002B7156">
              <w:rPr>
                <w:b w:val="0"/>
                <w:bCs/>
                <w:webHidden/>
              </w:rPr>
              <w:t>6</w:t>
            </w:r>
            <w:r w:rsidRPr="002B7156">
              <w:rPr>
                <w:b w:val="0"/>
                <w:bCs/>
                <w:webHidden/>
              </w:rPr>
              <w:fldChar w:fldCharType="end"/>
            </w:r>
          </w:hyperlink>
        </w:p>
        <w:p w14:paraId="02506866" w14:textId="4259857A" w:rsidR="002B7156" w:rsidRPr="002B7156" w:rsidRDefault="002B7156">
          <w:pPr>
            <w:pStyle w:val="TOC3"/>
            <w:rPr>
              <w:rFonts w:asciiTheme="minorHAnsi" w:hAnsiTheme="minorHAnsi"/>
              <w:b w:val="0"/>
              <w:bCs/>
              <w:color w:val="auto"/>
              <w:kern w:val="2"/>
              <w:sz w:val="24"/>
              <w:szCs w:val="24"/>
              <w14:ligatures w14:val="standardContextual"/>
            </w:rPr>
          </w:pPr>
          <w:hyperlink w:anchor="_Toc244012559" w:history="1">
            <w:r w:rsidRPr="002B7156">
              <w:rPr>
                <w:rStyle w:val="Hyperlink"/>
                <w:b w:val="0"/>
                <w:bCs/>
              </w:rPr>
              <w:t>Credentialing committee</w:t>
            </w:r>
            <w:r w:rsidRPr="002B7156">
              <w:rPr>
                <w:b w:val="0"/>
                <w:bCs/>
                <w:webHidden/>
              </w:rPr>
              <w:tab/>
            </w:r>
            <w:r w:rsidRPr="002B7156">
              <w:rPr>
                <w:b w:val="0"/>
                <w:bCs/>
                <w:webHidden/>
              </w:rPr>
              <w:fldChar w:fldCharType="begin"/>
            </w:r>
            <w:r w:rsidRPr="002B7156">
              <w:rPr>
                <w:b w:val="0"/>
                <w:bCs/>
                <w:webHidden/>
              </w:rPr>
              <w:instrText xml:space="preserve"> PAGEREF _Toc244012559 \h </w:instrText>
            </w:r>
            <w:r w:rsidRPr="002B7156">
              <w:rPr>
                <w:b w:val="0"/>
                <w:bCs/>
                <w:webHidden/>
              </w:rPr>
            </w:r>
            <w:r w:rsidRPr="002B7156">
              <w:rPr>
                <w:b w:val="0"/>
                <w:bCs/>
                <w:webHidden/>
              </w:rPr>
              <w:fldChar w:fldCharType="separate"/>
            </w:r>
            <w:r w:rsidRPr="002B7156">
              <w:rPr>
                <w:b w:val="0"/>
                <w:bCs/>
                <w:webHidden/>
              </w:rPr>
              <w:t>7</w:t>
            </w:r>
            <w:r w:rsidRPr="002B7156">
              <w:rPr>
                <w:b w:val="0"/>
                <w:bCs/>
                <w:webHidden/>
              </w:rPr>
              <w:fldChar w:fldCharType="end"/>
            </w:r>
          </w:hyperlink>
        </w:p>
        <w:p w14:paraId="61C1C055" w14:textId="7E0B6785" w:rsidR="002B7156" w:rsidRPr="002B7156" w:rsidRDefault="002B7156">
          <w:pPr>
            <w:pStyle w:val="TOC3"/>
            <w:rPr>
              <w:rFonts w:asciiTheme="minorHAnsi" w:hAnsiTheme="minorHAnsi"/>
              <w:b w:val="0"/>
              <w:bCs/>
              <w:color w:val="auto"/>
              <w:kern w:val="2"/>
              <w:sz w:val="24"/>
              <w:szCs w:val="24"/>
              <w14:ligatures w14:val="standardContextual"/>
            </w:rPr>
          </w:pPr>
          <w:hyperlink w:anchor="_Toc244012560" w:history="1">
            <w:r w:rsidRPr="002B7156">
              <w:rPr>
                <w:rStyle w:val="Hyperlink"/>
                <w:b w:val="0"/>
                <w:bCs/>
              </w:rPr>
              <w:t>Directors of medical services (or equivalent)</w:t>
            </w:r>
            <w:r w:rsidRPr="002B7156">
              <w:rPr>
                <w:b w:val="0"/>
                <w:bCs/>
                <w:webHidden/>
              </w:rPr>
              <w:tab/>
            </w:r>
            <w:r w:rsidRPr="002B7156">
              <w:rPr>
                <w:b w:val="0"/>
                <w:bCs/>
                <w:webHidden/>
              </w:rPr>
              <w:fldChar w:fldCharType="begin"/>
            </w:r>
            <w:r w:rsidRPr="002B7156">
              <w:rPr>
                <w:b w:val="0"/>
                <w:bCs/>
                <w:webHidden/>
              </w:rPr>
              <w:instrText xml:space="preserve"> PAGEREF _Toc244012560 \h </w:instrText>
            </w:r>
            <w:r w:rsidRPr="002B7156">
              <w:rPr>
                <w:b w:val="0"/>
                <w:bCs/>
                <w:webHidden/>
              </w:rPr>
            </w:r>
            <w:r w:rsidRPr="002B7156">
              <w:rPr>
                <w:b w:val="0"/>
                <w:bCs/>
                <w:webHidden/>
              </w:rPr>
              <w:fldChar w:fldCharType="separate"/>
            </w:r>
            <w:r w:rsidRPr="002B7156">
              <w:rPr>
                <w:b w:val="0"/>
                <w:bCs/>
                <w:webHidden/>
              </w:rPr>
              <w:t>7</w:t>
            </w:r>
            <w:r w:rsidRPr="002B7156">
              <w:rPr>
                <w:b w:val="0"/>
                <w:bCs/>
                <w:webHidden/>
              </w:rPr>
              <w:fldChar w:fldCharType="end"/>
            </w:r>
          </w:hyperlink>
        </w:p>
        <w:p w14:paraId="60FC6E52" w14:textId="15EB43BD" w:rsidR="002B7156" w:rsidRPr="002B7156" w:rsidRDefault="002B7156">
          <w:pPr>
            <w:pStyle w:val="TOC2"/>
            <w:rPr>
              <w:rFonts w:asciiTheme="minorHAnsi" w:hAnsiTheme="minorHAnsi"/>
              <w:color w:val="auto"/>
              <w:kern w:val="2"/>
              <w:sz w:val="24"/>
              <w:szCs w:val="24"/>
              <w14:ligatures w14:val="standardContextual"/>
            </w:rPr>
          </w:pPr>
          <w:hyperlink w:anchor="_Toc244012561" w:history="1">
            <w:r w:rsidRPr="002B7156">
              <w:rPr>
                <w:rStyle w:val="Hyperlink"/>
              </w:rPr>
              <w:t>Credentialing process</w:t>
            </w:r>
            <w:r w:rsidRPr="002B7156">
              <w:rPr>
                <w:webHidden/>
              </w:rPr>
              <w:tab/>
            </w:r>
            <w:r w:rsidRPr="002B7156">
              <w:rPr>
                <w:webHidden/>
              </w:rPr>
              <w:fldChar w:fldCharType="begin"/>
            </w:r>
            <w:r w:rsidRPr="002B7156">
              <w:rPr>
                <w:webHidden/>
              </w:rPr>
              <w:instrText xml:space="preserve"> PAGEREF _Toc244012561 \h </w:instrText>
            </w:r>
            <w:r w:rsidRPr="002B7156">
              <w:rPr>
                <w:webHidden/>
              </w:rPr>
            </w:r>
            <w:r w:rsidRPr="002B7156">
              <w:rPr>
                <w:webHidden/>
              </w:rPr>
              <w:fldChar w:fldCharType="separate"/>
            </w:r>
            <w:r w:rsidRPr="002B7156">
              <w:rPr>
                <w:webHidden/>
              </w:rPr>
              <w:t>8</w:t>
            </w:r>
            <w:r w:rsidRPr="002B7156">
              <w:rPr>
                <w:webHidden/>
              </w:rPr>
              <w:fldChar w:fldCharType="end"/>
            </w:r>
          </w:hyperlink>
        </w:p>
        <w:p w14:paraId="4F2130C8" w14:textId="71C14842" w:rsidR="002B7156" w:rsidRPr="002B7156" w:rsidRDefault="002B7156">
          <w:pPr>
            <w:pStyle w:val="TOC3"/>
            <w:rPr>
              <w:rFonts w:asciiTheme="minorHAnsi" w:hAnsiTheme="minorHAnsi"/>
              <w:b w:val="0"/>
              <w:bCs/>
              <w:color w:val="auto"/>
              <w:kern w:val="2"/>
              <w:sz w:val="24"/>
              <w:szCs w:val="24"/>
              <w14:ligatures w14:val="standardContextual"/>
            </w:rPr>
          </w:pPr>
          <w:hyperlink w:anchor="_Toc244012562" w:history="1">
            <w:r w:rsidRPr="002B7156">
              <w:rPr>
                <w:rStyle w:val="Hyperlink"/>
                <w:b w:val="0"/>
                <w:bCs/>
              </w:rPr>
              <w:t>Credentialing committee</w:t>
            </w:r>
            <w:r w:rsidRPr="002B7156">
              <w:rPr>
                <w:b w:val="0"/>
                <w:bCs/>
                <w:webHidden/>
              </w:rPr>
              <w:tab/>
            </w:r>
            <w:r w:rsidRPr="002B7156">
              <w:rPr>
                <w:b w:val="0"/>
                <w:bCs/>
                <w:webHidden/>
              </w:rPr>
              <w:fldChar w:fldCharType="begin"/>
            </w:r>
            <w:r w:rsidRPr="002B7156">
              <w:rPr>
                <w:b w:val="0"/>
                <w:bCs/>
                <w:webHidden/>
              </w:rPr>
              <w:instrText xml:space="preserve"> PAGEREF _Toc244012562 \h </w:instrText>
            </w:r>
            <w:r w:rsidRPr="002B7156">
              <w:rPr>
                <w:b w:val="0"/>
                <w:bCs/>
                <w:webHidden/>
              </w:rPr>
            </w:r>
            <w:r w:rsidRPr="002B7156">
              <w:rPr>
                <w:b w:val="0"/>
                <w:bCs/>
                <w:webHidden/>
              </w:rPr>
              <w:fldChar w:fldCharType="separate"/>
            </w:r>
            <w:r w:rsidRPr="002B7156">
              <w:rPr>
                <w:b w:val="0"/>
                <w:bCs/>
                <w:webHidden/>
              </w:rPr>
              <w:t>9</w:t>
            </w:r>
            <w:r w:rsidRPr="002B7156">
              <w:rPr>
                <w:b w:val="0"/>
                <w:bCs/>
                <w:webHidden/>
              </w:rPr>
              <w:fldChar w:fldCharType="end"/>
            </w:r>
          </w:hyperlink>
        </w:p>
        <w:p w14:paraId="47593F33" w14:textId="0F603DEA" w:rsidR="002B7156" w:rsidRPr="002B7156" w:rsidRDefault="002B7156">
          <w:pPr>
            <w:pStyle w:val="TOC3"/>
            <w:rPr>
              <w:rFonts w:asciiTheme="minorHAnsi" w:hAnsiTheme="minorHAnsi"/>
              <w:b w:val="0"/>
              <w:bCs/>
              <w:color w:val="auto"/>
              <w:kern w:val="2"/>
              <w:sz w:val="24"/>
              <w:szCs w:val="24"/>
              <w14:ligatures w14:val="standardContextual"/>
            </w:rPr>
          </w:pPr>
          <w:hyperlink w:anchor="_Toc244012563" w:history="1">
            <w:r w:rsidRPr="002B7156">
              <w:rPr>
                <w:rStyle w:val="Hyperlink"/>
                <w:b w:val="0"/>
                <w:bCs/>
              </w:rPr>
              <w:t>Medical and dental practitioners</w:t>
            </w:r>
            <w:r w:rsidRPr="002B7156">
              <w:rPr>
                <w:b w:val="0"/>
                <w:bCs/>
                <w:webHidden/>
              </w:rPr>
              <w:tab/>
            </w:r>
            <w:r w:rsidRPr="002B7156">
              <w:rPr>
                <w:b w:val="0"/>
                <w:bCs/>
                <w:webHidden/>
              </w:rPr>
              <w:fldChar w:fldCharType="begin"/>
            </w:r>
            <w:r w:rsidRPr="002B7156">
              <w:rPr>
                <w:b w:val="0"/>
                <w:bCs/>
                <w:webHidden/>
              </w:rPr>
              <w:instrText xml:space="preserve"> PAGEREF _Toc244012563 \h </w:instrText>
            </w:r>
            <w:r w:rsidRPr="002B7156">
              <w:rPr>
                <w:b w:val="0"/>
                <w:bCs/>
                <w:webHidden/>
              </w:rPr>
            </w:r>
            <w:r w:rsidRPr="002B7156">
              <w:rPr>
                <w:b w:val="0"/>
                <w:bCs/>
                <w:webHidden/>
              </w:rPr>
              <w:fldChar w:fldCharType="separate"/>
            </w:r>
            <w:r w:rsidRPr="002B7156">
              <w:rPr>
                <w:b w:val="0"/>
                <w:bCs/>
                <w:webHidden/>
              </w:rPr>
              <w:t>10</w:t>
            </w:r>
            <w:r w:rsidRPr="002B7156">
              <w:rPr>
                <w:b w:val="0"/>
                <w:bCs/>
                <w:webHidden/>
              </w:rPr>
              <w:fldChar w:fldCharType="end"/>
            </w:r>
          </w:hyperlink>
        </w:p>
        <w:p w14:paraId="45DA5980" w14:textId="36AE8E43" w:rsidR="002B7156" w:rsidRPr="002B7156" w:rsidRDefault="002B7156">
          <w:pPr>
            <w:pStyle w:val="TOC2"/>
            <w:rPr>
              <w:rFonts w:asciiTheme="minorHAnsi" w:hAnsiTheme="minorHAnsi"/>
              <w:color w:val="auto"/>
              <w:kern w:val="2"/>
              <w:sz w:val="24"/>
              <w:szCs w:val="24"/>
              <w14:ligatures w14:val="standardContextual"/>
            </w:rPr>
          </w:pPr>
          <w:hyperlink w:anchor="_Toc244012564" w:history="1">
            <w:r w:rsidRPr="002B7156">
              <w:rPr>
                <w:rStyle w:val="Hyperlink"/>
              </w:rPr>
              <w:t>Credentialing cycle</w:t>
            </w:r>
            <w:r w:rsidRPr="002B7156">
              <w:rPr>
                <w:webHidden/>
              </w:rPr>
              <w:tab/>
            </w:r>
            <w:r w:rsidRPr="002B7156">
              <w:rPr>
                <w:webHidden/>
              </w:rPr>
              <w:fldChar w:fldCharType="begin"/>
            </w:r>
            <w:r w:rsidRPr="002B7156">
              <w:rPr>
                <w:webHidden/>
              </w:rPr>
              <w:instrText xml:space="preserve"> PAGEREF _Toc244012564 \h </w:instrText>
            </w:r>
            <w:r w:rsidRPr="002B7156">
              <w:rPr>
                <w:webHidden/>
              </w:rPr>
            </w:r>
            <w:r w:rsidRPr="002B7156">
              <w:rPr>
                <w:webHidden/>
              </w:rPr>
              <w:fldChar w:fldCharType="separate"/>
            </w:r>
            <w:r w:rsidRPr="002B7156">
              <w:rPr>
                <w:webHidden/>
              </w:rPr>
              <w:t>11</w:t>
            </w:r>
            <w:r w:rsidRPr="002B7156">
              <w:rPr>
                <w:webHidden/>
              </w:rPr>
              <w:fldChar w:fldCharType="end"/>
            </w:r>
          </w:hyperlink>
        </w:p>
        <w:p w14:paraId="64A85266" w14:textId="152EEA45" w:rsidR="002B7156" w:rsidRPr="002B7156" w:rsidRDefault="002B7156">
          <w:pPr>
            <w:pStyle w:val="TOC2"/>
            <w:rPr>
              <w:rFonts w:asciiTheme="minorHAnsi" w:hAnsiTheme="minorHAnsi"/>
              <w:color w:val="auto"/>
              <w:kern w:val="2"/>
              <w:sz w:val="24"/>
              <w:szCs w:val="24"/>
              <w14:ligatures w14:val="standardContextual"/>
            </w:rPr>
          </w:pPr>
          <w:hyperlink w:anchor="_Toc244012565" w:history="1">
            <w:r w:rsidRPr="002B7156">
              <w:rPr>
                <w:rStyle w:val="Hyperlink"/>
              </w:rPr>
              <w:t>Reciprocity</w:t>
            </w:r>
            <w:r w:rsidRPr="002B7156">
              <w:rPr>
                <w:webHidden/>
              </w:rPr>
              <w:tab/>
            </w:r>
            <w:r w:rsidRPr="002B7156">
              <w:rPr>
                <w:webHidden/>
              </w:rPr>
              <w:fldChar w:fldCharType="begin"/>
            </w:r>
            <w:r w:rsidRPr="002B7156">
              <w:rPr>
                <w:webHidden/>
              </w:rPr>
              <w:instrText xml:space="preserve"> PAGEREF _Toc244012565 \h </w:instrText>
            </w:r>
            <w:r w:rsidRPr="002B7156">
              <w:rPr>
                <w:webHidden/>
              </w:rPr>
            </w:r>
            <w:r w:rsidRPr="002B7156">
              <w:rPr>
                <w:webHidden/>
              </w:rPr>
              <w:fldChar w:fldCharType="separate"/>
            </w:r>
            <w:r w:rsidRPr="002B7156">
              <w:rPr>
                <w:webHidden/>
              </w:rPr>
              <w:t>11</w:t>
            </w:r>
            <w:r w:rsidRPr="002B7156">
              <w:rPr>
                <w:webHidden/>
              </w:rPr>
              <w:fldChar w:fldCharType="end"/>
            </w:r>
          </w:hyperlink>
        </w:p>
        <w:p w14:paraId="286DF729" w14:textId="39577960" w:rsidR="002B7156" w:rsidRPr="002B7156" w:rsidRDefault="002B7156">
          <w:pPr>
            <w:pStyle w:val="TOC3"/>
            <w:rPr>
              <w:rFonts w:asciiTheme="minorHAnsi" w:hAnsiTheme="minorHAnsi"/>
              <w:b w:val="0"/>
              <w:bCs/>
              <w:color w:val="auto"/>
              <w:kern w:val="2"/>
              <w:sz w:val="24"/>
              <w:szCs w:val="24"/>
              <w14:ligatures w14:val="standardContextual"/>
            </w:rPr>
          </w:pPr>
          <w:hyperlink w:anchor="_Toc244012566" w:history="1">
            <w:r w:rsidRPr="002B7156">
              <w:rPr>
                <w:rStyle w:val="Hyperlink"/>
                <w:b w:val="0"/>
                <w:bCs/>
              </w:rPr>
              <w:t>Reciprocity in recredentialing</w:t>
            </w:r>
            <w:r w:rsidRPr="002B7156">
              <w:rPr>
                <w:b w:val="0"/>
                <w:bCs/>
                <w:webHidden/>
              </w:rPr>
              <w:tab/>
            </w:r>
            <w:r w:rsidRPr="002B7156">
              <w:rPr>
                <w:b w:val="0"/>
                <w:bCs/>
                <w:webHidden/>
              </w:rPr>
              <w:fldChar w:fldCharType="begin"/>
            </w:r>
            <w:r w:rsidRPr="002B7156">
              <w:rPr>
                <w:b w:val="0"/>
                <w:bCs/>
                <w:webHidden/>
              </w:rPr>
              <w:instrText xml:space="preserve"> PAGEREF _Toc244012566 \h </w:instrText>
            </w:r>
            <w:r w:rsidRPr="002B7156">
              <w:rPr>
                <w:b w:val="0"/>
                <w:bCs/>
                <w:webHidden/>
              </w:rPr>
            </w:r>
            <w:r w:rsidRPr="002B7156">
              <w:rPr>
                <w:b w:val="0"/>
                <w:bCs/>
                <w:webHidden/>
              </w:rPr>
              <w:fldChar w:fldCharType="separate"/>
            </w:r>
            <w:r w:rsidRPr="002B7156">
              <w:rPr>
                <w:b w:val="0"/>
                <w:bCs/>
                <w:webHidden/>
              </w:rPr>
              <w:t>11</w:t>
            </w:r>
            <w:r w:rsidRPr="002B7156">
              <w:rPr>
                <w:b w:val="0"/>
                <w:bCs/>
                <w:webHidden/>
              </w:rPr>
              <w:fldChar w:fldCharType="end"/>
            </w:r>
          </w:hyperlink>
        </w:p>
        <w:p w14:paraId="1DAFAD26" w14:textId="5E26601A" w:rsidR="002B7156" w:rsidRPr="002B7156" w:rsidRDefault="002B7156">
          <w:pPr>
            <w:pStyle w:val="TOC2"/>
            <w:rPr>
              <w:rFonts w:asciiTheme="minorHAnsi" w:hAnsiTheme="minorHAnsi"/>
              <w:color w:val="auto"/>
              <w:kern w:val="2"/>
              <w:sz w:val="24"/>
              <w:szCs w:val="24"/>
              <w14:ligatures w14:val="standardContextual"/>
            </w:rPr>
          </w:pPr>
          <w:hyperlink w:anchor="_Toc244012567" w:history="1">
            <w:r w:rsidRPr="002B7156">
              <w:rPr>
                <w:rStyle w:val="Hyperlink"/>
              </w:rPr>
              <w:t>Recredentialing</w:t>
            </w:r>
            <w:r w:rsidRPr="002B7156">
              <w:rPr>
                <w:webHidden/>
              </w:rPr>
              <w:tab/>
            </w:r>
            <w:r w:rsidRPr="002B7156">
              <w:rPr>
                <w:webHidden/>
              </w:rPr>
              <w:fldChar w:fldCharType="begin"/>
            </w:r>
            <w:r w:rsidRPr="002B7156">
              <w:rPr>
                <w:webHidden/>
              </w:rPr>
              <w:instrText xml:space="preserve"> PAGEREF _Toc244012567 \h </w:instrText>
            </w:r>
            <w:r w:rsidRPr="002B7156">
              <w:rPr>
                <w:webHidden/>
              </w:rPr>
            </w:r>
            <w:r w:rsidRPr="002B7156">
              <w:rPr>
                <w:webHidden/>
              </w:rPr>
              <w:fldChar w:fldCharType="separate"/>
            </w:r>
            <w:r w:rsidRPr="002B7156">
              <w:rPr>
                <w:webHidden/>
              </w:rPr>
              <w:t>11</w:t>
            </w:r>
            <w:r w:rsidRPr="002B7156">
              <w:rPr>
                <w:webHidden/>
              </w:rPr>
              <w:fldChar w:fldCharType="end"/>
            </w:r>
          </w:hyperlink>
        </w:p>
        <w:p w14:paraId="779248B1" w14:textId="4FC76B53" w:rsidR="002B7156" w:rsidRPr="002B7156" w:rsidRDefault="002B7156">
          <w:pPr>
            <w:pStyle w:val="TOC3"/>
            <w:rPr>
              <w:rFonts w:asciiTheme="minorHAnsi" w:hAnsiTheme="minorHAnsi"/>
              <w:b w:val="0"/>
              <w:bCs/>
              <w:color w:val="auto"/>
              <w:kern w:val="2"/>
              <w:sz w:val="24"/>
              <w:szCs w:val="24"/>
              <w14:ligatures w14:val="standardContextual"/>
            </w:rPr>
          </w:pPr>
          <w:hyperlink w:anchor="_Toc244012568" w:history="1">
            <w:r w:rsidRPr="002B7156">
              <w:rPr>
                <w:rStyle w:val="Hyperlink"/>
                <w:b w:val="0"/>
                <w:bCs/>
              </w:rPr>
              <w:t>When the credentialing committee cannot make a determination</w:t>
            </w:r>
            <w:r w:rsidRPr="002B7156">
              <w:rPr>
                <w:b w:val="0"/>
                <w:bCs/>
                <w:webHidden/>
              </w:rPr>
              <w:tab/>
            </w:r>
            <w:r w:rsidRPr="002B7156">
              <w:rPr>
                <w:b w:val="0"/>
                <w:bCs/>
                <w:webHidden/>
              </w:rPr>
              <w:fldChar w:fldCharType="begin"/>
            </w:r>
            <w:r w:rsidRPr="002B7156">
              <w:rPr>
                <w:b w:val="0"/>
                <w:bCs/>
                <w:webHidden/>
              </w:rPr>
              <w:instrText xml:space="preserve"> PAGEREF _Toc244012568 \h </w:instrText>
            </w:r>
            <w:r w:rsidRPr="002B7156">
              <w:rPr>
                <w:b w:val="0"/>
                <w:bCs/>
                <w:webHidden/>
              </w:rPr>
            </w:r>
            <w:r w:rsidRPr="002B7156">
              <w:rPr>
                <w:b w:val="0"/>
                <w:bCs/>
                <w:webHidden/>
              </w:rPr>
              <w:fldChar w:fldCharType="separate"/>
            </w:r>
            <w:r w:rsidRPr="002B7156">
              <w:rPr>
                <w:b w:val="0"/>
                <w:bCs/>
                <w:webHidden/>
              </w:rPr>
              <w:t>12</w:t>
            </w:r>
            <w:r w:rsidRPr="002B7156">
              <w:rPr>
                <w:b w:val="0"/>
                <w:bCs/>
                <w:webHidden/>
              </w:rPr>
              <w:fldChar w:fldCharType="end"/>
            </w:r>
          </w:hyperlink>
        </w:p>
        <w:p w14:paraId="41FBAFDA" w14:textId="69B0140A" w:rsidR="002B7156" w:rsidRPr="002B7156" w:rsidRDefault="002B7156">
          <w:pPr>
            <w:pStyle w:val="TOC2"/>
            <w:rPr>
              <w:rFonts w:asciiTheme="minorHAnsi" w:hAnsiTheme="minorHAnsi"/>
              <w:color w:val="auto"/>
              <w:kern w:val="2"/>
              <w:sz w:val="24"/>
              <w:szCs w:val="24"/>
              <w14:ligatures w14:val="standardContextual"/>
            </w:rPr>
          </w:pPr>
          <w:hyperlink w:anchor="_Toc244012569" w:history="1">
            <w:r w:rsidRPr="002B7156">
              <w:rPr>
                <w:rStyle w:val="Hyperlink"/>
              </w:rPr>
              <w:t>Review and appeal process</w:t>
            </w:r>
            <w:r w:rsidRPr="002B7156">
              <w:rPr>
                <w:webHidden/>
              </w:rPr>
              <w:tab/>
            </w:r>
            <w:r w:rsidRPr="002B7156">
              <w:rPr>
                <w:webHidden/>
              </w:rPr>
              <w:fldChar w:fldCharType="begin"/>
            </w:r>
            <w:r w:rsidRPr="002B7156">
              <w:rPr>
                <w:webHidden/>
              </w:rPr>
              <w:instrText xml:space="preserve"> PAGEREF _Toc244012569 \h </w:instrText>
            </w:r>
            <w:r w:rsidRPr="002B7156">
              <w:rPr>
                <w:webHidden/>
              </w:rPr>
            </w:r>
            <w:r w:rsidRPr="002B7156">
              <w:rPr>
                <w:webHidden/>
              </w:rPr>
              <w:fldChar w:fldCharType="separate"/>
            </w:r>
            <w:r w:rsidRPr="002B7156">
              <w:rPr>
                <w:webHidden/>
              </w:rPr>
              <w:t>12</w:t>
            </w:r>
            <w:r w:rsidRPr="002B7156">
              <w:rPr>
                <w:webHidden/>
              </w:rPr>
              <w:fldChar w:fldCharType="end"/>
            </w:r>
          </w:hyperlink>
        </w:p>
        <w:p w14:paraId="6F961A48" w14:textId="7CAD9625" w:rsidR="002B7156" w:rsidRPr="002B7156" w:rsidRDefault="002B7156">
          <w:pPr>
            <w:pStyle w:val="TOC2"/>
            <w:rPr>
              <w:rFonts w:asciiTheme="minorHAnsi" w:hAnsiTheme="minorHAnsi"/>
              <w:color w:val="auto"/>
              <w:kern w:val="2"/>
              <w:sz w:val="24"/>
              <w:szCs w:val="24"/>
              <w14:ligatures w14:val="standardContextual"/>
            </w:rPr>
          </w:pPr>
          <w:hyperlink w:anchor="_Toc244012570" w:history="1">
            <w:r w:rsidRPr="002B7156">
              <w:rPr>
                <w:rStyle w:val="Hyperlink"/>
              </w:rPr>
              <w:t>De-credentialing</w:t>
            </w:r>
            <w:r w:rsidRPr="002B7156">
              <w:rPr>
                <w:webHidden/>
              </w:rPr>
              <w:tab/>
            </w:r>
            <w:r w:rsidRPr="002B7156">
              <w:rPr>
                <w:webHidden/>
              </w:rPr>
              <w:fldChar w:fldCharType="begin"/>
            </w:r>
            <w:r w:rsidRPr="002B7156">
              <w:rPr>
                <w:webHidden/>
              </w:rPr>
              <w:instrText xml:space="preserve"> PAGEREF _Toc244012570 \h </w:instrText>
            </w:r>
            <w:r w:rsidRPr="002B7156">
              <w:rPr>
                <w:webHidden/>
              </w:rPr>
            </w:r>
            <w:r w:rsidRPr="002B7156">
              <w:rPr>
                <w:webHidden/>
              </w:rPr>
              <w:fldChar w:fldCharType="separate"/>
            </w:r>
            <w:r w:rsidRPr="002B7156">
              <w:rPr>
                <w:webHidden/>
              </w:rPr>
              <w:t>13</w:t>
            </w:r>
            <w:r w:rsidRPr="002B7156">
              <w:rPr>
                <w:webHidden/>
              </w:rPr>
              <w:fldChar w:fldCharType="end"/>
            </w:r>
          </w:hyperlink>
        </w:p>
        <w:p w14:paraId="6C7B1F0F" w14:textId="2459959F" w:rsidR="002B7156" w:rsidRPr="002B7156" w:rsidRDefault="002B7156">
          <w:pPr>
            <w:pStyle w:val="TOC2"/>
            <w:rPr>
              <w:rFonts w:asciiTheme="minorHAnsi" w:hAnsiTheme="minorHAnsi"/>
              <w:color w:val="auto"/>
              <w:kern w:val="2"/>
              <w:sz w:val="24"/>
              <w:szCs w:val="24"/>
              <w14:ligatures w14:val="standardContextual"/>
            </w:rPr>
          </w:pPr>
          <w:hyperlink w:anchor="_Toc244012571" w:history="1">
            <w:r w:rsidRPr="002B7156">
              <w:rPr>
                <w:rStyle w:val="Hyperlink"/>
              </w:rPr>
              <w:t>Scope of clinical practice</w:t>
            </w:r>
            <w:r w:rsidRPr="002B7156">
              <w:rPr>
                <w:webHidden/>
              </w:rPr>
              <w:tab/>
            </w:r>
            <w:r w:rsidRPr="002B7156">
              <w:rPr>
                <w:webHidden/>
              </w:rPr>
              <w:fldChar w:fldCharType="begin"/>
            </w:r>
            <w:r w:rsidRPr="002B7156">
              <w:rPr>
                <w:webHidden/>
              </w:rPr>
              <w:instrText xml:space="preserve"> PAGEREF _Toc244012571 \h </w:instrText>
            </w:r>
            <w:r w:rsidRPr="002B7156">
              <w:rPr>
                <w:webHidden/>
              </w:rPr>
            </w:r>
            <w:r w:rsidRPr="002B7156">
              <w:rPr>
                <w:webHidden/>
              </w:rPr>
              <w:fldChar w:fldCharType="separate"/>
            </w:r>
            <w:r w:rsidRPr="002B7156">
              <w:rPr>
                <w:webHidden/>
              </w:rPr>
              <w:t>14</w:t>
            </w:r>
            <w:r w:rsidRPr="002B7156">
              <w:rPr>
                <w:webHidden/>
              </w:rPr>
              <w:fldChar w:fldCharType="end"/>
            </w:r>
          </w:hyperlink>
        </w:p>
        <w:p w14:paraId="4A6379A9" w14:textId="414ADDD1" w:rsidR="002B7156" w:rsidRPr="002B7156" w:rsidRDefault="002B7156">
          <w:pPr>
            <w:pStyle w:val="TOC3"/>
            <w:rPr>
              <w:rFonts w:asciiTheme="minorHAnsi" w:hAnsiTheme="minorHAnsi"/>
              <w:b w:val="0"/>
              <w:bCs/>
              <w:color w:val="auto"/>
              <w:kern w:val="2"/>
              <w:sz w:val="24"/>
              <w:szCs w:val="24"/>
              <w14:ligatures w14:val="standardContextual"/>
            </w:rPr>
          </w:pPr>
          <w:hyperlink w:anchor="_Toc244012572" w:history="1">
            <w:r w:rsidRPr="002B7156">
              <w:rPr>
                <w:rStyle w:val="Hyperlink"/>
                <w:b w:val="0"/>
                <w:bCs/>
              </w:rPr>
              <w:t>Refusing a scope of clinical practice</w:t>
            </w:r>
            <w:r w:rsidRPr="002B7156">
              <w:rPr>
                <w:b w:val="0"/>
                <w:bCs/>
                <w:webHidden/>
              </w:rPr>
              <w:tab/>
            </w:r>
            <w:r w:rsidRPr="002B7156">
              <w:rPr>
                <w:b w:val="0"/>
                <w:bCs/>
                <w:webHidden/>
              </w:rPr>
              <w:fldChar w:fldCharType="begin"/>
            </w:r>
            <w:r w:rsidRPr="002B7156">
              <w:rPr>
                <w:b w:val="0"/>
                <w:bCs/>
                <w:webHidden/>
              </w:rPr>
              <w:instrText xml:space="preserve"> PAGEREF _Toc244012572 \h </w:instrText>
            </w:r>
            <w:r w:rsidRPr="002B7156">
              <w:rPr>
                <w:b w:val="0"/>
                <w:bCs/>
                <w:webHidden/>
              </w:rPr>
            </w:r>
            <w:r w:rsidRPr="002B7156">
              <w:rPr>
                <w:b w:val="0"/>
                <w:bCs/>
                <w:webHidden/>
              </w:rPr>
              <w:fldChar w:fldCharType="separate"/>
            </w:r>
            <w:r w:rsidRPr="002B7156">
              <w:rPr>
                <w:b w:val="0"/>
                <w:bCs/>
                <w:webHidden/>
              </w:rPr>
              <w:t>14</w:t>
            </w:r>
            <w:r w:rsidRPr="002B7156">
              <w:rPr>
                <w:b w:val="0"/>
                <w:bCs/>
                <w:webHidden/>
              </w:rPr>
              <w:fldChar w:fldCharType="end"/>
            </w:r>
          </w:hyperlink>
        </w:p>
        <w:p w14:paraId="653F21EF" w14:textId="73774128" w:rsidR="002B7156" w:rsidRPr="002B7156" w:rsidRDefault="002B7156">
          <w:pPr>
            <w:pStyle w:val="TOC3"/>
            <w:rPr>
              <w:rFonts w:asciiTheme="minorHAnsi" w:hAnsiTheme="minorHAnsi"/>
              <w:b w:val="0"/>
              <w:bCs/>
              <w:color w:val="auto"/>
              <w:kern w:val="2"/>
              <w:sz w:val="24"/>
              <w:szCs w:val="24"/>
              <w14:ligatures w14:val="standardContextual"/>
            </w:rPr>
          </w:pPr>
          <w:hyperlink w:anchor="_Toc244012573" w:history="1">
            <w:r w:rsidRPr="002B7156">
              <w:rPr>
                <w:rStyle w:val="Hyperlink"/>
                <w:b w:val="0"/>
                <w:bCs/>
              </w:rPr>
              <w:t>Determining a practitioner’s scope of clinical practice</w:t>
            </w:r>
            <w:r w:rsidRPr="002B7156">
              <w:rPr>
                <w:b w:val="0"/>
                <w:bCs/>
                <w:webHidden/>
              </w:rPr>
              <w:tab/>
            </w:r>
            <w:r w:rsidRPr="002B7156">
              <w:rPr>
                <w:b w:val="0"/>
                <w:bCs/>
                <w:webHidden/>
              </w:rPr>
              <w:fldChar w:fldCharType="begin"/>
            </w:r>
            <w:r w:rsidRPr="002B7156">
              <w:rPr>
                <w:b w:val="0"/>
                <w:bCs/>
                <w:webHidden/>
              </w:rPr>
              <w:instrText xml:space="preserve"> PAGEREF _Toc244012573 \h </w:instrText>
            </w:r>
            <w:r w:rsidRPr="002B7156">
              <w:rPr>
                <w:b w:val="0"/>
                <w:bCs/>
                <w:webHidden/>
              </w:rPr>
            </w:r>
            <w:r w:rsidRPr="002B7156">
              <w:rPr>
                <w:b w:val="0"/>
                <w:bCs/>
                <w:webHidden/>
              </w:rPr>
              <w:fldChar w:fldCharType="separate"/>
            </w:r>
            <w:r w:rsidRPr="002B7156">
              <w:rPr>
                <w:b w:val="0"/>
                <w:bCs/>
                <w:webHidden/>
              </w:rPr>
              <w:t>15</w:t>
            </w:r>
            <w:r w:rsidRPr="002B7156">
              <w:rPr>
                <w:b w:val="0"/>
                <w:bCs/>
                <w:webHidden/>
              </w:rPr>
              <w:fldChar w:fldCharType="end"/>
            </w:r>
          </w:hyperlink>
        </w:p>
        <w:p w14:paraId="4205A9FC" w14:textId="7681C01C" w:rsidR="002B7156" w:rsidRPr="002B7156" w:rsidRDefault="002B7156">
          <w:pPr>
            <w:pStyle w:val="TOC3"/>
            <w:rPr>
              <w:rFonts w:asciiTheme="minorHAnsi" w:hAnsiTheme="minorHAnsi"/>
              <w:b w:val="0"/>
              <w:bCs/>
              <w:color w:val="auto"/>
              <w:kern w:val="2"/>
              <w:sz w:val="24"/>
              <w:szCs w:val="24"/>
              <w14:ligatures w14:val="standardContextual"/>
            </w:rPr>
          </w:pPr>
          <w:hyperlink w:anchor="_Toc244012574" w:history="1">
            <w:r w:rsidRPr="002B7156">
              <w:rPr>
                <w:rStyle w:val="Hyperlink"/>
                <w:b w:val="0"/>
                <w:bCs/>
              </w:rPr>
              <w:t>Changing, extending or reducing the scope of clinical practice</w:t>
            </w:r>
            <w:r w:rsidRPr="002B7156">
              <w:rPr>
                <w:b w:val="0"/>
                <w:bCs/>
                <w:webHidden/>
              </w:rPr>
              <w:tab/>
            </w:r>
            <w:r w:rsidRPr="002B7156">
              <w:rPr>
                <w:b w:val="0"/>
                <w:bCs/>
                <w:webHidden/>
              </w:rPr>
              <w:fldChar w:fldCharType="begin"/>
            </w:r>
            <w:r w:rsidRPr="002B7156">
              <w:rPr>
                <w:b w:val="0"/>
                <w:bCs/>
                <w:webHidden/>
              </w:rPr>
              <w:instrText xml:space="preserve"> PAGEREF _Toc244012574 \h </w:instrText>
            </w:r>
            <w:r w:rsidRPr="002B7156">
              <w:rPr>
                <w:b w:val="0"/>
                <w:bCs/>
                <w:webHidden/>
              </w:rPr>
            </w:r>
            <w:r w:rsidRPr="002B7156">
              <w:rPr>
                <w:b w:val="0"/>
                <w:bCs/>
                <w:webHidden/>
              </w:rPr>
              <w:fldChar w:fldCharType="separate"/>
            </w:r>
            <w:r w:rsidRPr="002B7156">
              <w:rPr>
                <w:b w:val="0"/>
                <w:bCs/>
                <w:webHidden/>
              </w:rPr>
              <w:t>15</w:t>
            </w:r>
            <w:r w:rsidRPr="002B7156">
              <w:rPr>
                <w:b w:val="0"/>
                <w:bCs/>
                <w:webHidden/>
              </w:rPr>
              <w:fldChar w:fldCharType="end"/>
            </w:r>
          </w:hyperlink>
        </w:p>
        <w:p w14:paraId="6E57126B" w14:textId="111BE498" w:rsidR="002B7156" w:rsidRPr="002B7156" w:rsidRDefault="002B7156">
          <w:pPr>
            <w:pStyle w:val="TOC2"/>
            <w:rPr>
              <w:rFonts w:asciiTheme="minorHAnsi" w:hAnsiTheme="minorHAnsi"/>
              <w:color w:val="auto"/>
              <w:kern w:val="2"/>
              <w:sz w:val="24"/>
              <w:szCs w:val="24"/>
              <w14:ligatures w14:val="standardContextual"/>
            </w:rPr>
          </w:pPr>
          <w:hyperlink w:anchor="_Toc244012575" w:history="1">
            <w:r w:rsidRPr="002B7156">
              <w:rPr>
                <w:rStyle w:val="Hyperlink"/>
              </w:rPr>
              <w:t>Performance and engagement by medical and dental practitioners</w:t>
            </w:r>
            <w:r w:rsidRPr="002B7156">
              <w:rPr>
                <w:webHidden/>
              </w:rPr>
              <w:tab/>
            </w:r>
            <w:r w:rsidRPr="002B7156">
              <w:rPr>
                <w:webHidden/>
              </w:rPr>
              <w:fldChar w:fldCharType="begin"/>
            </w:r>
            <w:r w:rsidRPr="002B7156">
              <w:rPr>
                <w:webHidden/>
              </w:rPr>
              <w:instrText xml:space="preserve"> PAGEREF _Toc244012575 \h </w:instrText>
            </w:r>
            <w:r w:rsidRPr="002B7156">
              <w:rPr>
                <w:webHidden/>
              </w:rPr>
            </w:r>
            <w:r w:rsidRPr="002B7156">
              <w:rPr>
                <w:webHidden/>
              </w:rPr>
              <w:fldChar w:fldCharType="separate"/>
            </w:r>
            <w:r w:rsidRPr="002B7156">
              <w:rPr>
                <w:webHidden/>
              </w:rPr>
              <w:t>16</w:t>
            </w:r>
            <w:r w:rsidRPr="002B7156">
              <w:rPr>
                <w:webHidden/>
              </w:rPr>
              <w:fldChar w:fldCharType="end"/>
            </w:r>
          </w:hyperlink>
        </w:p>
        <w:p w14:paraId="1D6A85F7" w14:textId="5C60FFD8" w:rsidR="002B7156" w:rsidRPr="002B7156" w:rsidRDefault="002B7156">
          <w:pPr>
            <w:pStyle w:val="TOC3"/>
            <w:rPr>
              <w:rFonts w:asciiTheme="minorHAnsi" w:hAnsiTheme="minorHAnsi"/>
              <w:b w:val="0"/>
              <w:bCs/>
              <w:color w:val="auto"/>
              <w:kern w:val="2"/>
              <w:sz w:val="24"/>
              <w:szCs w:val="24"/>
              <w14:ligatures w14:val="standardContextual"/>
            </w:rPr>
          </w:pPr>
          <w:hyperlink w:anchor="_Toc244012576" w:history="1">
            <w:r w:rsidRPr="002B7156">
              <w:rPr>
                <w:rStyle w:val="Hyperlink"/>
                <w:b w:val="0"/>
                <w:bCs/>
              </w:rPr>
              <w:t>Clinical quality and safety activities</w:t>
            </w:r>
            <w:r w:rsidRPr="002B7156">
              <w:rPr>
                <w:b w:val="0"/>
                <w:bCs/>
                <w:webHidden/>
              </w:rPr>
              <w:tab/>
            </w:r>
            <w:r w:rsidRPr="002B7156">
              <w:rPr>
                <w:b w:val="0"/>
                <w:bCs/>
                <w:webHidden/>
              </w:rPr>
              <w:fldChar w:fldCharType="begin"/>
            </w:r>
            <w:r w:rsidRPr="002B7156">
              <w:rPr>
                <w:b w:val="0"/>
                <w:bCs/>
                <w:webHidden/>
              </w:rPr>
              <w:instrText xml:space="preserve"> PAGEREF _Toc244012576 \h </w:instrText>
            </w:r>
            <w:r w:rsidRPr="002B7156">
              <w:rPr>
                <w:b w:val="0"/>
                <w:bCs/>
                <w:webHidden/>
              </w:rPr>
            </w:r>
            <w:r w:rsidRPr="002B7156">
              <w:rPr>
                <w:b w:val="0"/>
                <w:bCs/>
                <w:webHidden/>
              </w:rPr>
              <w:fldChar w:fldCharType="separate"/>
            </w:r>
            <w:r w:rsidRPr="002B7156">
              <w:rPr>
                <w:b w:val="0"/>
                <w:bCs/>
                <w:webHidden/>
              </w:rPr>
              <w:t>16</w:t>
            </w:r>
            <w:r w:rsidRPr="002B7156">
              <w:rPr>
                <w:b w:val="0"/>
                <w:bCs/>
                <w:webHidden/>
              </w:rPr>
              <w:fldChar w:fldCharType="end"/>
            </w:r>
          </w:hyperlink>
        </w:p>
        <w:p w14:paraId="1AA20835" w14:textId="196BD2E7" w:rsidR="002B7156" w:rsidRPr="002B7156" w:rsidRDefault="002B7156">
          <w:pPr>
            <w:pStyle w:val="TOC3"/>
            <w:rPr>
              <w:rFonts w:asciiTheme="minorHAnsi" w:hAnsiTheme="minorHAnsi"/>
              <w:b w:val="0"/>
              <w:bCs/>
              <w:color w:val="auto"/>
              <w:kern w:val="2"/>
              <w:sz w:val="24"/>
              <w:szCs w:val="24"/>
              <w14:ligatures w14:val="standardContextual"/>
            </w:rPr>
          </w:pPr>
          <w:hyperlink w:anchor="_Toc244012577" w:history="1">
            <w:r w:rsidRPr="002B7156">
              <w:rPr>
                <w:rStyle w:val="Hyperlink"/>
                <w:b w:val="0"/>
                <w:bCs/>
              </w:rPr>
              <w:t>Supporting performance concerns</w:t>
            </w:r>
            <w:r w:rsidRPr="002B7156">
              <w:rPr>
                <w:b w:val="0"/>
                <w:bCs/>
                <w:webHidden/>
              </w:rPr>
              <w:tab/>
            </w:r>
            <w:r w:rsidRPr="002B7156">
              <w:rPr>
                <w:b w:val="0"/>
                <w:bCs/>
                <w:webHidden/>
              </w:rPr>
              <w:fldChar w:fldCharType="begin"/>
            </w:r>
            <w:r w:rsidRPr="002B7156">
              <w:rPr>
                <w:b w:val="0"/>
                <w:bCs/>
                <w:webHidden/>
              </w:rPr>
              <w:instrText xml:space="preserve"> PAGEREF _Toc244012577 \h </w:instrText>
            </w:r>
            <w:r w:rsidRPr="002B7156">
              <w:rPr>
                <w:b w:val="0"/>
                <w:bCs/>
                <w:webHidden/>
              </w:rPr>
            </w:r>
            <w:r w:rsidRPr="002B7156">
              <w:rPr>
                <w:b w:val="0"/>
                <w:bCs/>
                <w:webHidden/>
              </w:rPr>
              <w:fldChar w:fldCharType="separate"/>
            </w:r>
            <w:r w:rsidRPr="002B7156">
              <w:rPr>
                <w:b w:val="0"/>
                <w:bCs/>
                <w:webHidden/>
              </w:rPr>
              <w:t>17</w:t>
            </w:r>
            <w:r w:rsidRPr="002B7156">
              <w:rPr>
                <w:b w:val="0"/>
                <w:bCs/>
                <w:webHidden/>
              </w:rPr>
              <w:fldChar w:fldCharType="end"/>
            </w:r>
          </w:hyperlink>
        </w:p>
        <w:p w14:paraId="5521AAED" w14:textId="43039553" w:rsidR="002B7156" w:rsidRPr="002B7156" w:rsidRDefault="002B7156">
          <w:pPr>
            <w:pStyle w:val="TOC2"/>
            <w:rPr>
              <w:rFonts w:asciiTheme="minorHAnsi" w:hAnsiTheme="minorHAnsi"/>
              <w:color w:val="auto"/>
              <w:kern w:val="2"/>
              <w:sz w:val="24"/>
              <w:szCs w:val="24"/>
              <w14:ligatures w14:val="standardContextual"/>
            </w:rPr>
          </w:pPr>
          <w:hyperlink w:anchor="_Toc244012578" w:history="1">
            <w:r w:rsidRPr="002B7156">
              <w:rPr>
                <w:rStyle w:val="Hyperlink"/>
              </w:rPr>
              <w:t>Credentialing and scope of clinical practice in specific arrangements</w:t>
            </w:r>
            <w:r w:rsidRPr="002B7156">
              <w:rPr>
                <w:webHidden/>
              </w:rPr>
              <w:tab/>
            </w:r>
            <w:r w:rsidRPr="002B7156">
              <w:rPr>
                <w:webHidden/>
              </w:rPr>
              <w:fldChar w:fldCharType="begin"/>
            </w:r>
            <w:r w:rsidRPr="002B7156">
              <w:rPr>
                <w:webHidden/>
              </w:rPr>
              <w:instrText xml:space="preserve"> PAGEREF _Toc244012578 \h </w:instrText>
            </w:r>
            <w:r w:rsidRPr="002B7156">
              <w:rPr>
                <w:webHidden/>
              </w:rPr>
            </w:r>
            <w:r w:rsidRPr="002B7156">
              <w:rPr>
                <w:webHidden/>
              </w:rPr>
              <w:fldChar w:fldCharType="separate"/>
            </w:r>
            <w:r w:rsidRPr="002B7156">
              <w:rPr>
                <w:webHidden/>
              </w:rPr>
              <w:t>17</w:t>
            </w:r>
            <w:r w:rsidRPr="002B7156">
              <w:rPr>
                <w:webHidden/>
              </w:rPr>
              <w:fldChar w:fldCharType="end"/>
            </w:r>
          </w:hyperlink>
        </w:p>
        <w:p w14:paraId="07A71F7E" w14:textId="2093B4C3" w:rsidR="002B7156" w:rsidRPr="002B7156" w:rsidRDefault="002B7156">
          <w:pPr>
            <w:pStyle w:val="TOC3"/>
            <w:rPr>
              <w:rFonts w:asciiTheme="minorHAnsi" w:hAnsiTheme="minorHAnsi"/>
              <w:b w:val="0"/>
              <w:bCs/>
              <w:color w:val="auto"/>
              <w:kern w:val="2"/>
              <w:sz w:val="24"/>
              <w:szCs w:val="24"/>
              <w14:ligatures w14:val="standardContextual"/>
            </w:rPr>
          </w:pPr>
          <w:hyperlink w:anchor="_Toc244012579" w:history="1">
            <w:r w:rsidRPr="002B7156">
              <w:rPr>
                <w:rStyle w:val="Hyperlink"/>
                <w:b w:val="0"/>
                <w:bCs/>
              </w:rPr>
              <w:t>Third-party arrangements</w:t>
            </w:r>
            <w:r w:rsidRPr="002B7156">
              <w:rPr>
                <w:b w:val="0"/>
                <w:bCs/>
                <w:webHidden/>
              </w:rPr>
              <w:tab/>
            </w:r>
            <w:r w:rsidRPr="002B7156">
              <w:rPr>
                <w:b w:val="0"/>
                <w:bCs/>
                <w:webHidden/>
              </w:rPr>
              <w:fldChar w:fldCharType="begin"/>
            </w:r>
            <w:r w:rsidRPr="002B7156">
              <w:rPr>
                <w:b w:val="0"/>
                <w:bCs/>
                <w:webHidden/>
              </w:rPr>
              <w:instrText xml:space="preserve"> PAGEREF _Toc244012579 \h </w:instrText>
            </w:r>
            <w:r w:rsidRPr="002B7156">
              <w:rPr>
                <w:b w:val="0"/>
                <w:bCs/>
                <w:webHidden/>
              </w:rPr>
            </w:r>
            <w:r w:rsidRPr="002B7156">
              <w:rPr>
                <w:b w:val="0"/>
                <w:bCs/>
                <w:webHidden/>
              </w:rPr>
              <w:fldChar w:fldCharType="separate"/>
            </w:r>
            <w:r w:rsidRPr="002B7156">
              <w:rPr>
                <w:b w:val="0"/>
                <w:bCs/>
                <w:webHidden/>
              </w:rPr>
              <w:t>17</w:t>
            </w:r>
            <w:r w:rsidRPr="002B7156">
              <w:rPr>
                <w:b w:val="0"/>
                <w:bCs/>
                <w:webHidden/>
              </w:rPr>
              <w:fldChar w:fldCharType="end"/>
            </w:r>
          </w:hyperlink>
        </w:p>
        <w:p w14:paraId="316FCCA3" w14:textId="1DF30834" w:rsidR="002B7156" w:rsidRPr="002B7156" w:rsidRDefault="002B7156">
          <w:pPr>
            <w:pStyle w:val="TOC3"/>
            <w:rPr>
              <w:rFonts w:asciiTheme="minorHAnsi" w:hAnsiTheme="minorHAnsi"/>
              <w:b w:val="0"/>
              <w:bCs/>
              <w:color w:val="auto"/>
              <w:kern w:val="2"/>
              <w:sz w:val="24"/>
              <w:szCs w:val="24"/>
              <w14:ligatures w14:val="standardContextual"/>
            </w:rPr>
          </w:pPr>
          <w:hyperlink w:anchor="_Toc244012580" w:history="1">
            <w:r w:rsidRPr="002B7156">
              <w:rPr>
                <w:rStyle w:val="Hyperlink"/>
                <w:b w:val="0"/>
                <w:bCs/>
              </w:rPr>
              <w:t>Shared care</w:t>
            </w:r>
            <w:r w:rsidRPr="002B7156">
              <w:rPr>
                <w:b w:val="0"/>
                <w:bCs/>
                <w:webHidden/>
              </w:rPr>
              <w:tab/>
            </w:r>
            <w:r w:rsidRPr="002B7156">
              <w:rPr>
                <w:b w:val="0"/>
                <w:bCs/>
                <w:webHidden/>
              </w:rPr>
              <w:fldChar w:fldCharType="begin"/>
            </w:r>
            <w:r w:rsidRPr="002B7156">
              <w:rPr>
                <w:b w:val="0"/>
                <w:bCs/>
                <w:webHidden/>
              </w:rPr>
              <w:instrText xml:space="preserve"> PAGEREF _Toc244012580 \h </w:instrText>
            </w:r>
            <w:r w:rsidRPr="002B7156">
              <w:rPr>
                <w:b w:val="0"/>
                <w:bCs/>
                <w:webHidden/>
              </w:rPr>
            </w:r>
            <w:r w:rsidRPr="002B7156">
              <w:rPr>
                <w:b w:val="0"/>
                <w:bCs/>
                <w:webHidden/>
              </w:rPr>
              <w:fldChar w:fldCharType="separate"/>
            </w:r>
            <w:r w:rsidRPr="002B7156">
              <w:rPr>
                <w:b w:val="0"/>
                <w:bCs/>
                <w:webHidden/>
              </w:rPr>
              <w:t>18</w:t>
            </w:r>
            <w:r w:rsidRPr="002B7156">
              <w:rPr>
                <w:b w:val="0"/>
                <w:bCs/>
                <w:webHidden/>
              </w:rPr>
              <w:fldChar w:fldCharType="end"/>
            </w:r>
          </w:hyperlink>
        </w:p>
        <w:p w14:paraId="290A54F8" w14:textId="683B9050" w:rsidR="002B7156" w:rsidRPr="002B7156" w:rsidRDefault="002B7156">
          <w:pPr>
            <w:pStyle w:val="TOC3"/>
            <w:rPr>
              <w:rFonts w:asciiTheme="minorHAnsi" w:hAnsiTheme="minorHAnsi"/>
              <w:b w:val="0"/>
              <w:bCs/>
              <w:color w:val="auto"/>
              <w:kern w:val="2"/>
              <w:sz w:val="24"/>
              <w:szCs w:val="24"/>
              <w14:ligatures w14:val="standardContextual"/>
            </w:rPr>
          </w:pPr>
          <w:hyperlink w:anchor="_Toc244012581" w:history="1">
            <w:r w:rsidRPr="002B7156">
              <w:rPr>
                <w:rStyle w:val="Hyperlink"/>
                <w:b w:val="0"/>
                <w:bCs/>
              </w:rPr>
              <w:t>Retrieval services</w:t>
            </w:r>
            <w:r w:rsidRPr="002B7156">
              <w:rPr>
                <w:b w:val="0"/>
                <w:bCs/>
                <w:webHidden/>
              </w:rPr>
              <w:tab/>
            </w:r>
            <w:r w:rsidRPr="002B7156">
              <w:rPr>
                <w:b w:val="0"/>
                <w:bCs/>
                <w:webHidden/>
              </w:rPr>
              <w:fldChar w:fldCharType="begin"/>
            </w:r>
            <w:r w:rsidRPr="002B7156">
              <w:rPr>
                <w:b w:val="0"/>
                <w:bCs/>
                <w:webHidden/>
              </w:rPr>
              <w:instrText xml:space="preserve"> PAGEREF _Toc244012581 \h </w:instrText>
            </w:r>
            <w:r w:rsidRPr="002B7156">
              <w:rPr>
                <w:b w:val="0"/>
                <w:bCs/>
                <w:webHidden/>
              </w:rPr>
            </w:r>
            <w:r w:rsidRPr="002B7156">
              <w:rPr>
                <w:b w:val="0"/>
                <w:bCs/>
                <w:webHidden/>
              </w:rPr>
              <w:fldChar w:fldCharType="separate"/>
            </w:r>
            <w:r w:rsidRPr="002B7156">
              <w:rPr>
                <w:b w:val="0"/>
                <w:bCs/>
                <w:webHidden/>
              </w:rPr>
              <w:t>18</w:t>
            </w:r>
            <w:r w:rsidRPr="002B7156">
              <w:rPr>
                <w:b w:val="0"/>
                <w:bCs/>
                <w:webHidden/>
              </w:rPr>
              <w:fldChar w:fldCharType="end"/>
            </w:r>
          </w:hyperlink>
        </w:p>
        <w:p w14:paraId="0C6A7A13" w14:textId="67DB863C" w:rsidR="002B7156" w:rsidRPr="002B7156" w:rsidRDefault="002B7156">
          <w:pPr>
            <w:pStyle w:val="TOC3"/>
            <w:rPr>
              <w:rFonts w:asciiTheme="minorHAnsi" w:hAnsiTheme="minorHAnsi"/>
              <w:b w:val="0"/>
              <w:bCs/>
              <w:color w:val="auto"/>
              <w:kern w:val="2"/>
              <w:sz w:val="24"/>
              <w:szCs w:val="24"/>
              <w14:ligatures w14:val="standardContextual"/>
            </w:rPr>
          </w:pPr>
          <w:hyperlink w:anchor="_Toc244012582" w:history="1">
            <w:r w:rsidRPr="002B7156">
              <w:rPr>
                <w:rStyle w:val="Hyperlink"/>
                <w:b w:val="0"/>
                <w:bCs/>
              </w:rPr>
              <w:t>Digital health and virtual care</w:t>
            </w:r>
            <w:r w:rsidRPr="002B7156">
              <w:rPr>
                <w:b w:val="0"/>
                <w:bCs/>
                <w:webHidden/>
              </w:rPr>
              <w:tab/>
            </w:r>
            <w:r w:rsidRPr="002B7156">
              <w:rPr>
                <w:b w:val="0"/>
                <w:bCs/>
                <w:webHidden/>
              </w:rPr>
              <w:fldChar w:fldCharType="begin"/>
            </w:r>
            <w:r w:rsidRPr="002B7156">
              <w:rPr>
                <w:b w:val="0"/>
                <w:bCs/>
                <w:webHidden/>
              </w:rPr>
              <w:instrText xml:space="preserve"> PAGEREF _Toc244012582 \h </w:instrText>
            </w:r>
            <w:r w:rsidRPr="002B7156">
              <w:rPr>
                <w:b w:val="0"/>
                <w:bCs/>
                <w:webHidden/>
              </w:rPr>
            </w:r>
            <w:r w:rsidRPr="002B7156">
              <w:rPr>
                <w:b w:val="0"/>
                <w:bCs/>
                <w:webHidden/>
              </w:rPr>
              <w:fldChar w:fldCharType="separate"/>
            </w:r>
            <w:r w:rsidRPr="002B7156">
              <w:rPr>
                <w:b w:val="0"/>
                <w:bCs/>
                <w:webHidden/>
              </w:rPr>
              <w:t>18</w:t>
            </w:r>
            <w:r w:rsidRPr="002B7156">
              <w:rPr>
                <w:b w:val="0"/>
                <w:bCs/>
                <w:webHidden/>
              </w:rPr>
              <w:fldChar w:fldCharType="end"/>
            </w:r>
          </w:hyperlink>
        </w:p>
        <w:p w14:paraId="6BD9E56B" w14:textId="4D198CE5" w:rsidR="002B7156" w:rsidRPr="002B7156" w:rsidRDefault="002B7156">
          <w:pPr>
            <w:pStyle w:val="TOC2"/>
            <w:rPr>
              <w:rFonts w:asciiTheme="minorHAnsi" w:hAnsiTheme="minorHAnsi"/>
              <w:color w:val="auto"/>
              <w:kern w:val="2"/>
              <w:sz w:val="24"/>
              <w:szCs w:val="24"/>
              <w14:ligatures w14:val="standardContextual"/>
            </w:rPr>
          </w:pPr>
          <w:hyperlink w:anchor="_Toc244012583" w:history="1">
            <w:r w:rsidRPr="002B7156">
              <w:rPr>
                <w:rStyle w:val="Hyperlink"/>
              </w:rPr>
              <w:t>Credentialing and scope of clinical practice in specific roles</w:t>
            </w:r>
            <w:r w:rsidRPr="002B7156">
              <w:rPr>
                <w:webHidden/>
              </w:rPr>
              <w:tab/>
            </w:r>
            <w:r w:rsidRPr="002B7156">
              <w:rPr>
                <w:webHidden/>
              </w:rPr>
              <w:fldChar w:fldCharType="begin"/>
            </w:r>
            <w:r w:rsidRPr="002B7156">
              <w:rPr>
                <w:webHidden/>
              </w:rPr>
              <w:instrText xml:space="preserve"> PAGEREF _Toc244012583 \h </w:instrText>
            </w:r>
            <w:r w:rsidRPr="002B7156">
              <w:rPr>
                <w:webHidden/>
              </w:rPr>
            </w:r>
            <w:r w:rsidRPr="002B7156">
              <w:rPr>
                <w:webHidden/>
              </w:rPr>
              <w:fldChar w:fldCharType="separate"/>
            </w:r>
            <w:r w:rsidRPr="002B7156">
              <w:rPr>
                <w:webHidden/>
              </w:rPr>
              <w:t>19</w:t>
            </w:r>
            <w:r w:rsidRPr="002B7156">
              <w:rPr>
                <w:webHidden/>
              </w:rPr>
              <w:fldChar w:fldCharType="end"/>
            </w:r>
          </w:hyperlink>
        </w:p>
        <w:p w14:paraId="214334C1" w14:textId="56F778D1" w:rsidR="002B7156" w:rsidRPr="002B7156" w:rsidRDefault="002B7156">
          <w:pPr>
            <w:pStyle w:val="TOC3"/>
            <w:rPr>
              <w:rFonts w:asciiTheme="minorHAnsi" w:hAnsiTheme="minorHAnsi"/>
              <w:b w:val="0"/>
              <w:bCs/>
              <w:color w:val="auto"/>
              <w:kern w:val="2"/>
              <w:sz w:val="24"/>
              <w:szCs w:val="24"/>
              <w14:ligatures w14:val="standardContextual"/>
            </w:rPr>
          </w:pPr>
          <w:hyperlink w:anchor="_Toc244012584" w:history="1">
            <w:r w:rsidRPr="002B7156">
              <w:rPr>
                <w:rStyle w:val="Hyperlink"/>
                <w:b w:val="0"/>
                <w:bCs/>
              </w:rPr>
              <w:t>Clinical trials and research</w:t>
            </w:r>
            <w:r w:rsidRPr="002B7156">
              <w:rPr>
                <w:b w:val="0"/>
                <w:bCs/>
                <w:webHidden/>
              </w:rPr>
              <w:tab/>
            </w:r>
            <w:r w:rsidRPr="002B7156">
              <w:rPr>
                <w:b w:val="0"/>
                <w:bCs/>
                <w:webHidden/>
              </w:rPr>
              <w:fldChar w:fldCharType="begin"/>
            </w:r>
            <w:r w:rsidRPr="002B7156">
              <w:rPr>
                <w:b w:val="0"/>
                <w:bCs/>
                <w:webHidden/>
              </w:rPr>
              <w:instrText xml:space="preserve"> PAGEREF _Toc244012584 \h </w:instrText>
            </w:r>
            <w:r w:rsidRPr="002B7156">
              <w:rPr>
                <w:b w:val="0"/>
                <w:bCs/>
                <w:webHidden/>
              </w:rPr>
            </w:r>
            <w:r w:rsidRPr="002B7156">
              <w:rPr>
                <w:b w:val="0"/>
                <w:bCs/>
                <w:webHidden/>
              </w:rPr>
              <w:fldChar w:fldCharType="separate"/>
            </w:r>
            <w:r w:rsidRPr="002B7156">
              <w:rPr>
                <w:b w:val="0"/>
                <w:bCs/>
                <w:webHidden/>
              </w:rPr>
              <w:t>19</w:t>
            </w:r>
            <w:r w:rsidRPr="002B7156">
              <w:rPr>
                <w:b w:val="0"/>
                <w:bCs/>
                <w:webHidden/>
              </w:rPr>
              <w:fldChar w:fldCharType="end"/>
            </w:r>
          </w:hyperlink>
        </w:p>
        <w:p w14:paraId="2A4BA5C2" w14:textId="0CF5C272" w:rsidR="002B7156" w:rsidRPr="002B7156" w:rsidRDefault="002B7156">
          <w:pPr>
            <w:pStyle w:val="TOC3"/>
            <w:rPr>
              <w:rFonts w:asciiTheme="minorHAnsi" w:hAnsiTheme="minorHAnsi"/>
              <w:b w:val="0"/>
              <w:bCs/>
              <w:color w:val="auto"/>
              <w:kern w:val="2"/>
              <w:sz w:val="24"/>
              <w:szCs w:val="24"/>
              <w14:ligatures w14:val="standardContextual"/>
            </w:rPr>
          </w:pPr>
          <w:hyperlink w:anchor="_Toc244012585" w:history="1">
            <w:r w:rsidRPr="002B7156">
              <w:rPr>
                <w:rStyle w:val="Hyperlink"/>
                <w:b w:val="0"/>
                <w:bCs/>
              </w:rPr>
              <w:t>Public sector residential aged care services</w:t>
            </w:r>
            <w:r w:rsidRPr="002B7156">
              <w:rPr>
                <w:b w:val="0"/>
                <w:bCs/>
                <w:webHidden/>
              </w:rPr>
              <w:tab/>
            </w:r>
            <w:r w:rsidRPr="002B7156">
              <w:rPr>
                <w:b w:val="0"/>
                <w:bCs/>
                <w:webHidden/>
              </w:rPr>
              <w:fldChar w:fldCharType="begin"/>
            </w:r>
            <w:r w:rsidRPr="002B7156">
              <w:rPr>
                <w:b w:val="0"/>
                <w:bCs/>
                <w:webHidden/>
              </w:rPr>
              <w:instrText xml:space="preserve"> PAGEREF _Toc244012585 \h </w:instrText>
            </w:r>
            <w:r w:rsidRPr="002B7156">
              <w:rPr>
                <w:b w:val="0"/>
                <w:bCs/>
                <w:webHidden/>
              </w:rPr>
            </w:r>
            <w:r w:rsidRPr="002B7156">
              <w:rPr>
                <w:b w:val="0"/>
                <w:bCs/>
                <w:webHidden/>
              </w:rPr>
              <w:fldChar w:fldCharType="separate"/>
            </w:r>
            <w:r w:rsidRPr="002B7156">
              <w:rPr>
                <w:b w:val="0"/>
                <w:bCs/>
                <w:webHidden/>
              </w:rPr>
              <w:t>19</w:t>
            </w:r>
            <w:r w:rsidRPr="002B7156">
              <w:rPr>
                <w:b w:val="0"/>
                <w:bCs/>
                <w:webHidden/>
              </w:rPr>
              <w:fldChar w:fldCharType="end"/>
            </w:r>
          </w:hyperlink>
        </w:p>
        <w:p w14:paraId="3322CE8E" w14:textId="3E9D56F2" w:rsidR="002B7156" w:rsidRPr="002B7156" w:rsidRDefault="002B7156">
          <w:pPr>
            <w:pStyle w:val="TOC2"/>
            <w:rPr>
              <w:rFonts w:asciiTheme="minorHAnsi" w:hAnsiTheme="minorHAnsi"/>
              <w:color w:val="auto"/>
              <w:kern w:val="2"/>
              <w:sz w:val="24"/>
              <w:szCs w:val="24"/>
              <w14:ligatures w14:val="standardContextual"/>
            </w:rPr>
          </w:pPr>
          <w:hyperlink w:anchor="_Toc244012586" w:history="1">
            <w:r w:rsidRPr="002B7156">
              <w:rPr>
                <w:rStyle w:val="Hyperlink"/>
              </w:rPr>
              <w:t>Credentialing and scope of clinical practice in specific contexts</w:t>
            </w:r>
            <w:r w:rsidRPr="002B7156">
              <w:rPr>
                <w:webHidden/>
              </w:rPr>
              <w:tab/>
            </w:r>
            <w:r w:rsidRPr="002B7156">
              <w:rPr>
                <w:webHidden/>
              </w:rPr>
              <w:fldChar w:fldCharType="begin"/>
            </w:r>
            <w:r w:rsidRPr="002B7156">
              <w:rPr>
                <w:webHidden/>
              </w:rPr>
              <w:instrText xml:space="preserve"> PAGEREF _Toc244012586 \h </w:instrText>
            </w:r>
            <w:r w:rsidRPr="002B7156">
              <w:rPr>
                <w:webHidden/>
              </w:rPr>
            </w:r>
            <w:r w:rsidRPr="002B7156">
              <w:rPr>
                <w:webHidden/>
              </w:rPr>
              <w:fldChar w:fldCharType="separate"/>
            </w:r>
            <w:r w:rsidRPr="002B7156">
              <w:rPr>
                <w:webHidden/>
              </w:rPr>
              <w:t>20</w:t>
            </w:r>
            <w:r w:rsidRPr="002B7156">
              <w:rPr>
                <w:webHidden/>
              </w:rPr>
              <w:fldChar w:fldCharType="end"/>
            </w:r>
          </w:hyperlink>
        </w:p>
        <w:p w14:paraId="595AF793" w14:textId="410E1B87" w:rsidR="002B7156" w:rsidRPr="002B7156" w:rsidRDefault="002B7156">
          <w:pPr>
            <w:pStyle w:val="TOC3"/>
            <w:rPr>
              <w:rFonts w:asciiTheme="minorHAnsi" w:hAnsiTheme="minorHAnsi"/>
              <w:b w:val="0"/>
              <w:bCs/>
              <w:color w:val="auto"/>
              <w:kern w:val="2"/>
              <w:sz w:val="24"/>
              <w:szCs w:val="24"/>
              <w14:ligatures w14:val="standardContextual"/>
            </w:rPr>
          </w:pPr>
          <w:hyperlink w:anchor="_Toc244012587" w:history="1">
            <w:r w:rsidRPr="002B7156">
              <w:rPr>
                <w:rStyle w:val="Hyperlink"/>
                <w:b w:val="0"/>
                <w:bCs/>
              </w:rPr>
              <w:t>Emergency clinical situations</w:t>
            </w:r>
            <w:r w:rsidRPr="002B7156">
              <w:rPr>
                <w:b w:val="0"/>
                <w:bCs/>
                <w:webHidden/>
              </w:rPr>
              <w:tab/>
            </w:r>
            <w:r w:rsidRPr="002B7156">
              <w:rPr>
                <w:b w:val="0"/>
                <w:bCs/>
                <w:webHidden/>
              </w:rPr>
              <w:fldChar w:fldCharType="begin"/>
            </w:r>
            <w:r w:rsidRPr="002B7156">
              <w:rPr>
                <w:b w:val="0"/>
                <w:bCs/>
                <w:webHidden/>
              </w:rPr>
              <w:instrText xml:space="preserve"> PAGEREF _Toc244012587 \h </w:instrText>
            </w:r>
            <w:r w:rsidRPr="002B7156">
              <w:rPr>
                <w:b w:val="0"/>
                <w:bCs/>
                <w:webHidden/>
              </w:rPr>
            </w:r>
            <w:r w:rsidRPr="002B7156">
              <w:rPr>
                <w:b w:val="0"/>
                <w:bCs/>
                <w:webHidden/>
              </w:rPr>
              <w:fldChar w:fldCharType="separate"/>
            </w:r>
            <w:r w:rsidRPr="002B7156">
              <w:rPr>
                <w:b w:val="0"/>
                <w:bCs/>
                <w:webHidden/>
              </w:rPr>
              <w:t>20</w:t>
            </w:r>
            <w:r w:rsidRPr="002B7156">
              <w:rPr>
                <w:b w:val="0"/>
                <w:bCs/>
                <w:webHidden/>
              </w:rPr>
              <w:fldChar w:fldCharType="end"/>
            </w:r>
          </w:hyperlink>
        </w:p>
        <w:p w14:paraId="11D8A204" w14:textId="03861742" w:rsidR="002B7156" w:rsidRPr="002B7156" w:rsidRDefault="002B7156">
          <w:pPr>
            <w:pStyle w:val="TOC3"/>
            <w:rPr>
              <w:rFonts w:asciiTheme="minorHAnsi" w:hAnsiTheme="minorHAnsi"/>
              <w:b w:val="0"/>
              <w:bCs/>
              <w:color w:val="auto"/>
              <w:kern w:val="2"/>
              <w:sz w:val="24"/>
              <w:szCs w:val="24"/>
              <w14:ligatures w14:val="standardContextual"/>
            </w:rPr>
          </w:pPr>
          <w:hyperlink w:anchor="_Toc244012588" w:history="1">
            <w:r w:rsidRPr="002B7156">
              <w:rPr>
                <w:rStyle w:val="Hyperlink"/>
                <w:b w:val="0"/>
                <w:bCs/>
              </w:rPr>
              <w:t>Urgent and temporary staffing situations</w:t>
            </w:r>
            <w:r w:rsidRPr="002B7156">
              <w:rPr>
                <w:b w:val="0"/>
                <w:bCs/>
                <w:webHidden/>
              </w:rPr>
              <w:tab/>
            </w:r>
            <w:r w:rsidRPr="002B7156">
              <w:rPr>
                <w:b w:val="0"/>
                <w:bCs/>
                <w:webHidden/>
              </w:rPr>
              <w:fldChar w:fldCharType="begin"/>
            </w:r>
            <w:r w:rsidRPr="002B7156">
              <w:rPr>
                <w:b w:val="0"/>
                <w:bCs/>
                <w:webHidden/>
              </w:rPr>
              <w:instrText xml:space="preserve"> PAGEREF _Toc244012588 \h </w:instrText>
            </w:r>
            <w:r w:rsidRPr="002B7156">
              <w:rPr>
                <w:b w:val="0"/>
                <w:bCs/>
                <w:webHidden/>
              </w:rPr>
            </w:r>
            <w:r w:rsidRPr="002B7156">
              <w:rPr>
                <w:b w:val="0"/>
                <w:bCs/>
                <w:webHidden/>
              </w:rPr>
              <w:fldChar w:fldCharType="separate"/>
            </w:r>
            <w:r w:rsidRPr="002B7156">
              <w:rPr>
                <w:b w:val="0"/>
                <w:bCs/>
                <w:webHidden/>
              </w:rPr>
              <w:t>20</w:t>
            </w:r>
            <w:r w:rsidRPr="002B7156">
              <w:rPr>
                <w:b w:val="0"/>
                <w:bCs/>
                <w:webHidden/>
              </w:rPr>
              <w:fldChar w:fldCharType="end"/>
            </w:r>
          </w:hyperlink>
        </w:p>
        <w:p w14:paraId="3ECC1E3D" w14:textId="398FD759" w:rsidR="002B7156" w:rsidRPr="002B7156" w:rsidRDefault="002B7156">
          <w:pPr>
            <w:pStyle w:val="TOC3"/>
            <w:rPr>
              <w:rFonts w:asciiTheme="minorHAnsi" w:hAnsiTheme="minorHAnsi"/>
              <w:b w:val="0"/>
              <w:bCs/>
              <w:color w:val="auto"/>
              <w:kern w:val="2"/>
              <w:sz w:val="24"/>
              <w:szCs w:val="24"/>
              <w14:ligatures w14:val="standardContextual"/>
            </w:rPr>
          </w:pPr>
          <w:hyperlink w:anchor="_Toc244012589" w:history="1">
            <w:r w:rsidRPr="002B7156">
              <w:rPr>
                <w:rStyle w:val="Hyperlink"/>
                <w:b w:val="0"/>
                <w:bCs/>
              </w:rPr>
              <w:t>Statewide emergencies</w:t>
            </w:r>
            <w:r w:rsidRPr="002B7156">
              <w:rPr>
                <w:b w:val="0"/>
                <w:bCs/>
                <w:webHidden/>
              </w:rPr>
              <w:tab/>
            </w:r>
            <w:r w:rsidRPr="002B7156">
              <w:rPr>
                <w:b w:val="0"/>
                <w:bCs/>
                <w:webHidden/>
              </w:rPr>
              <w:fldChar w:fldCharType="begin"/>
            </w:r>
            <w:r w:rsidRPr="002B7156">
              <w:rPr>
                <w:b w:val="0"/>
                <w:bCs/>
                <w:webHidden/>
              </w:rPr>
              <w:instrText xml:space="preserve"> PAGEREF _Toc244012589 \h </w:instrText>
            </w:r>
            <w:r w:rsidRPr="002B7156">
              <w:rPr>
                <w:b w:val="0"/>
                <w:bCs/>
                <w:webHidden/>
              </w:rPr>
            </w:r>
            <w:r w:rsidRPr="002B7156">
              <w:rPr>
                <w:b w:val="0"/>
                <w:bCs/>
                <w:webHidden/>
              </w:rPr>
              <w:fldChar w:fldCharType="separate"/>
            </w:r>
            <w:r w:rsidRPr="002B7156">
              <w:rPr>
                <w:b w:val="0"/>
                <w:bCs/>
                <w:webHidden/>
              </w:rPr>
              <w:t>20</w:t>
            </w:r>
            <w:r w:rsidRPr="002B7156">
              <w:rPr>
                <w:b w:val="0"/>
                <w:bCs/>
                <w:webHidden/>
              </w:rPr>
              <w:fldChar w:fldCharType="end"/>
            </w:r>
          </w:hyperlink>
        </w:p>
        <w:p w14:paraId="37B0D923" w14:textId="212E4202" w:rsidR="002B7156" w:rsidRPr="002B7156" w:rsidRDefault="002B7156">
          <w:pPr>
            <w:pStyle w:val="TOC3"/>
            <w:rPr>
              <w:rFonts w:asciiTheme="minorHAnsi" w:hAnsiTheme="minorHAnsi"/>
              <w:b w:val="0"/>
              <w:bCs/>
              <w:color w:val="auto"/>
              <w:kern w:val="2"/>
              <w:sz w:val="24"/>
              <w:szCs w:val="24"/>
              <w14:ligatures w14:val="standardContextual"/>
            </w:rPr>
          </w:pPr>
          <w:hyperlink w:anchor="_Toc244012590" w:history="1">
            <w:r w:rsidRPr="002B7156">
              <w:rPr>
                <w:rStyle w:val="Hyperlink"/>
                <w:b w:val="0"/>
                <w:bCs/>
              </w:rPr>
              <w:t>Acknowledgements</w:t>
            </w:r>
            <w:r w:rsidRPr="002B7156">
              <w:rPr>
                <w:b w:val="0"/>
                <w:bCs/>
                <w:webHidden/>
              </w:rPr>
              <w:tab/>
            </w:r>
            <w:r w:rsidRPr="002B7156">
              <w:rPr>
                <w:b w:val="0"/>
                <w:bCs/>
                <w:webHidden/>
              </w:rPr>
              <w:fldChar w:fldCharType="begin"/>
            </w:r>
            <w:r w:rsidRPr="002B7156">
              <w:rPr>
                <w:b w:val="0"/>
                <w:bCs/>
                <w:webHidden/>
              </w:rPr>
              <w:instrText xml:space="preserve"> PAGEREF _Toc244012590 \h </w:instrText>
            </w:r>
            <w:r w:rsidRPr="002B7156">
              <w:rPr>
                <w:b w:val="0"/>
                <w:bCs/>
                <w:webHidden/>
              </w:rPr>
            </w:r>
            <w:r w:rsidRPr="002B7156">
              <w:rPr>
                <w:b w:val="0"/>
                <w:bCs/>
                <w:webHidden/>
              </w:rPr>
              <w:fldChar w:fldCharType="separate"/>
            </w:r>
            <w:r w:rsidRPr="002B7156">
              <w:rPr>
                <w:b w:val="0"/>
                <w:bCs/>
                <w:webHidden/>
              </w:rPr>
              <w:t>21</w:t>
            </w:r>
            <w:r w:rsidRPr="002B7156">
              <w:rPr>
                <w:b w:val="0"/>
                <w:bCs/>
                <w:webHidden/>
              </w:rPr>
              <w:fldChar w:fldCharType="end"/>
            </w:r>
          </w:hyperlink>
        </w:p>
        <w:p w14:paraId="1686D86D" w14:textId="4F18ABB7" w:rsidR="002B7156" w:rsidRDefault="002B7156">
          <w:pPr>
            <w:pStyle w:val="TOC1"/>
            <w:rPr>
              <w:rFonts w:asciiTheme="minorHAnsi" w:hAnsiTheme="minorHAnsi"/>
              <w:bCs w:val="0"/>
              <w:kern w:val="2"/>
              <w:sz w:val="24"/>
              <w:szCs w:val="24"/>
              <w:lang w:eastAsia="en-AU"/>
              <w14:ligatures w14:val="standardContextual"/>
            </w:rPr>
          </w:pPr>
          <w:hyperlink w:anchor="_Toc244012591" w:history="1">
            <w:r w:rsidRPr="00ED1A61">
              <w:rPr>
                <w:rStyle w:val="Hyperlink"/>
              </w:rPr>
              <w:t>Glossary</w:t>
            </w:r>
            <w:r>
              <w:rPr>
                <w:webHidden/>
              </w:rPr>
              <w:tab/>
            </w:r>
            <w:r>
              <w:rPr>
                <w:webHidden/>
              </w:rPr>
              <w:fldChar w:fldCharType="begin"/>
            </w:r>
            <w:r>
              <w:rPr>
                <w:webHidden/>
              </w:rPr>
              <w:instrText xml:space="preserve"> PAGEREF _Toc244012591 \h </w:instrText>
            </w:r>
            <w:r>
              <w:rPr>
                <w:webHidden/>
              </w:rPr>
            </w:r>
            <w:r>
              <w:rPr>
                <w:webHidden/>
              </w:rPr>
              <w:fldChar w:fldCharType="separate"/>
            </w:r>
            <w:r>
              <w:rPr>
                <w:webHidden/>
              </w:rPr>
              <w:t>22</w:t>
            </w:r>
            <w:r>
              <w:rPr>
                <w:webHidden/>
              </w:rPr>
              <w:fldChar w:fldCharType="end"/>
            </w:r>
          </w:hyperlink>
        </w:p>
        <w:p w14:paraId="7890F203" w14:textId="4E2996BA" w:rsidR="006034F7" w:rsidRPr="00883AB8" w:rsidRDefault="006034F7">
          <w:r w:rsidRPr="00883AB8">
            <w:rPr>
              <w:bCs/>
            </w:rPr>
            <w:fldChar w:fldCharType="end"/>
          </w:r>
        </w:p>
      </w:sdtContent>
    </w:sdt>
    <w:p w14:paraId="3886F538" w14:textId="4C0C1313" w:rsidR="00C50A2B" w:rsidRPr="00883AB8" w:rsidRDefault="00C50A2B" w:rsidP="00F71150">
      <w:pPr>
        <w:pStyle w:val="SCVbody"/>
      </w:pPr>
    </w:p>
    <w:p w14:paraId="53EE2367" w14:textId="77777777" w:rsidR="00A27B01" w:rsidRPr="00883AB8" w:rsidRDefault="00A27B01" w:rsidP="00A45CB0">
      <w:pPr>
        <w:pStyle w:val="SCVbody"/>
        <w:rPr>
          <w:lang w:eastAsia="en-US"/>
        </w:rPr>
      </w:pPr>
    </w:p>
    <w:p w14:paraId="71D11529" w14:textId="77777777" w:rsidR="00FE25D0" w:rsidRPr="00883AB8" w:rsidRDefault="00FE25D0" w:rsidP="00A45CB0">
      <w:pPr>
        <w:pStyle w:val="SCVbody"/>
        <w:rPr>
          <w:lang w:eastAsia="en-US"/>
        </w:rPr>
        <w:sectPr w:rsidR="00FE25D0" w:rsidRPr="00883AB8" w:rsidSect="00B01B15">
          <w:headerReference w:type="even" r:id="rId25"/>
          <w:headerReference w:type="default" r:id="rId26"/>
          <w:footerReference w:type="even" r:id="rId27"/>
          <w:footerReference w:type="default" r:id="rId28"/>
          <w:pgSz w:w="11906" w:h="16838" w:code="9"/>
          <w:pgMar w:top="3402" w:right="851" w:bottom="1361" w:left="851" w:header="851" w:footer="851" w:gutter="0"/>
          <w:pgNumType w:start="1"/>
          <w:cols w:space="284"/>
          <w:docGrid w:linePitch="360"/>
        </w:sectPr>
      </w:pPr>
    </w:p>
    <w:p w14:paraId="14C655EE" w14:textId="77777777" w:rsidR="00053702" w:rsidRPr="00883AB8" w:rsidRDefault="00053702" w:rsidP="008B07D2">
      <w:pPr>
        <w:pStyle w:val="Heading2"/>
      </w:pPr>
      <w:bookmarkStart w:id="0" w:name="_Toc234231652"/>
      <w:bookmarkStart w:id="1" w:name="_Toc244005609"/>
      <w:bookmarkStart w:id="2" w:name="_Toc244012551"/>
      <w:r w:rsidRPr="00883AB8">
        <w:lastRenderedPageBreak/>
        <w:t>Purpose</w:t>
      </w:r>
      <w:bookmarkEnd w:id="0"/>
      <w:bookmarkEnd w:id="1"/>
      <w:bookmarkEnd w:id="2"/>
    </w:p>
    <w:p w14:paraId="4E013E52" w14:textId="77777777" w:rsidR="005B15DE" w:rsidRPr="00883AB8" w:rsidRDefault="00053702" w:rsidP="005B15DE">
      <w:pPr>
        <w:pStyle w:val="SCVintroductorytext"/>
        <w:spacing w:after="320" w:line="240" w:lineRule="auto"/>
      </w:pPr>
      <w:r w:rsidRPr="00883AB8">
        <w:t xml:space="preserve">The Victorian public expects that all medical and dental practitioners working in health services are appropriately trained, qualified and skilled to undertake the care and services they provide. Health service leaders have a responsibility to ensure robust clinical governance processes are in place and that practitioners’ individual scopes of practice align with the health service’s specific capability. </w:t>
      </w:r>
      <w:bookmarkStart w:id="3" w:name="_Toc234231653"/>
    </w:p>
    <w:p w14:paraId="4FA5DEE5" w14:textId="0FD3DE3B" w:rsidR="00053702" w:rsidRPr="00883AB8" w:rsidRDefault="00053702" w:rsidP="008B07D2">
      <w:pPr>
        <w:pStyle w:val="Heading2"/>
      </w:pPr>
      <w:bookmarkStart w:id="4" w:name="_Toc244005610"/>
      <w:bookmarkStart w:id="5" w:name="_Toc244012552"/>
      <w:r w:rsidRPr="00883AB8">
        <w:t>Target audience</w:t>
      </w:r>
      <w:bookmarkEnd w:id="3"/>
      <w:bookmarkEnd w:id="4"/>
      <w:bookmarkEnd w:id="5"/>
      <w:r w:rsidRPr="00883AB8">
        <w:t xml:space="preserve"> </w:t>
      </w:r>
    </w:p>
    <w:p w14:paraId="2964DCDF" w14:textId="77777777" w:rsidR="00053702" w:rsidRPr="00883AB8" w:rsidRDefault="00053702" w:rsidP="00053702">
      <w:pPr>
        <w:pStyle w:val="SCVbody"/>
        <w:rPr>
          <w:rFonts w:eastAsia="Times New Roman"/>
          <w:lang w:eastAsia="en-US"/>
        </w:rPr>
      </w:pPr>
      <w:r w:rsidRPr="00883AB8">
        <w:t xml:space="preserve">This policy is for leaders of health service organisations who are responsible for credentialing and setting scope of practice for medical and dental practitioners with independent responsibility for patient care. It offers robust guidance at the site, shared network and regional levels. It applies to public and private health services and </w:t>
      </w:r>
      <w:r w:rsidRPr="00883AB8">
        <w:rPr>
          <w:rFonts w:eastAsia="Times New Roman"/>
          <w:lang w:eastAsia="en-US"/>
        </w:rPr>
        <w:t xml:space="preserve">hospitals, including day procedure units and community health services. </w:t>
      </w:r>
    </w:p>
    <w:p w14:paraId="1D7A1D26" w14:textId="77777777" w:rsidR="00053702" w:rsidRPr="00883AB8" w:rsidRDefault="00053702" w:rsidP="00053702">
      <w:pPr>
        <w:pStyle w:val="SCVbody"/>
        <w:rPr>
          <w:rFonts w:eastAsia="Times New Roman"/>
          <w:lang w:eastAsia="en-US"/>
        </w:rPr>
      </w:pPr>
      <w:r w:rsidRPr="00883AB8">
        <w:rPr>
          <w:rFonts w:eastAsia="Times New Roman"/>
          <w:lang w:eastAsia="en-US"/>
        </w:rPr>
        <w:t xml:space="preserve">The requirements outlined in this document are consistent with: </w:t>
      </w:r>
    </w:p>
    <w:p w14:paraId="70BCEEE1" w14:textId="77777777" w:rsidR="00053702" w:rsidRPr="00883AB8" w:rsidRDefault="00053702" w:rsidP="005B15DE">
      <w:pPr>
        <w:pStyle w:val="SCVbullet1"/>
      </w:pPr>
      <w:r w:rsidRPr="00883AB8">
        <w:t xml:space="preserve">the Australian Commission on Safety and Quality in Health Care guidelines for credentialing and defining scope of practice </w:t>
      </w:r>
    </w:p>
    <w:p w14:paraId="1B2510CC" w14:textId="77777777" w:rsidR="00053702" w:rsidRPr="00883AB8" w:rsidRDefault="00053702" w:rsidP="005B15DE">
      <w:pPr>
        <w:pStyle w:val="SCVbullet1"/>
      </w:pPr>
      <w:r w:rsidRPr="00883AB8">
        <w:t xml:space="preserve">the National Safety and Quality Health Service Standards. </w:t>
      </w:r>
    </w:p>
    <w:p w14:paraId="78021AAD" w14:textId="77777777" w:rsidR="00053702" w:rsidRPr="00883AB8" w:rsidRDefault="00053702" w:rsidP="00053702">
      <w:pPr>
        <w:pStyle w:val="SCVbody"/>
        <w:rPr>
          <w:rFonts w:eastAsia="Times New Roman"/>
          <w:lang w:eastAsia="en-US"/>
        </w:rPr>
      </w:pPr>
      <w:r w:rsidRPr="00883AB8">
        <w:rPr>
          <w:rFonts w:eastAsia="Times New Roman"/>
          <w:lang w:eastAsia="en-US"/>
        </w:rPr>
        <w:t xml:space="preserve">It also supports </w:t>
      </w:r>
      <w:r w:rsidRPr="00883AB8">
        <w:t xml:space="preserve">compliance </w:t>
      </w:r>
      <w:r w:rsidRPr="00883AB8">
        <w:rPr>
          <w:rFonts w:eastAsia="Times New Roman"/>
          <w:lang w:eastAsia="en-US"/>
        </w:rPr>
        <w:t>with s 8 of the Health Services (Health Service Establishments) Regulations 2024.</w:t>
      </w:r>
    </w:p>
    <w:p w14:paraId="03C66460" w14:textId="77777777" w:rsidR="00053702" w:rsidRPr="00883AB8" w:rsidRDefault="00053702" w:rsidP="00053702">
      <w:pPr>
        <w:pStyle w:val="SCVbody"/>
      </w:pPr>
      <w:r w:rsidRPr="00883AB8">
        <w:t xml:space="preserve">The policy applies to public and private medical and dental practitioners regardless of contractual status (permanent, temporary or visiting) or the time fraction (full-time, part-time, honorary or sessional) of their appointment. </w:t>
      </w:r>
    </w:p>
    <w:p w14:paraId="6D055E5C" w14:textId="77777777" w:rsidR="00053702" w:rsidRPr="00883AB8" w:rsidRDefault="00053702" w:rsidP="00053702">
      <w:pPr>
        <w:pStyle w:val="SCVbody"/>
      </w:pPr>
      <w:r w:rsidRPr="00883AB8">
        <w:t xml:space="preserve">For the purposes of this document all references to ‘practitioners’ can be taken to mean </w:t>
      </w:r>
      <w:r w:rsidRPr="00883AB8">
        <w:rPr>
          <w:i/>
          <w:iCs/>
        </w:rPr>
        <w:t>medical and dental practitioners</w:t>
      </w:r>
      <w:r w:rsidRPr="00883AB8">
        <w:t xml:space="preserve">, except where it may be specified otherwise. </w:t>
      </w:r>
    </w:p>
    <w:p w14:paraId="0201E510" w14:textId="77777777" w:rsidR="00053702" w:rsidRPr="00883AB8" w:rsidRDefault="00053702" w:rsidP="00053702">
      <w:pPr>
        <w:pStyle w:val="SCVbody"/>
        <w:rPr>
          <w:rFonts w:eastAsia="Times New Roman"/>
          <w:lang w:eastAsia="en-US"/>
        </w:rPr>
      </w:pPr>
      <w:r w:rsidRPr="00883AB8">
        <w:rPr>
          <w:rFonts w:eastAsia="Times New Roman"/>
          <w:lang w:eastAsia="en-US"/>
        </w:rPr>
        <w:t xml:space="preserve">Health services must have processes in place to: </w:t>
      </w:r>
    </w:p>
    <w:p w14:paraId="1DBD512F" w14:textId="77777777" w:rsidR="00053702" w:rsidRPr="00883AB8" w:rsidRDefault="00053702" w:rsidP="005B15DE">
      <w:pPr>
        <w:pStyle w:val="SCVbullet1"/>
      </w:pPr>
      <w:r w:rsidRPr="00883AB8">
        <w:t>formally assess the credentials and determine the scope of practice of all practitioners every 3 years</w:t>
      </w:r>
    </w:p>
    <w:p w14:paraId="02E03EAA" w14:textId="77777777" w:rsidR="00053702" w:rsidRPr="00883AB8" w:rsidRDefault="00053702" w:rsidP="005B15DE">
      <w:pPr>
        <w:pStyle w:val="SCVbullet1"/>
      </w:pPr>
      <w:r w:rsidRPr="00883AB8">
        <w:t>set the scope of practice for all practitioners before starting work at the health service</w:t>
      </w:r>
    </w:p>
    <w:p w14:paraId="6FD0A7EB" w14:textId="77777777" w:rsidR="00053702" w:rsidRPr="00883AB8" w:rsidRDefault="00053702" w:rsidP="005B15DE">
      <w:pPr>
        <w:pStyle w:val="SCVbullet1"/>
      </w:pPr>
      <w:r w:rsidRPr="00883AB8">
        <w:t>assess the competence and performance of all practitioners in between formal cycles</w:t>
      </w:r>
    </w:p>
    <w:p w14:paraId="32C6CA00" w14:textId="77777777" w:rsidR="00053702" w:rsidRPr="00883AB8" w:rsidRDefault="00053702" w:rsidP="005B15DE">
      <w:pPr>
        <w:pStyle w:val="SCVbullet1"/>
      </w:pPr>
      <w:r w:rsidRPr="00883AB8">
        <w:t xml:space="preserve">assess and review services provided by each practitioner in line with the service’s capability and patient acuity. </w:t>
      </w:r>
    </w:p>
    <w:p w14:paraId="0F403480" w14:textId="77777777" w:rsidR="00053702" w:rsidRPr="00883AB8" w:rsidRDefault="00053702" w:rsidP="00053702">
      <w:pPr>
        <w:pStyle w:val="SCVbody"/>
      </w:pPr>
      <w:r w:rsidRPr="00883AB8">
        <w:t xml:space="preserve">When applied to </w:t>
      </w:r>
      <w:r w:rsidRPr="00883AB8">
        <w:rPr>
          <w:b/>
          <w:bCs/>
        </w:rPr>
        <w:t>dental practitioners</w:t>
      </w:r>
      <w:r w:rsidRPr="00883AB8">
        <w:t xml:space="preserve"> the policy allows a dentist to provide clinical services at a Victorian health service under the </w:t>
      </w:r>
      <w:hyperlink r:id="rId29" w:history="1">
        <w:r w:rsidRPr="00883AB8">
          <w:rPr>
            <w:rStyle w:val="Hyperlink"/>
          </w:rPr>
          <w:t xml:space="preserve">Dental Board of Australia’s </w:t>
        </w:r>
        <w:r w:rsidRPr="00883AB8">
          <w:rPr>
            <w:rStyle w:val="Hyperlink"/>
            <w:i/>
            <w:iCs/>
          </w:rPr>
          <w:t>Guidelines for scope of practice</w:t>
        </w:r>
      </w:hyperlink>
      <w:r w:rsidRPr="00883AB8">
        <w:t>.</w:t>
      </w:r>
    </w:p>
    <w:p w14:paraId="2D2AC574" w14:textId="77777777" w:rsidR="00053702" w:rsidRPr="00883AB8" w:rsidRDefault="00053702" w:rsidP="00053702">
      <w:pPr>
        <w:pStyle w:val="SCVbody"/>
      </w:pPr>
      <w:r w:rsidRPr="00883AB8">
        <w:t xml:space="preserve">Health services may consider the credentialing and scope of practice of a dentist under various circumstances. These include, but are not limited to: </w:t>
      </w:r>
    </w:p>
    <w:p w14:paraId="5CE5BA65" w14:textId="77777777" w:rsidR="00053702" w:rsidRPr="00883AB8" w:rsidRDefault="00053702" w:rsidP="008B07D2">
      <w:pPr>
        <w:pStyle w:val="SCVbullet1"/>
      </w:pPr>
      <w:r w:rsidRPr="00883AB8">
        <w:t xml:space="preserve">dentists employed by any health service with dental services on a locum (casual), part-time or full-time basis </w:t>
      </w:r>
    </w:p>
    <w:p w14:paraId="742CAAED" w14:textId="77777777" w:rsidR="00053702" w:rsidRPr="00883AB8" w:rsidRDefault="00053702" w:rsidP="008B07D2">
      <w:pPr>
        <w:pStyle w:val="SCVbullet1"/>
      </w:pPr>
      <w:r w:rsidRPr="00883AB8">
        <w:lastRenderedPageBreak/>
        <w:t xml:space="preserve">private dentists seeking to use health service operating theatres – usually for patients needing treatment under general anaesthetic or intravenous sedation. </w:t>
      </w:r>
    </w:p>
    <w:p w14:paraId="70A63810" w14:textId="77777777" w:rsidR="00053702" w:rsidRPr="00883AB8" w:rsidRDefault="00053702" w:rsidP="00053702">
      <w:pPr>
        <w:pStyle w:val="SCVbody"/>
      </w:pPr>
      <w:r w:rsidRPr="00883AB8">
        <w:t xml:space="preserve">Locum agencies must undertake robust credentialing. Agencies should therefore follow the credentialing and scope of clinical practice processes outlined in this policy when onboarding practitioners. </w:t>
      </w:r>
    </w:p>
    <w:p w14:paraId="33C1A24B" w14:textId="77777777" w:rsidR="00053702" w:rsidRPr="00883AB8" w:rsidRDefault="00053702" w:rsidP="008B07D2">
      <w:pPr>
        <w:pStyle w:val="Heading2"/>
      </w:pPr>
      <w:bookmarkStart w:id="6" w:name="_Toc234231654"/>
      <w:bookmarkStart w:id="7" w:name="_Toc244005611"/>
      <w:bookmarkStart w:id="8" w:name="_Toc244012553"/>
      <w:r w:rsidRPr="00883AB8">
        <w:t>Background</w:t>
      </w:r>
      <w:bookmarkEnd w:id="6"/>
      <w:bookmarkEnd w:id="7"/>
      <w:bookmarkEnd w:id="8"/>
    </w:p>
    <w:p w14:paraId="267BE10D" w14:textId="77777777" w:rsidR="00053702" w:rsidRPr="00883AB8" w:rsidRDefault="00053702" w:rsidP="00053702">
      <w:pPr>
        <w:pStyle w:val="SCVbodyafterheading"/>
      </w:pPr>
      <w:r w:rsidRPr="00883AB8">
        <w:t xml:space="preserve">The </w:t>
      </w:r>
      <w:r w:rsidRPr="00883AB8">
        <w:rPr>
          <w:i/>
          <w:iCs/>
        </w:rPr>
        <w:t xml:space="preserve">Credentialing and scope of clinical practice for senior medical practitioners policy </w:t>
      </w:r>
      <w:r w:rsidRPr="00883AB8">
        <w:t xml:space="preserve">was refined in 2020 to specifically address declared statewide emergencies such as natural disasters and global pandemics. </w:t>
      </w:r>
    </w:p>
    <w:p w14:paraId="79758656" w14:textId="1D607454" w:rsidR="00053702" w:rsidRPr="00883AB8" w:rsidRDefault="00053702" w:rsidP="00053702">
      <w:pPr>
        <w:pStyle w:val="SCVbodyafterheading"/>
      </w:pPr>
      <w:r w:rsidRPr="00883AB8">
        <w:t xml:space="preserve">This 2026 revision aims to strengthen guidance on best practice clinical governance principles aligned with the 5 domains of the </w:t>
      </w:r>
      <w:hyperlink r:id="rId30" w:history="1">
        <w:r w:rsidRPr="00883AB8">
          <w:rPr>
            <w:rStyle w:val="Hyperlink"/>
            <w:i/>
            <w:iCs/>
          </w:rPr>
          <w:t>Victorian clinical governance framework</w:t>
        </w:r>
      </w:hyperlink>
      <w:r w:rsidRPr="00883AB8">
        <w:t xml:space="preserve"> to ensure robust and consistent credentialing and scope of practice processes are in place across Victorian healthcare organisations.</w:t>
      </w:r>
    </w:p>
    <w:p w14:paraId="2CAF908C" w14:textId="77777777" w:rsidR="00053702" w:rsidRPr="00883AB8" w:rsidRDefault="00053702" w:rsidP="00053702">
      <w:pPr>
        <w:pStyle w:val="SCVbody"/>
      </w:pPr>
      <w:r w:rsidRPr="00883AB8">
        <w:t xml:space="preserve">Health services must also meet the Australian Commission on Safety and Quality in Health Care Standards. </w:t>
      </w:r>
    </w:p>
    <w:p w14:paraId="664915B6" w14:textId="77777777" w:rsidR="00053702" w:rsidRPr="00883AB8" w:rsidRDefault="00053702" w:rsidP="008B07D2">
      <w:pPr>
        <w:pStyle w:val="Heading2"/>
      </w:pPr>
      <w:bookmarkStart w:id="9" w:name="_Toc234231655"/>
      <w:bookmarkStart w:id="10" w:name="_Toc244005612"/>
      <w:bookmarkStart w:id="11" w:name="_Toc244012554"/>
      <w:r w:rsidRPr="00883AB8">
        <w:t>Policy</w:t>
      </w:r>
      <w:bookmarkEnd w:id="9"/>
      <w:bookmarkEnd w:id="10"/>
      <w:bookmarkEnd w:id="11"/>
      <w:r w:rsidRPr="00883AB8">
        <w:t xml:space="preserve"> </w:t>
      </w:r>
    </w:p>
    <w:p w14:paraId="1CD2D291" w14:textId="77777777" w:rsidR="00053702" w:rsidRPr="00883AB8" w:rsidRDefault="00053702" w:rsidP="00053702">
      <w:pPr>
        <w:pStyle w:val="SCVbody"/>
      </w:pPr>
      <w:r w:rsidRPr="00883AB8">
        <w:t xml:space="preserve">This policy provides the basis for a consistent approach to credentialing and defining the scope of clinical practice for practitioners and their contracted health service(s) where they have, or wish to obtain, visiting rights by: </w:t>
      </w:r>
    </w:p>
    <w:p w14:paraId="5EE4CA48" w14:textId="77777777" w:rsidR="00053702" w:rsidRPr="00883AB8" w:rsidRDefault="00053702" w:rsidP="008B07D2">
      <w:pPr>
        <w:pStyle w:val="SCVbullet1"/>
      </w:pPr>
      <w:r w:rsidRPr="00883AB8">
        <w:t>providing clear guidance on best practice principles for credentialing practitioners</w:t>
      </w:r>
    </w:p>
    <w:p w14:paraId="0A31228C" w14:textId="77777777" w:rsidR="00053702" w:rsidRPr="00883AB8" w:rsidRDefault="00053702" w:rsidP="008B07D2">
      <w:pPr>
        <w:pStyle w:val="SCVbullet1"/>
      </w:pPr>
      <w:r w:rsidRPr="00883AB8">
        <w:t>strengthening governance for ongoing review and evaluation of practitioners’ engagement and professional conduct between formal credentialing events</w:t>
      </w:r>
    </w:p>
    <w:p w14:paraId="1A07080A" w14:textId="77777777" w:rsidR="00053702" w:rsidRPr="00883AB8" w:rsidRDefault="00053702" w:rsidP="008B07D2">
      <w:pPr>
        <w:pStyle w:val="SCVbullet1"/>
      </w:pPr>
      <w:r w:rsidRPr="00883AB8">
        <w:t>ensuring a robust, risk-based approach to credentialing and scope of practice.</w:t>
      </w:r>
    </w:p>
    <w:p w14:paraId="1ACC1D6F" w14:textId="77777777" w:rsidR="00053702" w:rsidRPr="00883AB8" w:rsidRDefault="00053702" w:rsidP="00514668">
      <w:pPr>
        <w:pStyle w:val="Heading2"/>
      </w:pPr>
      <w:bookmarkStart w:id="12" w:name="_Toc234231656"/>
      <w:bookmarkStart w:id="13" w:name="_Toc244005613"/>
      <w:bookmarkStart w:id="14" w:name="_Toc244012555"/>
      <w:r w:rsidRPr="00883AB8">
        <w:t>Governance and process</w:t>
      </w:r>
      <w:bookmarkEnd w:id="12"/>
      <w:bookmarkEnd w:id="13"/>
      <w:bookmarkEnd w:id="14"/>
    </w:p>
    <w:p w14:paraId="2391EED6" w14:textId="77777777" w:rsidR="00053702" w:rsidRPr="00883AB8" w:rsidRDefault="00053702" w:rsidP="00053702">
      <w:pPr>
        <w:pStyle w:val="SCVbody"/>
      </w:pPr>
      <w:r w:rsidRPr="00883AB8">
        <w:t xml:space="preserve">All Victorian health services must have access to a credentialing committee, typically convened by the director of medical services (DMS) or an appropriately authorised senior medical leader. Committees should meet at least quarterly to ensure all appointments are reviewed within 3 months of starting work. </w:t>
      </w:r>
    </w:p>
    <w:p w14:paraId="30845478" w14:textId="77777777" w:rsidR="00053702" w:rsidRPr="00883AB8" w:rsidRDefault="00053702" w:rsidP="00053702">
      <w:pPr>
        <w:pStyle w:val="SCVbody"/>
      </w:pPr>
      <w:r w:rsidRPr="00883AB8">
        <w:t xml:space="preserve">Members of credentialing committees must: </w:t>
      </w:r>
    </w:p>
    <w:p w14:paraId="5FA9596E" w14:textId="77777777" w:rsidR="00053702" w:rsidRPr="00883AB8" w:rsidRDefault="00053702" w:rsidP="008B07D2">
      <w:pPr>
        <w:pStyle w:val="SCVbullet1"/>
      </w:pPr>
      <w:r w:rsidRPr="00883AB8">
        <w:t>have relevant expertise</w:t>
      </w:r>
    </w:p>
    <w:p w14:paraId="7ED8C8FE" w14:textId="77777777" w:rsidR="00053702" w:rsidRPr="00883AB8" w:rsidRDefault="00053702" w:rsidP="008B07D2">
      <w:pPr>
        <w:pStyle w:val="SCVbullet1"/>
      </w:pPr>
      <w:r w:rsidRPr="00883AB8">
        <w:t xml:space="preserve">understand the role of the committee </w:t>
      </w:r>
    </w:p>
    <w:p w14:paraId="5DA3B806" w14:textId="77777777" w:rsidR="00053702" w:rsidRPr="00883AB8" w:rsidRDefault="00053702" w:rsidP="008B07D2">
      <w:pPr>
        <w:pStyle w:val="SCVbullet1"/>
      </w:pPr>
      <w:r w:rsidRPr="00883AB8">
        <w:t xml:space="preserve">not have any conflicts of interest. </w:t>
      </w:r>
    </w:p>
    <w:p w14:paraId="6CD7B2D7" w14:textId="77777777" w:rsidR="00053702" w:rsidRPr="00883AB8" w:rsidRDefault="00053702" w:rsidP="00053702">
      <w:pPr>
        <w:pStyle w:val="SCVbody"/>
      </w:pPr>
      <w:r w:rsidRPr="00883AB8">
        <w:t>Where completely eliminating conflicts of interest is impractical, all conflicts must be declared. Health services must institute mitigation strategies to minimise risks as much as possible. Members should recuse themselves from decision-making on their own credentialing</w:t>
      </w:r>
      <w:r w:rsidRPr="00883AB8" w:rsidDel="004F571F">
        <w:t>.</w:t>
      </w:r>
      <w:r w:rsidRPr="00883AB8">
        <w:t xml:space="preserve"> Appropriate external members may be co-opted where necessary to avoid conflicts of interest or to access specialist expertise.</w:t>
      </w:r>
    </w:p>
    <w:p w14:paraId="29F4DB31" w14:textId="77777777" w:rsidR="00053702" w:rsidRPr="00883AB8" w:rsidRDefault="00053702" w:rsidP="00053702">
      <w:pPr>
        <w:pStyle w:val="SCVbody"/>
      </w:pPr>
      <w:r w:rsidRPr="00883AB8">
        <w:lastRenderedPageBreak/>
        <w:t>For private hospitals and day procedure units, the chair of the credentialing committee must be free from conflicts of interest (including financial) that may have a perceived or actual impact on their independence. Small health services (including sole practitioner clinics) must use an independent peer medical or dental practitioner (respectively) who has no financial interest in the health service.</w:t>
      </w:r>
    </w:p>
    <w:p w14:paraId="3189AEA9" w14:textId="77777777" w:rsidR="00053702" w:rsidRPr="00883AB8" w:rsidRDefault="00053702" w:rsidP="00053702">
      <w:pPr>
        <w:pStyle w:val="SCVbody"/>
      </w:pPr>
      <w:r w:rsidRPr="00883AB8">
        <w:t xml:space="preserve">The credentialing committee must verify key information to confirm each practitioner’s credentials and capacity to safely undertake the designated scope of practice. It is essential the information sought (and the way in which it is sought): </w:t>
      </w:r>
    </w:p>
    <w:p w14:paraId="09FE444B" w14:textId="77777777" w:rsidR="00053702" w:rsidRPr="00883AB8" w:rsidRDefault="00053702" w:rsidP="00384E2F">
      <w:pPr>
        <w:pStyle w:val="SCVbullet1"/>
      </w:pPr>
      <w:r w:rsidRPr="00883AB8">
        <w:t>validates credentials</w:t>
      </w:r>
    </w:p>
    <w:p w14:paraId="7A8E9BE1" w14:textId="77777777" w:rsidR="00053702" w:rsidRPr="00883AB8" w:rsidRDefault="00053702" w:rsidP="00384E2F">
      <w:pPr>
        <w:pStyle w:val="SCVbullet1"/>
      </w:pPr>
      <w:r w:rsidRPr="00883AB8">
        <w:t xml:space="preserve">supports the committee’s ability to critically analyse any information about credentials </w:t>
      </w:r>
    </w:p>
    <w:p w14:paraId="4BFEEE24" w14:textId="77777777" w:rsidR="00053702" w:rsidRPr="00883AB8" w:rsidRDefault="00053702" w:rsidP="00384E2F">
      <w:pPr>
        <w:pStyle w:val="SCVbullet1"/>
      </w:pPr>
      <w:r w:rsidRPr="00883AB8">
        <w:t xml:space="preserve">ensures the practitioner’s scope of practice aligns with the health service’s capability and patient acuity. </w:t>
      </w:r>
    </w:p>
    <w:p w14:paraId="0E02A808" w14:textId="77777777" w:rsidR="00053702" w:rsidRPr="00883AB8" w:rsidRDefault="00053702" w:rsidP="00053702">
      <w:pPr>
        <w:pStyle w:val="SCVbody"/>
      </w:pPr>
      <w:r w:rsidRPr="00883AB8">
        <w:t xml:space="preserve">While the credentialing committee is responsible for operationalising credentialing and scope of practice, the health service board, DMS and chief executive officer (CEO) should maintain oversight to ensure these processes are followed. </w:t>
      </w:r>
    </w:p>
    <w:p w14:paraId="16F5034A" w14:textId="77777777" w:rsidR="00053702" w:rsidRPr="00883AB8" w:rsidRDefault="00053702" w:rsidP="00053702">
      <w:pPr>
        <w:pStyle w:val="SCVbody"/>
      </w:pPr>
      <w:r w:rsidRPr="00883AB8">
        <w:t>Organisations may individualise governance structures and reporting arrangements to best suit their needs and circumstances.</w:t>
      </w:r>
    </w:p>
    <w:p w14:paraId="508BF331" w14:textId="77777777" w:rsidR="00053702" w:rsidRPr="00883AB8" w:rsidRDefault="00053702" w:rsidP="00053702">
      <w:pPr>
        <w:pStyle w:val="SCVbody"/>
      </w:pPr>
      <w:r w:rsidRPr="00883AB8">
        <w:t xml:space="preserve">It is the responsibility of everyone in the healthcare organisation, including boards and executives, to sustain a culture of psychological safety. This will empower staff to raise performance concerns in a supportive and constructive environment. Refer to the </w:t>
      </w:r>
      <w:hyperlink r:id="rId31" w:history="1">
        <w:r w:rsidRPr="00883AB8">
          <w:rPr>
            <w:rStyle w:val="Hyperlink"/>
            <w:i/>
            <w:iCs/>
          </w:rPr>
          <w:t>Victorian safety culture guide</w:t>
        </w:r>
      </w:hyperlink>
      <w:r w:rsidRPr="00883AB8">
        <w:t xml:space="preserve"> for more information.</w:t>
      </w:r>
    </w:p>
    <w:p w14:paraId="23FD7951" w14:textId="77777777" w:rsidR="00053702" w:rsidRPr="00883AB8" w:rsidRDefault="00053702" w:rsidP="00053702">
      <w:pPr>
        <w:pStyle w:val="SCVbody"/>
      </w:pPr>
      <w:r w:rsidRPr="00883AB8">
        <w:t>Credentialing may occur at the local, sub-regional, regional or state level. Partnerships between health services, including private hospitals and day procedure units, are encouraged to support a more resource-efficient approach. These partnerships help create a shared credentialing and review process. This approach streamlines the complexities that arise at the intersection of credentialing, scope of practice, performance management and Enterprise Agreement requirements – particularly when practitioners work across multiple services.</w:t>
      </w:r>
    </w:p>
    <w:p w14:paraId="4E23DC16" w14:textId="77777777" w:rsidR="00053702" w:rsidRPr="00883AB8" w:rsidRDefault="00053702" w:rsidP="00053702">
      <w:pPr>
        <w:pStyle w:val="SCVbody"/>
      </w:pPr>
      <w:r w:rsidRPr="00883AB8">
        <w:t xml:space="preserve">When a Local Health Service Network (LHSN) credentialing committee undertakes credentialing for its member health services, it must have a rigorous local process. This process ensures the health service is responsible for clearly defining and managing each practitioner’s credentialing and scope of clinical practice. It must consider input from the service’s senior leadership or regional directors of medical services. It must also align with the service’s capability framework and the statewide role delineation framework. </w:t>
      </w:r>
    </w:p>
    <w:p w14:paraId="50BF12A8" w14:textId="77777777" w:rsidR="00053702" w:rsidRPr="00883AB8" w:rsidRDefault="00053702" w:rsidP="00053702">
      <w:pPr>
        <w:pStyle w:val="SCVbody"/>
      </w:pPr>
      <w:r w:rsidRPr="00883AB8">
        <w:t>Note that assessing a practitioner’s credentialing and scope of clinical practice is not a performance review. While the process is informed by performance reviews, the focus is on strengthening governance and reducing risk to support high-quality care.</w:t>
      </w:r>
    </w:p>
    <w:p w14:paraId="4D3B88A1" w14:textId="77777777" w:rsidR="00053702" w:rsidRPr="00883AB8" w:rsidRDefault="00053702" w:rsidP="0033072D">
      <w:pPr>
        <w:pStyle w:val="Heading2"/>
      </w:pPr>
      <w:bookmarkStart w:id="15" w:name="_Toc234231657"/>
      <w:bookmarkStart w:id="16" w:name="_Toc244005614"/>
      <w:bookmarkStart w:id="17" w:name="_Toc244012556"/>
      <w:r w:rsidRPr="00883AB8">
        <w:lastRenderedPageBreak/>
        <w:t>Roles and responsibilities</w:t>
      </w:r>
      <w:bookmarkEnd w:id="15"/>
      <w:bookmarkEnd w:id="16"/>
      <w:bookmarkEnd w:id="17"/>
    </w:p>
    <w:p w14:paraId="7FF55AE8" w14:textId="77777777" w:rsidR="00053702" w:rsidRPr="00883AB8" w:rsidRDefault="00053702" w:rsidP="0033072D">
      <w:pPr>
        <w:pStyle w:val="Heading3"/>
      </w:pPr>
      <w:bookmarkStart w:id="18" w:name="_Toc234231658"/>
      <w:bookmarkStart w:id="19" w:name="_Toc244012557"/>
      <w:r w:rsidRPr="00883AB8">
        <w:t>The health service board</w:t>
      </w:r>
      <w:bookmarkEnd w:id="18"/>
      <w:bookmarkEnd w:id="19"/>
      <w:r w:rsidRPr="00883AB8">
        <w:t xml:space="preserve"> </w:t>
      </w:r>
    </w:p>
    <w:p w14:paraId="02AD6EFF" w14:textId="77777777" w:rsidR="00053702" w:rsidRPr="00883AB8" w:rsidRDefault="00053702" w:rsidP="00384E2F">
      <w:pPr>
        <w:pStyle w:val="SCVbullet1"/>
      </w:pPr>
      <w:r w:rsidRPr="00883AB8">
        <w:t>Provides oversight, assurance and accountability that credentialing and scope of clinical practice processes are robust, effective and align with Victorian and national policies and standards.</w:t>
      </w:r>
    </w:p>
    <w:p w14:paraId="5287D1BA" w14:textId="77777777" w:rsidR="00053702" w:rsidRPr="00883AB8" w:rsidRDefault="00053702" w:rsidP="00384E2F">
      <w:pPr>
        <w:pStyle w:val="SCVbullet1"/>
      </w:pPr>
      <w:r w:rsidRPr="00883AB8">
        <w:t>Provides oversight, assurance and accountability that critical credentialing and scope of practice activities are undertaken (for example, peer reviews, multidisciplinary team meetings and mortality and morbidity meetings).</w:t>
      </w:r>
    </w:p>
    <w:p w14:paraId="3F85A30A" w14:textId="77777777" w:rsidR="00053702" w:rsidRPr="00883AB8" w:rsidRDefault="00053702" w:rsidP="00384E2F">
      <w:pPr>
        <w:pStyle w:val="SCVbullet1"/>
      </w:pPr>
      <w:r w:rsidRPr="00883AB8">
        <w:t>Provides oversight and assurance of systems to track healthcare outcomes and patient experience to support performance measurement and benchmarking and to facilitate annual practitioner performance discussions.</w:t>
      </w:r>
    </w:p>
    <w:p w14:paraId="04CC98A5" w14:textId="77777777" w:rsidR="00053702" w:rsidRPr="00883AB8" w:rsidRDefault="00053702" w:rsidP="00384E2F">
      <w:pPr>
        <w:pStyle w:val="SCVbullet1"/>
      </w:pPr>
      <w:r w:rsidRPr="00883AB8">
        <w:t>Supports the CEO, DMS (or equivalent) and senior leadership to identify the needs and capabilities of the health service.</w:t>
      </w:r>
    </w:p>
    <w:p w14:paraId="38089588" w14:textId="77777777" w:rsidR="00053702" w:rsidRPr="00883AB8" w:rsidRDefault="00053702" w:rsidP="00384E2F">
      <w:pPr>
        <w:pStyle w:val="SCVbullet1"/>
      </w:pPr>
      <w:r w:rsidRPr="00883AB8">
        <w:t>Together with senior leadership, is responsible for monitoring and evaluating initiatives to manage medical workforce risks and clinical practice risks to the health service.</w:t>
      </w:r>
    </w:p>
    <w:p w14:paraId="3C5D66F6" w14:textId="77777777" w:rsidR="00053702" w:rsidRPr="00883AB8" w:rsidRDefault="00053702" w:rsidP="00384E2F">
      <w:pPr>
        <w:pStyle w:val="SCVbullet1"/>
      </w:pPr>
      <w:r w:rsidRPr="00883AB8">
        <w:t xml:space="preserve">Monitors credentialing and scope of practice data to ensure effective implementation and continuous improvements. </w:t>
      </w:r>
    </w:p>
    <w:p w14:paraId="6643BC10" w14:textId="77777777" w:rsidR="00053702" w:rsidRPr="00883AB8" w:rsidRDefault="00053702" w:rsidP="00384E2F">
      <w:pPr>
        <w:pStyle w:val="SCVbullet1"/>
      </w:pPr>
      <w:r w:rsidRPr="00883AB8">
        <w:t xml:space="preserve">Notifies the </w:t>
      </w:r>
      <w:bookmarkStart w:id="20" w:name="_Hlk195598089"/>
      <w:r w:rsidRPr="00883AB8">
        <w:t>Australian Health Practitioner Regulation Agency</w:t>
      </w:r>
      <w:bookmarkEnd w:id="20"/>
      <w:r w:rsidRPr="00883AB8">
        <w:t xml:space="preserve"> (Ahpra) of any significant departures from accepted professional standards that may place the public at risk (this is a shared responsibility).</w:t>
      </w:r>
    </w:p>
    <w:p w14:paraId="4F92A3B4" w14:textId="77777777" w:rsidR="00053702" w:rsidRPr="00883AB8" w:rsidRDefault="00053702" w:rsidP="00384E2F">
      <w:pPr>
        <w:pStyle w:val="SCVbullet1"/>
      </w:pPr>
      <w:r w:rsidRPr="00883AB8">
        <w:t>Provides oversight of semi-regular audits to ensure effective credentialing and scope of practice processes and timely notification of changes in conditions of a practitioner’s registration.</w:t>
      </w:r>
    </w:p>
    <w:p w14:paraId="479F0DD3" w14:textId="77777777" w:rsidR="00053702" w:rsidRPr="00883AB8" w:rsidRDefault="00053702" w:rsidP="0033072D">
      <w:pPr>
        <w:pStyle w:val="Heading3"/>
      </w:pPr>
      <w:bookmarkStart w:id="21" w:name="_Toc234231659"/>
      <w:bookmarkStart w:id="22" w:name="_Toc244012558"/>
      <w:r w:rsidRPr="00883AB8">
        <w:t>The health service CEO (or equivalent)</w:t>
      </w:r>
      <w:bookmarkEnd w:id="21"/>
      <w:bookmarkEnd w:id="22"/>
    </w:p>
    <w:p w14:paraId="3BE244E6" w14:textId="77777777" w:rsidR="00053702" w:rsidRPr="00883AB8" w:rsidRDefault="00053702" w:rsidP="00384E2F">
      <w:pPr>
        <w:pStyle w:val="SCVbullet1"/>
      </w:pPr>
      <w:r w:rsidRPr="00883AB8">
        <w:t>Helps facilitate credentialing and scope of clinical practice processes that are robust, effective and align with Victorian and national policies and standards.</w:t>
      </w:r>
    </w:p>
    <w:p w14:paraId="7279FEF2" w14:textId="77777777" w:rsidR="00053702" w:rsidRPr="00883AB8" w:rsidRDefault="00053702" w:rsidP="00384E2F">
      <w:pPr>
        <w:pStyle w:val="SCVbullet1"/>
      </w:pPr>
      <w:r w:rsidRPr="00883AB8">
        <w:t>Helps ensure critical credentialing and scope of practice activities are undertaken (for example, peer reviews, multidisciplinary team meetings and mortality and morbidity meetings).</w:t>
      </w:r>
    </w:p>
    <w:p w14:paraId="4D36907C" w14:textId="77777777" w:rsidR="00053702" w:rsidRPr="00883AB8" w:rsidRDefault="00053702" w:rsidP="00384E2F">
      <w:pPr>
        <w:pStyle w:val="SCVbullet1"/>
      </w:pPr>
      <w:r w:rsidRPr="00883AB8">
        <w:t>Supports oversight of systems that track healthcare outcomes and patient experience, to strengthen performance measurement, benchmarking and annual practitioner performance discussions.</w:t>
      </w:r>
    </w:p>
    <w:p w14:paraId="4151C794" w14:textId="77777777" w:rsidR="00053702" w:rsidRPr="00883AB8" w:rsidRDefault="00053702" w:rsidP="00384E2F">
      <w:pPr>
        <w:pStyle w:val="SCVbullet1"/>
      </w:pPr>
      <w:r w:rsidRPr="00883AB8">
        <w:t>Works with the board to identify health service needs and capabilities in line with service capability frameworks and the role delineation framework.</w:t>
      </w:r>
    </w:p>
    <w:p w14:paraId="79624D22" w14:textId="77777777" w:rsidR="00053702" w:rsidRPr="00883AB8" w:rsidRDefault="00053702" w:rsidP="00384E2F">
      <w:pPr>
        <w:pStyle w:val="SCVbullet1"/>
      </w:pPr>
      <w:r w:rsidRPr="00883AB8">
        <w:t>Oversees risks and potential for patient harm associated with different types of care delivered within the organisation.</w:t>
      </w:r>
    </w:p>
    <w:p w14:paraId="4B35FF6C" w14:textId="77777777" w:rsidR="00053702" w:rsidRPr="00883AB8" w:rsidRDefault="00053702" w:rsidP="00384E2F">
      <w:pPr>
        <w:pStyle w:val="SCVbullet1"/>
      </w:pPr>
      <w:r w:rsidRPr="00883AB8">
        <w:t>Identifies and manages medical and dental workforce risks and clinical practice risks.</w:t>
      </w:r>
    </w:p>
    <w:p w14:paraId="7194A5A0" w14:textId="77777777" w:rsidR="00053702" w:rsidRPr="00883AB8" w:rsidDel="00F11E69" w:rsidRDefault="00053702" w:rsidP="00384E2F">
      <w:pPr>
        <w:pStyle w:val="SCVbullet1"/>
      </w:pPr>
      <w:r w:rsidRPr="00883AB8">
        <w:t>Ensures robust credentialing processes and monitoring systems are in place.</w:t>
      </w:r>
    </w:p>
    <w:p w14:paraId="6EA2F1B2" w14:textId="77777777" w:rsidR="00053702" w:rsidRPr="00883AB8" w:rsidRDefault="00053702" w:rsidP="00384E2F">
      <w:pPr>
        <w:pStyle w:val="SCVbullet1"/>
      </w:pPr>
      <w:r w:rsidRPr="00883AB8">
        <w:t>Notifies the board of urgent appointments made outside of routine processes.</w:t>
      </w:r>
    </w:p>
    <w:p w14:paraId="7C1F1C31" w14:textId="77777777" w:rsidR="00053702" w:rsidRPr="00883AB8" w:rsidRDefault="00053702" w:rsidP="00384E2F">
      <w:pPr>
        <w:pStyle w:val="SCVbullet1"/>
      </w:pPr>
      <w:r w:rsidRPr="00883AB8">
        <w:t xml:space="preserve">Ensures the committee reviews urgent appointments within one calendar month. </w:t>
      </w:r>
    </w:p>
    <w:p w14:paraId="50897E9C" w14:textId="77777777" w:rsidR="00053702" w:rsidRPr="00883AB8" w:rsidRDefault="00053702" w:rsidP="00384E2F">
      <w:pPr>
        <w:pStyle w:val="SCVbullet1"/>
      </w:pPr>
      <w:r w:rsidRPr="00883AB8">
        <w:t>Evaluates the effectiveness and efficiency of credentialing processes and systems to inform improvements.</w:t>
      </w:r>
    </w:p>
    <w:p w14:paraId="45CAF56C" w14:textId="77777777" w:rsidR="00053702" w:rsidRPr="00883AB8" w:rsidRDefault="00053702" w:rsidP="00384E2F">
      <w:pPr>
        <w:pStyle w:val="SCVbullet1"/>
      </w:pPr>
      <w:r w:rsidRPr="00883AB8">
        <w:lastRenderedPageBreak/>
        <w:t>Notifies Ahpra of any significant departures from accepted professional standards that may place the public at risk (this is a shared responsibility).</w:t>
      </w:r>
    </w:p>
    <w:p w14:paraId="16360668" w14:textId="77777777" w:rsidR="00053702" w:rsidRPr="00883AB8" w:rsidRDefault="00053702" w:rsidP="00384E2F">
      <w:pPr>
        <w:pStyle w:val="SCVbullet1"/>
      </w:pPr>
      <w:r w:rsidRPr="00883AB8">
        <w:t>Supports oversight of semi-regular audits to ensure effective credentialing and scope of practice processes and timely notification of changes in conditions of a practitioner’s registration.</w:t>
      </w:r>
    </w:p>
    <w:p w14:paraId="31A072EA" w14:textId="77777777" w:rsidR="00053702" w:rsidRPr="00883AB8" w:rsidRDefault="00053702" w:rsidP="0033072D">
      <w:pPr>
        <w:pStyle w:val="Heading3"/>
      </w:pPr>
      <w:bookmarkStart w:id="23" w:name="_Toc234231660"/>
      <w:bookmarkStart w:id="24" w:name="_Toc244012559"/>
      <w:r w:rsidRPr="00883AB8">
        <w:t>Credentialing committee</w:t>
      </w:r>
      <w:bookmarkEnd w:id="23"/>
      <w:bookmarkEnd w:id="24"/>
      <w:r w:rsidRPr="00883AB8">
        <w:t xml:space="preserve"> </w:t>
      </w:r>
    </w:p>
    <w:p w14:paraId="73653826" w14:textId="77777777" w:rsidR="00053702" w:rsidRPr="00883AB8" w:rsidRDefault="00053702" w:rsidP="00384E2F">
      <w:pPr>
        <w:pStyle w:val="SCVbullet1"/>
      </w:pPr>
      <w:r w:rsidRPr="00883AB8">
        <w:t>Verifies the identity of applicants.</w:t>
      </w:r>
    </w:p>
    <w:p w14:paraId="0D27EC0A" w14:textId="77777777" w:rsidR="00053702" w:rsidRPr="00883AB8" w:rsidRDefault="00053702" w:rsidP="00384E2F">
      <w:pPr>
        <w:pStyle w:val="SCVbullet1"/>
      </w:pPr>
      <w:r w:rsidRPr="00883AB8">
        <w:t xml:space="preserve">Verifies that practitioners have current, appropriate qualifications. </w:t>
      </w:r>
    </w:p>
    <w:p w14:paraId="4F96F434" w14:textId="77777777" w:rsidR="00053702" w:rsidRPr="00883AB8" w:rsidRDefault="00053702" w:rsidP="00384E2F">
      <w:pPr>
        <w:pStyle w:val="SCVbullet1"/>
      </w:pPr>
      <w:r w:rsidRPr="00883AB8">
        <w:t>Ensures practitioners have the knowledge, skills and recency of practice to the requirements and capabilities of the health service.</w:t>
      </w:r>
    </w:p>
    <w:p w14:paraId="6D234E0C" w14:textId="77777777" w:rsidR="00053702" w:rsidRPr="00883AB8" w:rsidRDefault="00053702" w:rsidP="00384E2F">
      <w:pPr>
        <w:pStyle w:val="SCVbullet1"/>
      </w:pPr>
      <w:r w:rsidRPr="00883AB8">
        <w:t>Accesses information from relevant external sources such as Ahpra,</w:t>
      </w:r>
      <w:r w:rsidRPr="00883AB8" w:rsidDel="00C56AC4">
        <w:t xml:space="preserve"> </w:t>
      </w:r>
      <w:r w:rsidRPr="00883AB8">
        <w:t>referees, healthcare complaints authorities,</w:t>
      </w:r>
      <w:r w:rsidRPr="00883AB8" w:rsidDel="00C56AC4">
        <w:t xml:space="preserve"> </w:t>
      </w:r>
      <w:r w:rsidRPr="00883AB8">
        <w:t>annual insurance renewals, internet searches and any conditions or exemptions on insurance.</w:t>
      </w:r>
    </w:p>
    <w:p w14:paraId="7E76166B" w14:textId="77777777" w:rsidR="00053702" w:rsidRPr="00883AB8" w:rsidRDefault="00053702" w:rsidP="00384E2F">
      <w:pPr>
        <w:pStyle w:val="SCVbullet1"/>
      </w:pPr>
      <w:r w:rsidRPr="00883AB8">
        <w:t>Confirms a practitioner’s continuing professional development (CPD) compliance, participation in safety and quality activities (such as peer reviews) and performance review feedback.</w:t>
      </w:r>
    </w:p>
    <w:p w14:paraId="13471503" w14:textId="77777777" w:rsidR="00053702" w:rsidRPr="00883AB8" w:rsidRDefault="00053702" w:rsidP="00384E2F">
      <w:pPr>
        <w:pStyle w:val="SCVbullet1"/>
      </w:pPr>
      <w:r w:rsidRPr="00883AB8">
        <w:t>Identifies any personal, legal or professional impediments to practitioners.</w:t>
      </w:r>
    </w:p>
    <w:p w14:paraId="28FDDD99" w14:textId="77777777" w:rsidR="00053702" w:rsidRPr="00883AB8" w:rsidRDefault="00053702" w:rsidP="00384E2F">
      <w:pPr>
        <w:pStyle w:val="SCVbullet1"/>
      </w:pPr>
      <w:r w:rsidRPr="00883AB8">
        <w:t>Formally reviews credentialed practitioners at least every 3 years.</w:t>
      </w:r>
    </w:p>
    <w:p w14:paraId="2E2AF154" w14:textId="77777777" w:rsidR="00053702" w:rsidRPr="00883AB8" w:rsidRDefault="00053702" w:rsidP="00384E2F">
      <w:pPr>
        <w:pStyle w:val="SCVbullet1"/>
      </w:pPr>
      <w:r w:rsidRPr="00883AB8">
        <w:t>Based on formal reviews, makes credentialing and scope of clinical practice recommendations to the DMS and CEO for their approval and the health service board for their oversight.</w:t>
      </w:r>
    </w:p>
    <w:p w14:paraId="4078E694" w14:textId="77777777" w:rsidR="00053702" w:rsidRPr="00883AB8" w:rsidRDefault="00053702" w:rsidP="00384E2F">
      <w:pPr>
        <w:pStyle w:val="SCVbullet1"/>
      </w:pPr>
      <w:r w:rsidRPr="00883AB8">
        <w:t>Notifies Ahpra of any significant departures from accepted professional standards that may place the public at risk (this is a shared responsibility).</w:t>
      </w:r>
    </w:p>
    <w:p w14:paraId="7932850B" w14:textId="77777777" w:rsidR="00053702" w:rsidRPr="00883AB8" w:rsidRDefault="00053702" w:rsidP="00384E2F">
      <w:pPr>
        <w:pStyle w:val="SCVbullet1"/>
      </w:pPr>
      <w:r w:rsidRPr="00883AB8">
        <w:t>Ensures all credentialing and scope of practice processes comply with relevant confidentiality and privacy requirements.</w:t>
      </w:r>
    </w:p>
    <w:p w14:paraId="2226E990" w14:textId="77777777" w:rsidR="00053702" w:rsidRPr="00883AB8" w:rsidRDefault="00053702" w:rsidP="0033072D">
      <w:pPr>
        <w:pStyle w:val="Heading3"/>
      </w:pPr>
      <w:bookmarkStart w:id="25" w:name="_Toc234231661"/>
      <w:bookmarkStart w:id="26" w:name="_Toc244012560"/>
      <w:r w:rsidRPr="00883AB8">
        <w:t>Directors of medical services (or equivalent)</w:t>
      </w:r>
      <w:bookmarkEnd w:id="25"/>
      <w:bookmarkEnd w:id="26"/>
      <w:r w:rsidRPr="00883AB8">
        <w:t xml:space="preserve"> </w:t>
      </w:r>
    </w:p>
    <w:p w14:paraId="49DB08D0" w14:textId="77777777" w:rsidR="00053702" w:rsidRPr="00883AB8" w:rsidRDefault="00053702" w:rsidP="00384E2F">
      <w:pPr>
        <w:pStyle w:val="SCVbullet1"/>
      </w:pPr>
      <w:r w:rsidRPr="00883AB8">
        <w:t xml:space="preserve">Are responsible for </w:t>
      </w:r>
      <w:r w:rsidRPr="00883AB8" w:rsidDel="00A963A4">
        <w:t xml:space="preserve">all </w:t>
      </w:r>
      <w:r w:rsidRPr="00883AB8">
        <w:t xml:space="preserve">credentialing and scope of clinical practice decisions </w:t>
      </w:r>
      <w:r w:rsidRPr="00883AB8" w:rsidDel="00A963A4">
        <w:t xml:space="preserve">for all practitioners working </w:t>
      </w:r>
      <w:r w:rsidRPr="00883AB8">
        <w:t>within their health service.</w:t>
      </w:r>
    </w:p>
    <w:p w14:paraId="72EDE2AF" w14:textId="77777777" w:rsidR="00053702" w:rsidRPr="00883AB8" w:rsidRDefault="00053702" w:rsidP="00384E2F">
      <w:pPr>
        <w:pStyle w:val="SCVbullet1"/>
      </w:pPr>
      <w:r w:rsidRPr="00883AB8">
        <w:t xml:space="preserve">Authorise individual position descriptions and terms of appointment before appointing or reappointing practitioners. </w:t>
      </w:r>
    </w:p>
    <w:p w14:paraId="2B1E4C96" w14:textId="77777777" w:rsidR="00053702" w:rsidRPr="00883AB8" w:rsidRDefault="00053702" w:rsidP="00384E2F">
      <w:pPr>
        <w:pStyle w:val="SCVbullet1"/>
      </w:pPr>
      <w:r w:rsidRPr="00883AB8">
        <w:t xml:space="preserve">Ensure an appropriate scope of practice framework is in place that defines the potential scope for each practitioner craft group in line with the organisation’s service capability framework. </w:t>
      </w:r>
    </w:p>
    <w:p w14:paraId="446CD774" w14:textId="77777777" w:rsidR="00053702" w:rsidRPr="00883AB8" w:rsidRDefault="00053702" w:rsidP="00384E2F">
      <w:pPr>
        <w:pStyle w:val="SCVbullet1"/>
      </w:pPr>
      <w:r w:rsidRPr="00883AB8">
        <w:t>Ensure all practitioners regularly take part in peer review activities that provide feedback, set expectations, align goals and foster a culture of safety and continuous improvement in the health service.</w:t>
      </w:r>
    </w:p>
    <w:p w14:paraId="1E92697D" w14:textId="77777777" w:rsidR="00053702" w:rsidRPr="00883AB8" w:rsidRDefault="00053702" w:rsidP="00384E2F">
      <w:pPr>
        <w:pStyle w:val="SCVbullet1"/>
      </w:pPr>
      <w:r w:rsidRPr="00883AB8">
        <w:t>Ensure the healthcare organisation sustains a culture of psychological safety, enabling all staff to raise performance concerns in a supportive and constructive environment.</w:t>
      </w:r>
    </w:p>
    <w:p w14:paraId="71E5ACE9" w14:textId="77777777" w:rsidR="00053702" w:rsidRPr="00883AB8" w:rsidRDefault="00053702" w:rsidP="00384E2F">
      <w:pPr>
        <w:pStyle w:val="SCVbullet1"/>
      </w:pPr>
      <w:r w:rsidRPr="00883AB8">
        <w:t>Ensure systems to track healthcare outcomes and patient experience to support performance measurement and benchmarking and to facilitate annual practitioner performance discussions.</w:t>
      </w:r>
    </w:p>
    <w:p w14:paraId="132751F2" w14:textId="77777777" w:rsidR="00053702" w:rsidRPr="00883AB8" w:rsidDel="002A4FD7" w:rsidRDefault="00053702" w:rsidP="00384E2F">
      <w:pPr>
        <w:pStyle w:val="SCVbullet1"/>
      </w:pPr>
      <w:r w:rsidRPr="00883AB8">
        <w:t>Conduct semi-regular audits to ensure effective credentialing and scope of practice processes and timely notification of changes in conditions of a practitioner’s registration.</w:t>
      </w:r>
    </w:p>
    <w:p w14:paraId="667F6895" w14:textId="77777777" w:rsidR="00053702" w:rsidRPr="00883AB8" w:rsidRDefault="00053702" w:rsidP="00384E2F">
      <w:pPr>
        <w:pStyle w:val="SCVbullet1"/>
      </w:pPr>
      <w:r w:rsidRPr="00883AB8">
        <w:lastRenderedPageBreak/>
        <w:t>Notify Ahpra of any significant departures from accepted professional standards that may place the public at risk (this is a shared responsibility).</w:t>
      </w:r>
    </w:p>
    <w:p w14:paraId="40DC1AC2" w14:textId="77777777" w:rsidR="00053702" w:rsidRPr="00883AB8" w:rsidRDefault="00053702" w:rsidP="00384E2F">
      <w:pPr>
        <w:pStyle w:val="SCVbullet1"/>
      </w:pPr>
      <w:r w:rsidRPr="00883AB8">
        <w:t>Are aware of any practitioner health issues that could influence the scope of their clinical practice or affect patient safety and notify Ahpra if required.</w:t>
      </w:r>
    </w:p>
    <w:p w14:paraId="56FB5D44" w14:textId="77777777" w:rsidR="00053702" w:rsidRPr="00883AB8" w:rsidRDefault="00053702" w:rsidP="00384E2F">
      <w:pPr>
        <w:pStyle w:val="SCVbullet1"/>
      </w:pPr>
      <w:r w:rsidRPr="00883AB8">
        <w:t>Notify the health service board of urgent appointments.</w:t>
      </w:r>
    </w:p>
    <w:p w14:paraId="0435DCEA" w14:textId="77777777" w:rsidR="00053702" w:rsidRPr="00883AB8" w:rsidRDefault="00053702" w:rsidP="00384E2F">
      <w:pPr>
        <w:pStyle w:val="SCVbullet1"/>
      </w:pPr>
      <w:r w:rsidRPr="00883AB8">
        <w:t xml:space="preserve">Convene the credentialing committee. </w:t>
      </w:r>
    </w:p>
    <w:p w14:paraId="21689D01" w14:textId="77777777" w:rsidR="00053702" w:rsidRPr="00883AB8" w:rsidRDefault="00053702" w:rsidP="00384E2F">
      <w:pPr>
        <w:pStyle w:val="SCVbullet1"/>
      </w:pPr>
      <w:r w:rsidRPr="00883AB8">
        <w:t>Ensure the terms of reference for the credentialing committee align with this policy.</w:t>
      </w:r>
    </w:p>
    <w:p w14:paraId="455BF858" w14:textId="77777777" w:rsidR="00053702" w:rsidRPr="00883AB8" w:rsidRDefault="00053702" w:rsidP="00384E2F">
      <w:pPr>
        <w:pStyle w:val="SCVbullet1"/>
      </w:pPr>
      <w:bookmarkStart w:id="27" w:name="_Senior_medical_and"/>
      <w:bookmarkStart w:id="28" w:name="_Toc234231662"/>
      <w:bookmarkEnd w:id="27"/>
      <w:r w:rsidRPr="00883AB8">
        <w:t>Medical and dental practitioners</w:t>
      </w:r>
      <w:bookmarkEnd w:id="28"/>
    </w:p>
    <w:p w14:paraId="74531EA8" w14:textId="77777777" w:rsidR="00053702" w:rsidRPr="00883AB8" w:rsidRDefault="00053702" w:rsidP="00384E2F">
      <w:pPr>
        <w:pStyle w:val="SCVbullet1"/>
      </w:pPr>
      <w:r w:rsidRPr="00883AB8">
        <w:t>Are responsible for being appropriately qualified, registered and experienced for the practice</w:t>
      </w:r>
      <w:r w:rsidRPr="00883AB8" w:rsidDel="00775527">
        <w:t xml:space="preserve"> they undertake</w:t>
      </w:r>
      <w:r w:rsidRPr="00883AB8">
        <w:t xml:space="preserve">. </w:t>
      </w:r>
    </w:p>
    <w:p w14:paraId="33CC194E" w14:textId="77777777" w:rsidR="00053702" w:rsidRPr="00883AB8" w:rsidRDefault="00053702" w:rsidP="00384E2F">
      <w:pPr>
        <w:pStyle w:val="SCVbullet1"/>
      </w:pPr>
      <w:r w:rsidRPr="00883AB8">
        <w:t>Maintain</w:t>
      </w:r>
      <w:r w:rsidRPr="00883AB8" w:rsidDel="00522E6B">
        <w:t xml:space="preserve"> </w:t>
      </w:r>
      <w:r w:rsidRPr="00883AB8">
        <w:t xml:space="preserve">professional standard requirements relevant to their area of practice. </w:t>
      </w:r>
    </w:p>
    <w:p w14:paraId="37F38BFE" w14:textId="77777777" w:rsidR="00053702" w:rsidRPr="00883AB8" w:rsidRDefault="00053702" w:rsidP="00384E2F">
      <w:pPr>
        <w:pStyle w:val="SCVbullet1"/>
      </w:pPr>
      <w:r w:rsidRPr="00883AB8">
        <w:t xml:space="preserve">Disclose any personal, legal or professional impediments that could affect safe practice. </w:t>
      </w:r>
    </w:p>
    <w:p w14:paraId="154E7421" w14:textId="77777777" w:rsidR="00053702" w:rsidRPr="00883AB8" w:rsidRDefault="00053702" w:rsidP="00384E2F">
      <w:pPr>
        <w:pStyle w:val="SCVbullet1"/>
      </w:pPr>
      <w:r w:rsidRPr="00883AB8">
        <w:t>Immediately notify all relevant health services where they are providing services of any conditions, undertakings, endorsements, notations or reprimands imposed on their practice by Ahpra.</w:t>
      </w:r>
    </w:p>
    <w:p w14:paraId="7DC9DC31" w14:textId="77777777" w:rsidR="00053702" w:rsidRPr="00883AB8" w:rsidRDefault="00053702" w:rsidP="00384E2F">
      <w:pPr>
        <w:pStyle w:val="SCVbullet1"/>
      </w:pPr>
      <w:r w:rsidRPr="00883AB8">
        <w:t>Notify the health service as soon as practicable (within 24 hours) of any breaches or required actions outside their scope of practice (for example,</w:t>
      </w:r>
      <w:r w:rsidRPr="00883AB8" w:rsidDel="0011392D">
        <w:t xml:space="preserve"> in </w:t>
      </w:r>
      <w:r w:rsidRPr="00883AB8">
        <w:t xml:space="preserve">emergency situations). </w:t>
      </w:r>
    </w:p>
    <w:p w14:paraId="44114B92" w14:textId="77777777" w:rsidR="00053702" w:rsidRPr="00883AB8" w:rsidRDefault="00053702" w:rsidP="00384E2F">
      <w:pPr>
        <w:pStyle w:val="SCVbullet1"/>
      </w:pPr>
      <w:r w:rsidRPr="00883AB8">
        <w:t>Engage in health service clinical quality and safety activities, including informal and formal peer review activities, to provide feedback, set expectations, align goals and foster a culture of safety and continuous improvement in the health service.</w:t>
      </w:r>
    </w:p>
    <w:p w14:paraId="668CFEF9" w14:textId="77777777" w:rsidR="00053702" w:rsidRPr="00883AB8" w:rsidRDefault="00053702" w:rsidP="00384E2F">
      <w:pPr>
        <w:pStyle w:val="SCVbullet1"/>
      </w:pPr>
      <w:r w:rsidRPr="00883AB8">
        <w:t>Are provided with clear terms of appointment.</w:t>
      </w:r>
    </w:p>
    <w:p w14:paraId="4A1E759E" w14:textId="77777777" w:rsidR="00053702" w:rsidRPr="00883AB8" w:rsidRDefault="00053702" w:rsidP="00384E2F">
      <w:pPr>
        <w:pStyle w:val="SCVbullet1"/>
      </w:pPr>
      <w:r w:rsidRPr="00883AB8">
        <w:t>Are aware of the requirements and capabilities of the health service and that these may change over time.</w:t>
      </w:r>
    </w:p>
    <w:p w14:paraId="0D92FC1A" w14:textId="77777777" w:rsidR="00053702" w:rsidRPr="00883AB8" w:rsidRDefault="00053702" w:rsidP="00384E2F">
      <w:pPr>
        <w:pStyle w:val="SCVbullet1"/>
      </w:pPr>
      <w:r w:rsidRPr="00883AB8">
        <w:t>Notify Ahpra of any significant departures from accepted professional standards that may place the public at risk (this is a shared responsibility).</w:t>
      </w:r>
    </w:p>
    <w:p w14:paraId="5ADE32C8" w14:textId="77777777" w:rsidR="00053702" w:rsidRPr="00883AB8" w:rsidRDefault="00053702" w:rsidP="0033072D">
      <w:pPr>
        <w:pStyle w:val="Heading2"/>
      </w:pPr>
      <w:bookmarkStart w:id="29" w:name="_Credentialing_Process"/>
      <w:bookmarkStart w:id="30" w:name="_Toc234231663"/>
      <w:bookmarkStart w:id="31" w:name="_Toc244005615"/>
      <w:bookmarkStart w:id="32" w:name="_Toc244012561"/>
      <w:bookmarkEnd w:id="29"/>
      <w:r w:rsidRPr="00883AB8">
        <w:t>Credentialing process</w:t>
      </w:r>
      <w:bookmarkEnd w:id="30"/>
      <w:bookmarkEnd w:id="31"/>
      <w:bookmarkEnd w:id="32"/>
    </w:p>
    <w:p w14:paraId="194F0B7C" w14:textId="77777777" w:rsidR="00053702" w:rsidRPr="00883AB8" w:rsidRDefault="00053702" w:rsidP="00053702">
      <w:pPr>
        <w:pStyle w:val="SCVbody"/>
      </w:pPr>
      <w:r w:rsidRPr="00883AB8">
        <w:t xml:space="preserve">All practitioners must complete the formal credentialing and scope of clinical practice process on appointment and before providing clinical services. </w:t>
      </w:r>
    </w:p>
    <w:p w14:paraId="08784BF2" w14:textId="77777777" w:rsidR="00053702" w:rsidRPr="00883AB8" w:rsidRDefault="00053702" w:rsidP="00053702">
      <w:pPr>
        <w:pStyle w:val="SCVbody"/>
      </w:pPr>
      <w:r w:rsidRPr="00883AB8">
        <w:t>Credentials and definitions of scope of clinical practice are specific to the individual practitioner and the health service. These should include</w:t>
      </w:r>
      <w:r w:rsidRPr="00883AB8" w:rsidDel="00EC0175">
        <w:t xml:space="preserve"> </w:t>
      </w:r>
      <w:r w:rsidRPr="00883AB8">
        <w:t xml:space="preserve">qualifications gained through appropriate and recognised training and the subsequent experience in the specific areas for which the practitioner seeks to be credentialed. </w:t>
      </w:r>
    </w:p>
    <w:p w14:paraId="0A0649BA" w14:textId="77777777" w:rsidR="00053702" w:rsidRPr="00883AB8" w:rsidRDefault="00053702" w:rsidP="00053702">
      <w:pPr>
        <w:pStyle w:val="SCVbody"/>
      </w:pPr>
      <w:r w:rsidRPr="00883AB8">
        <w:t xml:space="preserve">The applicant must be provided with a position description (or equivalent) detailing: </w:t>
      </w:r>
    </w:p>
    <w:p w14:paraId="2E470AA3" w14:textId="77777777" w:rsidR="00053702" w:rsidRPr="006664BB" w:rsidRDefault="00053702" w:rsidP="006664BB">
      <w:pPr>
        <w:pStyle w:val="SCVbullet1"/>
      </w:pPr>
      <w:r w:rsidRPr="006664BB">
        <w:t>clear terms of appointment</w:t>
      </w:r>
    </w:p>
    <w:p w14:paraId="766FCD2D" w14:textId="77777777" w:rsidR="00053702" w:rsidRPr="006664BB" w:rsidRDefault="00053702" w:rsidP="006664BB">
      <w:pPr>
        <w:pStyle w:val="SCVbullet1"/>
      </w:pPr>
      <w:r w:rsidRPr="006664BB">
        <w:t>core competencies</w:t>
      </w:r>
    </w:p>
    <w:p w14:paraId="3A1F3FDE" w14:textId="77777777" w:rsidR="00053702" w:rsidRPr="006664BB" w:rsidRDefault="00053702" w:rsidP="006664BB">
      <w:pPr>
        <w:pStyle w:val="SCVbullet1"/>
      </w:pPr>
      <w:r w:rsidRPr="006664BB">
        <w:t>duties</w:t>
      </w:r>
    </w:p>
    <w:p w14:paraId="5BE1FFB0" w14:textId="77777777" w:rsidR="00053702" w:rsidRPr="00883AB8" w:rsidRDefault="00053702" w:rsidP="006664BB">
      <w:pPr>
        <w:pStyle w:val="SCVbullet1"/>
      </w:pPr>
      <w:r w:rsidRPr="006664BB">
        <w:t xml:space="preserve">expected participation in clinical quality and safety activities in the health service. </w:t>
      </w:r>
    </w:p>
    <w:p w14:paraId="081AED31" w14:textId="77777777" w:rsidR="00053702" w:rsidRPr="00883AB8" w:rsidRDefault="00053702" w:rsidP="00053702">
      <w:pPr>
        <w:pStyle w:val="SCVbody"/>
      </w:pPr>
      <w:r w:rsidRPr="00883AB8">
        <w:t xml:space="preserve">The document should also outline the health service’s capabilities and service offerings. </w:t>
      </w:r>
    </w:p>
    <w:p w14:paraId="0C0A13A5" w14:textId="77777777" w:rsidR="00053702" w:rsidRPr="00883AB8" w:rsidRDefault="00053702" w:rsidP="0033072D">
      <w:pPr>
        <w:pStyle w:val="Heading3"/>
      </w:pPr>
      <w:bookmarkStart w:id="33" w:name="_Toc234231664"/>
      <w:bookmarkStart w:id="34" w:name="_Toc244012562"/>
      <w:r w:rsidRPr="00883AB8">
        <w:lastRenderedPageBreak/>
        <w:t>Credentialing committee</w:t>
      </w:r>
      <w:bookmarkEnd w:id="33"/>
      <w:bookmarkEnd w:id="34"/>
      <w:r w:rsidRPr="00883AB8">
        <w:t xml:space="preserve"> </w:t>
      </w:r>
    </w:p>
    <w:p w14:paraId="79A0662C" w14:textId="77777777" w:rsidR="00053702" w:rsidRPr="00883AB8" w:rsidRDefault="00053702" w:rsidP="00053702">
      <w:pPr>
        <w:pStyle w:val="SCVbody"/>
      </w:pPr>
      <w:r w:rsidRPr="00883AB8">
        <w:t>The committee undertakes and</w:t>
      </w:r>
      <w:r w:rsidRPr="00883AB8" w:rsidDel="004B4DA6">
        <w:t xml:space="preserve"> </w:t>
      </w:r>
      <w:r w:rsidRPr="00883AB8">
        <w:t xml:space="preserve">advises on the processes of credentialing and defining scope of clinical practice: </w:t>
      </w:r>
    </w:p>
    <w:p w14:paraId="197C9FE5" w14:textId="77777777" w:rsidR="00053702" w:rsidRPr="00883AB8" w:rsidRDefault="00053702" w:rsidP="0033072D">
      <w:pPr>
        <w:pStyle w:val="SCVbullet1"/>
      </w:pPr>
      <w:r w:rsidRPr="00883AB8">
        <w:t>before the start date or reappointment of a practitioner</w:t>
      </w:r>
    </w:p>
    <w:p w14:paraId="5D0EDC0C" w14:textId="77777777" w:rsidR="00053702" w:rsidRPr="00883AB8" w:rsidRDefault="00053702" w:rsidP="0033072D">
      <w:pPr>
        <w:pStyle w:val="SCVbullet1"/>
      </w:pPr>
      <w:r w:rsidRPr="00883AB8">
        <w:t xml:space="preserve">at recredentialing </w:t>
      </w:r>
    </w:p>
    <w:p w14:paraId="1E1C999E" w14:textId="77777777" w:rsidR="00053702" w:rsidRPr="00883AB8" w:rsidRDefault="00053702" w:rsidP="0033072D">
      <w:pPr>
        <w:pStyle w:val="SCVbullet1"/>
      </w:pPr>
      <w:r w:rsidRPr="00883AB8">
        <w:t xml:space="preserve">at unscheduled reviews of credentialing and scope of clinical practice </w:t>
      </w:r>
    </w:p>
    <w:p w14:paraId="4A3E1365" w14:textId="77777777" w:rsidR="00053702" w:rsidRPr="00883AB8" w:rsidRDefault="00053702" w:rsidP="0033072D">
      <w:pPr>
        <w:pStyle w:val="SCVbullet1"/>
      </w:pPr>
      <w:r w:rsidRPr="00883AB8">
        <w:t xml:space="preserve">on request for reviews of determinations </w:t>
      </w:r>
    </w:p>
    <w:p w14:paraId="4A7AF118" w14:textId="77777777" w:rsidR="00053702" w:rsidRPr="00883AB8" w:rsidRDefault="00053702" w:rsidP="0033072D">
      <w:pPr>
        <w:pStyle w:val="SCVbullet1"/>
      </w:pPr>
      <w:r w:rsidRPr="00883AB8">
        <w:t xml:space="preserve">on introducing new technologies or clinical practices. </w:t>
      </w:r>
    </w:p>
    <w:p w14:paraId="697FF2AB" w14:textId="77777777" w:rsidR="00053702" w:rsidRPr="00883AB8" w:rsidRDefault="00053702" w:rsidP="0033072D">
      <w:pPr>
        <w:pStyle w:val="Heading4"/>
      </w:pPr>
      <w:r w:rsidRPr="00883AB8">
        <w:t>Credentialing committee responsibilities for credentialing</w:t>
      </w:r>
    </w:p>
    <w:p w14:paraId="6C8D78DD" w14:textId="77777777" w:rsidR="00053702" w:rsidRPr="00883AB8" w:rsidRDefault="00053702" w:rsidP="0033072D">
      <w:pPr>
        <w:pStyle w:val="SCVbullet1"/>
      </w:pPr>
      <w:r w:rsidRPr="00883AB8">
        <w:t>Make recommendations to the CEO and DMS for credentialing and scope of clinical practice for individual practitioners.</w:t>
      </w:r>
    </w:p>
    <w:p w14:paraId="0A62A1F6" w14:textId="77777777" w:rsidR="00053702" w:rsidRPr="00883AB8" w:rsidRDefault="00053702" w:rsidP="0033072D">
      <w:pPr>
        <w:pStyle w:val="SCVbullet1"/>
      </w:pPr>
      <w:r w:rsidRPr="00883AB8">
        <w:t>Determine the type and level of information required for credentialing practitioners.</w:t>
      </w:r>
    </w:p>
    <w:p w14:paraId="04EC0E99" w14:textId="77777777" w:rsidR="00053702" w:rsidRPr="00883AB8" w:rsidRDefault="00053702" w:rsidP="0033072D">
      <w:pPr>
        <w:pStyle w:val="SCVbullet1"/>
      </w:pPr>
      <w:r w:rsidRPr="00883AB8">
        <w:t>Use health service–approved credentialing systems</w:t>
      </w:r>
      <w:r w:rsidRPr="00883AB8" w:rsidDel="00170FB5">
        <w:t xml:space="preserve"> and </w:t>
      </w:r>
      <w:r w:rsidRPr="00883AB8">
        <w:t>processes.</w:t>
      </w:r>
    </w:p>
    <w:p w14:paraId="6EF8A7D8" w14:textId="77777777" w:rsidR="00053702" w:rsidRPr="00883AB8" w:rsidRDefault="00053702" w:rsidP="0033072D">
      <w:pPr>
        <w:pStyle w:val="SCVbullet1"/>
      </w:pPr>
      <w:r w:rsidRPr="00883AB8">
        <w:t>Review and verify registration, qualifications, experience, identity and professional referees</w:t>
      </w:r>
      <w:r w:rsidRPr="00883AB8" w:rsidDel="00170FB5">
        <w:t xml:space="preserve"> to confirm</w:t>
      </w:r>
      <w:r w:rsidRPr="00883AB8">
        <w:t xml:space="preserve"> that</w:t>
      </w:r>
      <w:r w:rsidRPr="00883AB8" w:rsidDel="00170FB5">
        <w:t xml:space="preserve"> the practitioner seeking credentialing has the appropriate professional standing, training and expertise</w:t>
      </w:r>
      <w:r w:rsidRPr="00883AB8">
        <w:t>.</w:t>
      </w:r>
    </w:p>
    <w:p w14:paraId="544C0660" w14:textId="77777777" w:rsidR="00053702" w:rsidRPr="00883AB8" w:rsidRDefault="00053702" w:rsidP="0033072D">
      <w:pPr>
        <w:pStyle w:val="SCVbullet1"/>
      </w:pPr>
      <w:r w:rsidRPr="00883AB8">
        <w:t>Ensure</w:t>
      </w:r>
      <w:r w:rsidRPr="00883AB8" w:rsidDel="00102B9D">
        <w:t xml:space="preserve"> </w:t>
      </w:r>
      <w:r w:rsidRPr="00883AB8">
        <w:t>practitioners consent to the health service retaining information gathered as a part of credentialing and scope of clinical practice processes.</w:t>
      </w:r>
    </w:p>
    <w:p w14:paraId="039D62ED" w14:textId="77777777" w:rsidR="00053702" w:rsidRPr="00883AB8" w:rsidRDefault="00053702" w:rsidP="0033072D">
      <w:pPr>
        <w:pStyle w:val="SCVbullet1"/>
      </w:pPr>
      <w:r w:rsidRPr="00883AB8">
        <w:t>Document and</w:t>
      </w:r>
      <w:r w:rsidRPr="00883AB8" w:rsidDel="000E5807">
        <w:t xml:space="preserve"> </w:t>
      </w:r>
      <w:r w:rsidRPr="00883AB8">
        <w:t>maintain the confidentiality of all committee proceedings unless directed otherwise by the CEO or authorised delegate, or by law.</w:t>
      </w:r>
    </w:p>
    <w:p w14:paraId="47E8CD9A" w14:textId="77777777" w:rsidR="00053702" w:rsidRPr="00883AB8" w:rsidRDefault="00053702" w:rsidP="0033072D">
      <w:pPr>
        <w:pStyle w:val="SCVbullet1"/>
      </w:pPr>
      <w:r w:rsidRPr="00883AB8">
        <w:t xml:space="preserve">Act in good faith </w:t>
      </w:r>
      <w:r w:rsidRPr="00883AB8" w:rsidDel="00E61FA3">
        <w:t xml:space="preserve">according to </w:t>
      </w:r>
      <w:r w:rsidRPr="00883AB8">
        <w:t xml:space="preserve">procedural fairness </w:t>
      </w:r>
      <w:r w:rsidRPr="00883AB8" w:rsidDel="00E61FA3">
        <w:t>and natural justice,</w:t>
      </w:r>
      <w:r w:rsidRPr="00883AB8">
        <w:t xml:space="preserve"> without conflicts of interest or bias, and in line with relevant legislation.</w:t>
      </w:r>
    </w:p>
    <w:p w14:paraId="49246CEE" w14:textId="77777777" w:rsidR="00053702" w:rsidRPr="00883AB8" w:rsidRDefault="00053702" w:rsidP="0033072D">
      <w:pPr>
        <w:pStyle w:val="Heading4"/>
      </w:pPr>
      <w:r w:rsidRPr="00883AB8">
        <w:t>Credentialing committee responsibilities for scope of clinical practice</w:t>
      </w:r>
    </w:p>
    <w:p w14:paraId="1573B417" w14:textId="77777777" w:rsidR="00053702" w:rsidRPr="00883AB8" w:rsidRDefault="00053702" w:rsidP="0033072D">
      <w:pPr>
        <w:pStyle w:val="SCVbullet1"/>
      </w:pPr>
      <w:r w:rsidRPr="00883AB8">
        <w:t xml:space="preserve">Determine the type and level of information required for establishing scope of clinical practice. </w:t>
      </w:r>
    </w:p>
    <w:p w14:paraId="12D090BA" w14:textId="77777777" w:rsidR="00053702" w:rsidRPr="00883AB8" w:rsidRDefault="00053702" w:rsidP="0033072D">
      <w:pPr>
        <w:pStyle w:val="SCVbullet1"/>
      </w:pPr>
      <w:r w:rsidRPr="00883AB8">
        <w:t>Review and verify training,</w:t>
      </w:r>
      <w:r w:rsidRPr="00883AB8" w:rsidDel="00E44AB6">
        <w:t xml:space="preserve"> </w:t>
      </w:r>
      <w:r w:rsidRPr="00883AB8">
        <w:t xml:space="preserve">qualifications and recency of practice to </w:t>
      </w:r>
      <w:r w:rsidRPr="00883AB8" w:rsidDel="00E44AB6">
        <w:t xml:space="preserve">ensure a practitioner’s experience and skills </w:t>
      </w:r>
      <w:r w:rsidRPr="00883AB8">
        <w:t>are appropriate for the scope of practice required for the position.</w:t>
      </w:r>
    </w:p>
    <w:p w14:paraId="664CF627" w14:textId="77777777" w:rsidR="00053702" w:rsidRPr="00883AB8" w:rsidRDefault="00053702" w:rsidP="0033072D">
      <w:pPr>
        <w:pStyle w:val="SCVbullet1"/>
      </w:pPr>
      <w:r w:rsidRPr="00883AB8">
        <w:t>Review the scope of clinical services being requested</w:t>
      </w:r>
      <w:r w:rsidRPr="00883AB8" w:rsidDel="0095550F">
        <w:t xml:space="preserve"> </w:t>
      </w:r>
      <w:r w:rsidRPr="00883AB8">
        <w:t>against the capability of the health service and</w:t>
      </w:r>
      <w:r w:rsidRPr="00883AB8" w:rsidDel="009B01B8">
        <w:t xml:space="preserve"> the </w:t>
      </w:r>
      <w:r w:rsidRPr="00883AB8">
        <w:t>available clinical support.</w:t>
      </w:r>
    </w:p>
    <w:p w14:paraId="318C140E" w14:textId="77777777" w:rsidR="00053702" w:rsidRPr="00883AB8" w:rsidRDefault="00053702" w:rsidP="0033072D">
      <w:pPr>
        <w:pStyle w:val="SCVbullet1"/>
      </w:pPr>
      <w:r w:rsidRPr="00883AB8">
        <w:t xml:space="preserve">Determine </w:t>
      </w:r>
      <w:r w:rsidRPr="00883AB8" w:rsidDel="009B01B8">
        <w:t xml:space="preserve">the </w:t>
      </w:r>
      <w:r w:rsidRPr="00883AB8">
        <w:t>initial</w:t>
      </w:r>
      <w:r w:rsidRPr="00883AB8" w:rsidDel="009B01B8">
        <w:t xml:space="preserve"> appropriate scope of clinical practice for a practitioner</w:t>
      </w:r>
      <w:r w:rsidRPr="00883AB8">
        <w:t xml:space="preserve"> and again at the regular review period or requested review.</w:t>
      </w:r>
    </w:p>
    <w:p w14:paraId="65EA276A" w14:textId="77777777" w:rsidR="00053702" w:rsidRPr="00883AB8" w:rsidRDefault="00053702" w:rsidP="0033072D">
      <w:pPr>
        <w:pStyle w:val="SCVbullet1"/>
      </w:pPr>
      <w:r w:rsidRPr="00883AB8">
        <w:t xml:space="preserve">Review the scope of clinical practice of all practitioners every 3 years, or at the request of the DMS or the practitioner </w:t>
      </w:r>
      <w:r w:rsidRPr="00883AB8" w:rsidDel="00E551CD">
        <w:t xml:space="preserve">to whom </w:t>
      </w:r>
      <w:r w:rsidRPr="00883AB8">
        <w:t>they</w:t>
      </w:r>
      <w:r w:rsidRPr="00883AB8" w:rsidDel="00E551CD">
        <w:t xml:space="preserve"> apply</w:t>
      </w:r>
      <w:r w:rsidRPr="00883AB8">
        <w:t>.</w:t>
      </w:r>
    </w:p>
    <w:p w14:paraId="62F6EE8A" w14:textId="77777777" w:rsidR="00053702" w:rsidRPr="00883AB8" w:rsidRDefault="00053702" w:rsidP="0033072D">
      <w:pPr>
        <w:pStyle w:val="SCVbullet1"/>
      </w:pPr>
      <w:r w:rsidRPr="00883AB8">
        <w:t>Notify</w:t>
      </w:r>
      <w:r w:rsidRPr="00883AB8" w:rsidDel="00E551CD">
        <w:t xml:space="preserve"> </w:t>
      </w:r>
      <w:r w:rsidRPr="00883AB8">
        <w:t>practitioners of</w:t>
      </w:r>
      <w:r w:rsidRPr="00883AB8" w:rsidDel="00BD6AA8">
        <w:t xml:space="preserve"> </w:t>
      </w:r>
      <w:r w:rsidRPr="00883AB8">
        <w:t>decisions about their scope of clinical practice at the initial appointment and at subsequent reviews.</w:t>
      </w:r>
    </w:p>
    <w:p w14:paraId="362A0697" w14:textId="77777777" w:rsidR="00053702" w:rsidRPr="00883AB8" w:rsidRDefault="00053702" w:rsidP="0033072D">
      <w:pPr>
        <w:pStyle w:val="Heading3"/>
      </w:pPr>
      <w:bookmarkStart w:id="35" w:name="_Medical_and_dental"/>
      <w:bookmarkStart w:id="36" w:name="_Toc234231665"/>
      <w:bookmarkStart w:id="37" w:name="_Toc244012563"/>
      <w:bookmarkEnd w:id="35"/>
      <w:r w:rsidRPr="00883AB8">
        <w:lastRenderedPageBreak/>
        <w:t>Medical and dental practitioners</w:t>
      </w:r>
      <w:bookmarkEnd w:id="36"/>
      <w:bookmarkEnd w:id="37"/>
      <w:r w:rsidRPr="00883AB8">
        <w:t xml:space="preserve"> </w:t>
      </w:r>
    </w:p>
    <w:p w14:paraId="054B9C43" w14:textId="77777777" w:rsidR="00053702" w:rsidRPr="00883AB8" w:rsidRDefault="00053702" w:rsidP="00053702">
      <w:pPr>
        <w:pStyle w:val="SCVbody"/>
      </w:pPr>
      <w:r w:rsidRPr="00883AB8">
        <w:t xml:space="preserve">As well as the generic human resources requirements on all health service staff (100-point proof of identity check), the new starter must allow the credentialing committee to verify and securely retain evidence of: </w:t>
      </w:r>
    </w:p>
    <w:p w14:paraId="40B65BCE" w14:textId="77777777" w:rsidR="00053702" w:rsidRPr="00883AB8" w:rsidRDefault="00053702" w:rsidP="0033072D">
      <w:pPr>
        <w:pStyle w:val="SCVbullet1"/>
      </w:pPr>
      <w:r w:rsidRPr="00883AB8">
        <w:t xml:space="preserve">medical or dental registration including: </w:t>
      </w:r>
    </w:p>
    <w:p w14:paraId="2EECC0C8" w14:textId="77777777" w:rsidR="00053702" w:rsidRPr="00883AB8" w:rsidRDefault="00053702" w:rsidP="0033072D">
      <w:pPr>
        <w:pStyle w:val="SCVbullet2"/>
      </w:pPr>
      <w:r w:rsidRPr="00883AB8">
        <w:t xml:space="preserve">current Medical Board of Australia or Dental Board of Australia (Ahpra) registration </w:t>
      </w:r>
    </w:p>
    <w:p w14:paraId="4BAC956B" w14:textId="77777777" w:rsidR="00053702" w:rsidRPr="00883AB8" w:rsidRDefault="00053702" w:rsidP="0033072D">
      <w:pPr>
        <w:pStyle w:val="SCVbullet2"/>
      </w:pPr>
      <w:r w:rsidRPr="00883AB8">
        <w:t xml:space="preserve">confirmation of the presence or absence of conditions, undertakings, endorsements, notations and reprimands </w:t>
      </w:r>
    </w:p>
    <w:p w14:paraId="36ECFEC4" w14:textId="77777777" w:rsidR="00053702" w:rsidRPr="00883AB8" w:rsidRDefault="00053702" w:rsidP="0033072D">
      <w:pPr>
        <w:pStyle w:val="SCVbullet2"/>
      </w:pPr>
      <w:r w:rsidRPr="00883AB8">
        <w:t xml:space="preserve">confirmation of the type of registration (for example, general or specialist) </w:t>
      </w:r>
    </w:p>
    <w:p w14:paraId="3CF67753" w14:textId="77777777" w:rsidR="00053702" w:rsidRPr="00883AB8" w:rsidRDefault="00053702" w:rsidP="0033072D">
      <w:pPr>
        <w:pStyle w:val="SCVbullet1"/>
      </w:pPr>
      <w:r w:rsidRPr="00883AB8">
        <w:t xml:space="preserve">original or certified copies of specialist qualifications and certified translations when not in English </w:t>
      </w:r>
    </w:p>
    <w:p w14:paraId="564C87FD" w14:textId="77777777" w:rsidR="00053702" w:rsidRPr="00883AB8" w:rsidRDefault="00053702" w:rsidP="0033072D">
      <w:pPr>
        <w:pStyle w:val="SCVbullet1"/>
      </w:pPr>
      <w:r w:rsidRPr="00883AB8">
        <w:t xml:space="preserve">procedural qualifications (where applicable) </w:t>
      </w:r>
    </w:p>
    <w:p w14:paraId="5109D0C6" w14:textId="77777777" w:rsidR="00053702" w:rsidRPr="00883AB8" w:rsidRDefault="00053702" w:rsidP="0033072D">
      <w:pPr>
        <w:pStyle w:val="SCVbullet1"/>
      </w:pPr>
      <w:r w:rsidRPr="00883AB8">
        <w:t xml:space="preserve">other training and related clinical experience, as required </w:t>
      </w:r>
    </w:p>
    <w:p w14:paraId="009B09EF" w14:textId="77777777" w:rsidR="00053702" w:rsidRPr="00883AB8" w:rsidRDefault="00053702" w:rsidP="0033072D">
      <w:pPr>
        <w:pStyle w:val="SCVbullet1"/>
      </w:pPr>
      <w:r w:rsidRPr="00883AB8">
        <w:t>current police check if the applicant will be providing direct patient care in a public sector residential aged care service (PSRACS)</w:t>
      </w:r>
    </w:p>
    <w:p w14:paraId="56D8CCAC" w14:textId="77777777" w:rsidR="00053702" w:rsidRPr="00883AB8" w:rsidRDefault="00053702" w:rsidP="0033072D">
      <w:pPr>
        <w:pStyle w:val="SCVbullet1"/>
      </w:pPr>
      <w:r w:rsidRPr="00883AB8">
        <w:t>current Victorian Working with Children Check</w:t>
      </w:r>
    </w:p>
    <w:p w14:paraId="5630BAD3" w14:textId="77777777" w:rsidR="00053702" w:rsidRPr="00883AB8" w:rsidRDefault="00053702" w:rsidP="0033072D">
      <w:pPr>
        <w:pStyle w:val="SCVbullet1"/>
      </w:pPr>
      <w:r w:rsidRPr="00883AB8">
        <w:t>professional indemnity insurance</w:t>
      </w:r>
    </w:p>
    <w:p w14:paraId="267C1BE0" w14:textId="77777777" w:rsidR="00053702" w:rsidRPr="00883AB8" w:rsidRDefault="00053702" w:rsidP="0033072D">
      <w:pPr>
        <w:pStyle w:val="SCVbullet1"/>
      </w:pPr>
      <w:r w:rsidRPr="00883AB8">
        <w:t>health status, if applicable (this may be discussed privately with the DMS or equivalent, who will then be responsible for deciding how this may affect scope of clinical practice)</w:t>
      </w:r>
      <w:r w:rsidRPr="00883AB8">
        <w:rPr>
          <w:rStyle w:val="FootnoteReference"/>
          <w:vertAlign w:val="baseline"/>
        </w:rPr>
        <w:footnoteReference w:id="1"/>
      </w:r>
    </w:p>
    <w:p w14:paraId="02463772" w14:textId="77777777" w:rsidR="00053702" w:rsidRPr="00883AB8" w:rsidRDefault="00053702" w:rsidP="0033072D">
      <w:pPr>
        <w:pStyle w:val="SCVbullet1"/>
      </w:pPr>
      <w:r w:rsidRPr="00883AB8">
        <w:t xml:space="preserve">CPD statements that are college-approved or relevant to the scope of clinical practice determined by the health service and include either: </w:t>
      </w:r>
    </w:p>
    <w:p w14:paraId="5AC9C670" w14:textId="77777777" w:rsidR="00053702" w:rsidRPr="00883AB8" w:rsidRDefault="00053702" w:rsidP="0033072D">
      <w:pPr>
        <w:pStyle w:val="SCVbullet2"/>
      </w:pPr>
      <w:r w:rsidRPr="00883AB8">
        <w:t xml:space="preserve">copies of compliance certificates </w:t>
      </w:r>
    </w:p>
    <w:p w14:paraId="09CE8F1C" w14:textId="77777777" w:rsidR="00053702" w:rsidRPr="00883AB8" w:rsidRDefault="00053702" w:rsidP="0033072D">
      <w:pPr>
        <w:pStyle w:val="SCVbullet2"/>
      </w:pPr>
      <w:r w:rsidRPr="00883AB8">
        <w:t xml:space="preserve">statements verifying CPD participation by the relevant college or Australian Medical Association </w:t>
      </w:r>
    </w:p>
    <w:p w14:paraId="5454D62D" w14:textId="77777777" w:rsidR="00053702" w:rsidRPr="00883AB8" w:rsidRDefault="00053702" w:rsidP="0033072D">
      <w:pPr>
        <w:pStyle w:val="SCVbullet1"/>
      </w:pPr>
      <w:r w:rsidRPr="00883AB8">
        <w:t>employment or visiting history – a current curriculum vitae of clinical and academic appointments where applicable, which has been verified through other sources</w:t>
      </w:r>
    </w:p>
    <w:p w14:paraId="55A94E3E" w14:textId="77777777" w:rsidR="00053702" w:rsidRPr="00883AB8" w:rsidRDefault="00053702" w:rsidP="0033072D">
      <w:pPr>
        <w:pStyle w:val="SCVbullet1"/>
      </w:pPr>
      <w:r w:rsidRPr="00883AB8">
        <w:t xml:space="preserve">referee checks: </w:t>
      </w:r>
    </w:p>
    <w:p w14:paraId="5B2B8ED1" w14:textId="77777777" w:rsidR="00053702" w:rsidRPr="00883AB8" w:rsidRDefault="00053702" w:rsidP="0033072D">
      <w:pPr>
        <w:pStyle w:val="SCVbullet2"/>
      </w:pPr>
      <w:r w:rsidRPr="00883AB8">
        <w:t xml:space="preserve">must not be limited to unsolicited written references </w:t>
      </w:r>
    </w:p>
    <w:p w14:paraId="3112D027" w14:textId="77777777" w:rsidR="00053702" w:rsidRPr="00883AB8" w:rsidRDefault="00053702" w:rsidP="0033072D">
      <w:pPr>
        <w:pStyle w:val="SCVbullet2"/>
      </w:pPr>
      <w:r w:rsidRPr="00883AB8">
        <w:t>include 2 referees, preferably 3, ideally one being a previous manager or head of department</w:t>
      </w:r>
    </w:p>
    <w:p w14:paraId="39C8350C" w14:textId="77777777" w:rsidR="00053702" w:rsidRPr="00883AB8" w:rsidRDefault="00053702" w:rsidP="0033072D">
      <w:pPr>
        <w:pStyle w:val="SCVbullet2"/>
      </w:pPr>
      <w:r w:rsidRPr="00883AB8">
        <w:t xml:space="preserve">if undertaken verbally, must be documented, preferably in a structured format </w:t>
      </w:r>
    </w:p>
    <w:p w14:paraId="50A7CEC5" w14:textId="77777777" w:rsidR="00053702" w:rsidRPr="00883AB8" w:rsidRDefault="00053702" w:rsidP="0033072D">
      <w:pPr>
        <w:pStyle w:val="SCVbullet2"/>
      </w:pPr>
      <w:r w:rsidRPr="00883AB8">
        <w:t>may be undertaken using templates sent to nominated referees</w:t>
      </w:r>
    </w:p>
    <w:p w14:paraId="50B44B5C" w14:textId="77777777" w:rsidR="00053702" w:rsidRPr="00883AB8" w:rsidRDefault="00053702" w:rsidP="0033072D">
      <w:pPr>
        <w:pStyle w:val="SCVbullet2"/>
      </w:pPr>
      <w:r w:rsidRPr="00883AB8">
        <w:t xml:space="preserve">consider the appropriateness and the bona fides of referees, and any potential or actual conflicts of interest </w:t>
      </w:r>
    </w:p>
    <w:p w14:paraId="2FBBE290" w14:textId="77777777" w:rsidR="00053702" w:rsidRPr="00883AB8" w:rsidRDefault="00053702" w:rsidP="0033072D">
      <w:pPr>
        <w:pStyle w:val="SCVbullet2"/>
      </w:pPr>
      <w:r w:rsidRPr="00883AB8">
        <w:t>include referees who work in the specialty of the applicant practitioner and can judge the practitioner’s experience and performance over the previous 3 years</w:t>
      </w:r>
    </w:p>
    <w:p w14:paraId="55EF757E" w14:textId="77777777" w:rsidR="00053702" w:rsidRPr="00883AB8" w:rsidRDefault="00053702" w:rsidP="0033072D">
      <w:pPr>
        <w:pStyle w:val="SCVbullet1"/>
      </w:pPr>
      <w:r w:rsidRPr="00883AB8">
        <w:t>existing contract or employment arrangements outside of the current appointment checked, with relevant documentation available.</w:t>
      </w:r>
    </w:p>
    <w:p w14:paraId="5E7B520A" w14:textId="77777777" w:rsidR="00053702" w:rsidRPr="00883AB8" w:rsidRDefault="00053702" w:rsidP="00053702">
      <w:pPr>
        <w:pStyle w:val="SCVbody"/>
      </w:pPr>
      <w:r w:rsidRPr="00883AB8">
        <w:lastRenderedPageBreak/>
        <w:t xml:space="preserve">Health service organisations are encouraged to subscribe to Ahpra’s </w:t>
      </w:r>
      <w:hyperlink r:id="rId32" w:history="1">
        <w:r w:rsidRPr="00883AB8">
          <w:rPr>
            <w:rStyle w:val="Hyperlink"/>
          </w:rPr>
          <w:t>Practitioner Information Exchange</w:t>
        </w:r>
      </w:hyperlink>
      <w:r w:rsidRPr="00883AB8">
        <w:t>. This service alerts employers to changes in the conditions of a practitioner’s registration.</w:t>
      </w:r>
    </w:p>
    <w:p w14:paraId="3C073FB8" w14:textId="77777777" w:rsidR="00053702" w:rsidRPr="00883AB8" w:rsidRDefault="00053702" w:rsidP="005B73C5">
      <w:pPr>
        <w:pStyle w:val="Heading2"/>
      </w:pPr>
      <w:bookmarkStart w:id="38" w:name="_Toc234231666"/>
      <w:bookmarkStart w:id="39" w:name="_Toc244005616"/>
      <w:bookmarkStart w:id="40" w:name="_Toc244012564"/>
      <w:r w:rsidRPr="00883AB8">
        <w:t>Credentialing cycle</w:t>
      </w:r>
      <w:bookmarkEnd w:id="38"/>
      <w:bookmarkEnd w:id="39"/>
      <w:bookmarkEnd w:id="40"/>
      <w:r w:rsidRPr="00883AB8">
        <w:t xml:space="preserve"> </w:t>
      </w:r>
    </w:p>
    <w:p w14:paraId="7D2459DF" w14:textId="77777777" w:rsidR="00053702" w:rsidRPr="00883AB8" w:rsidRDefault="00053702" w:rsidP="00053702">
      <w:pPr>
        <w:pStyle w:val="SCVbody"/>
      </w:pPr>
      <w:r w:rsidRPr="00883AB8">
        <w:t xml:space="preserve">The ongoing performance monitoring of practitioners is a key element of a credentialing cycle. Over the course of the 3-year cycle, health services should support practitioners to develop an ongoing, clear and comprehensive picture of their clinical and professional performance. </w:t>
      </w:r>
    </w:p>
    <w:p w14:paraId="7698ACA8" w14:textId="77777777" w:rsidR="00053702" w:rsidRPr="00883AB8" w:rsidRDefault="00053702" w:rsidP="00053702">
      <w:pPr>
        <w:pStyle w:val="SCVbody"/>
      </w:pPr>
      <w:r w:rsidRPr="00883AB8">
        <w:t>The ongoing nature of this supportive relationship means the formal recredentialing process should operate on a ‘no surprises’ basis.</w:t>
      </w:r>
    </w:p>
    <w:p w14:paraId="5A24918E" w14:textId="77777777" w:rsidR="00053702" w:rsidRPr="00883AB8" w:rsidRDefault="00053702" w:rsidP="00053702">
      <w:pPr>
        <w:pStyle w:val="SCVbody"/>
      </w:pPr>
      <w:r w:rsidRPr="00883AB8">
        <w:t>The mandatory annual requirements for practitioners include evidence of:</w:t>
      </w:r>
    </w:p>
    <w:p w14:paraId="47F0DD69" w14:textId="77777777" w:rsidR="00053702" w:rsidRPr="00883AB8" w:rsidRDefault="00053702" w:rsidP="005B73C5">
      <w:pPr>
        <w:pStyle w:val="SCVbullet1"/>
      </w:pPr>
      <w:r w:rsidRPr="00883AB8">
        <w:t>current registration</w:t>
      </w:r>
    </w:p>
    <w:p w14:paraId="7E6AE367" w14:textId="77777777" w:rsidR="00053702" w:rsidRPr="00883AB8" w:rsidRDefault="00053702" w:rsidP="005B73C5">
      <w:pPr>
        <w:pStyle w:val="SCVbullet1"/>
      </w:pPr>
      <w:r w:rsidRPr="00883AB8">
        <w:t>relevant CPD</w:t>
      </w:r>
    </w:p>
    <w:p w14:paraId="65A2D396" w14:textId="77777777" w:rsidR="00053702" w:rsidRPr="00883AB8" w:rsidRDefault="00053702" w:rsidP="005B73C5">
      <w:pPr>
        <w:pStyle w:val="SCVbullet1"/>
      </w:pPr>
      <w:r w:rsidRPr="00883AB8">
        <w:t>participation in clinical quality and safety activities such as multidisciplinary team case reviews, adverse patient safety event reviews and mortality and morbidity reviews</w:t>
      </w:r>
    </w:p>
    <w:p w14:paraId="329C145C" w14:textId="77777777" w:rsidR="00053702" w:rsidRPr="00883AB8" w:rsidRDefault="00053702" w:rsidP="005B73C5">
      <w:pPr>
        <w:pStyle w:val="SCVbullet1"/>
      </w:pPr>
      <w:r w:rsidRPr="00883AB8">
        <w:t>current medical indemnity insurance as required.</w:t>
      </w:r>
    </w:p>
    <w:p w14:paraId="28C5D25C" w14:textId="77777777" w:rsidR="00053702" w:rsidRPr="00883AB8" w:rsidRDefault="00053702" w:rsidP="00053702">
      <w:pPr>
        <w:pStyle w:val="SCVbody"/>
      </w:pPr>
      <w:r w:rsidRPr="00883AB8">
        <w:t xml:space="preserve">These annual requirements are consistent with governance expectations outlined in other relevant Victorian guidelines and policies such as the Statement of Priorities, the performance monitoring framework and the </w:t>
      </w:r>
      <w:r w:rsidRPr="00883AB8">
        <w:rPr>
          <w:i/>
          <w:iCs/>
        </w:rPr>
        <w:t>Victorian clinical governance framework</w:t>
      </w:r>
      <w:r w:rsidRPr="00883AB8">
        <w:t>.</w:t>
      </w:r>
    </w:p>
    <w:p w14:paraId="4823CB18" w14:textId="77777777" w:rsidR="00053702" w:rsidRPr="00883AB8" w:rsidRDefault="00053702" w:rsidP="00053702">
      <w:pPr>
        <w:pStyle w:val="Heading2"/>
      </w:pPr>
      <w:bookmarkStart w:id="41" w:name="_Toc194322195"/>
      <w:bookmarkStart w:id="42" w:name="_Toc234231667"/>
      <w:bookmarkStart w:id="43" w:name="_Toc244005617"/>
      <w:bookmarkStart w:id="44" w:name="_Toc244012565"/>
      <w:r w:rsidRPr="00883AB8">
        <w:t>Reciprocity</w:t>
      </w:r>
      <w:bookmarkEnd w:id="41"/>
      <w:bookmarkEnd w:id="42"/>
      <w:bookmarkEnd w:id="43"/>
      <w:bookmarkEnd w:id="44"/>
    </w:p>
    <w:p w14:paraId="20332FFD" w14:textId="77777777" w:rsidR="00053702" w:rsidRPr="00883AB8" w:rsidRDefault="00053702" w:rsidP="00053702">
      <w:pPr>
        <w:pStyle w:val="SCVbody"/>
      </w:pPr>
      <w:r w:rsidRPr="00883AB8">
        <w:t xml:space="preserve">Where a practitioner is contracted at multiple health services, mutual recognition of credentialing may be used (for example, via a formal letter from the DMS of the practitioner’s primary health service evidencing approval). </w:t>
      </w:r>
    </w:p>
    <w:p w14:paraId="66C4AF56" w14:textId="77777777" w:rsidR="00053702" w:rsidRPr="00883AB8" w:rsidRDefault="00053702" w:rsidP="00053702">
      <w:pPr>
        <w:pStyle w:val="SCVbody"/>
      </w:pPr>
      <w:r w:rsidRPr="00883AB8">
        <w:t xml:space="preserve">The scope of clinical practice granted to a </w:t>
      </w:r>
      <w:r w:rsidRPr="00883AB8" w:rsidDel="00692DF3">
        <w:t xml:space="preserve">practitioner </w:t>
      </w:r>
      <w:r w:rsidRPr="00883AB8">
        <w:rPr>
          <w:i/>
          <w:iCs/>
        </w:rPr>
        <w:t>cannot</w:t>
      </w:r>
      <w:r w:rsidRPr="00883AB8">
        <w:t xml:space="preserve"> be reciprocal because it is health service–specific. However, information about a practitioner’s scope of clinical practice may be shared with other health services, provided the practitioner approves.</w:t>
      </w:r>
    </w:p>
    <w:p w14:paraId="22875973" w14:textId="77777777" w:rsidR="00053702" w:rsidRPr="00883AB8" w:rsidRDefault="00053702" w:rsidP="00053702">
      <w:pPr>
        <w:pStyle w:val="Heading3"/>
      </w:pPr>
      <w:bookmarkStart w:id="45" w:name="_Toc234231668"/>
      <w:bookmarkStart w:id="46" w:name="_Toc244012566"/>
      <w:r w:rsidRPr="00883AB8">
        <w:t>Reciprocity in recredentialing</w:t>
      </w:r>
      <w:bookmarkEnd w:id="45"/>
      <w:bookmarkEnd w:id="46"/>
    </w:p>
    <w:p w14:paraId="3D7F5723" w14:textId="77777777" w:rsidR="00053702" w:rsidRPr="00883AB8" w:rsidRDefault="00053702" w:rsidP="00053702">
      <w:pPr>
        <w:pStyle w:val="SCVbody"/>
      </w:pPr>
      <w:r w:rsidRPr="00883AB8" w:rsidDel="00692DF3">
        <w:t xml:space="preserve">Provided </w:t>
      </w:r>
      <w:r w:rsidRPr="00883AB8">
        <w:t>the primary health service completes the renewal of the practitioner’s credentialing, other health services may use mutual recognition to grant the practitioner credentialing in their respective organisations. They may do this at their discretion.</w:t>
      </w:r>
    </w:p>
    <w:p w14:paraId="593EA2B2" w14:textId="77777777" w:rsidR="00053702" w:rsidRPr="00883AB8" w:rsidRDefault="00053702" w:rsidP="00053702">
      <w:pPr>
        <w:pStyle w:val="Heading2"/>
      </w:pPr>
      <w:bookmarkStart w:id="47" w:name="_Toc194322193"/>
      <w:bookmarkStart w:id="48" w:name="_Toc234231669"/>
      <w:bookmarkStart w:id="49" w:name="_Toc244005618"/>
      <w:bookmarkStart w:id="50" w:name="_Toc244012567"/>
      <w:r w:rsidRPr="00883AB8">
        <w:t>Recredentialing</w:t>
      </w:r>
      <w:bookmarkEnd w:id="47"/>
      <w:bookmarkEnd w:id="48"/>
      <w:bookmarkEnd w:id="49"/>
      <w:bookmarkEnd w:id="50"/>
    </w:p>
    <w:p w14:paraId="52F45D5B" w14:textId="77777777" w:rsidR="00053702" w:rsidRPr="00883AB8" w:rsidRDefault="00053702" w:rsidP="00053702">
      <w:pPr>
        <w:pStyle w:val="SCVbody"/>
      </w:pPr>
      <w:r w:rsidRPr="00883AB8">
        <w:t xml:space="preserve">Recredentialing occurs at least once every 3 years. It ensures the practitioner remains qualified and able to practise within the agreed scope of clinical practice the health service assigns. </w:t>
      </w:r>
    </w:p>
    <w:p w14:paraId="03AE4BF9" w14:textId="77777777" w:rsidR="00053702" w:rsidRPr="00883AB8" w:rsidRDefault="00053702" w:rsidP="00053702">
      <w:pPr>
        <w:pStyle w:val="SCVbody"/>
      </w:pPr>
      <w:r w:rsidRPr="00883AB8">
        <w:t xml:space="preserve">The credentialing committee must verify the following: </w:t>
      </w:r>
    </w:p>
    <w:p w14:paraId="50A52FC0" w14:textId="77777777" w:rsidR="00053702" w:rsidRPr="00883AB8" w:rsidRDefault="00053702" w:rsidP="00DA4624">
      <w:pPr>
        <w:pStyle w:val="SCVbullet1"/>
      </w:pPr>
      <w:r w:rsidRPr="00883AB8">
        <w:lastRenderedPageBreak/>
        <w:t xml:space="preserve">medical or dental registration including: </w:t>
      </w:r>
    </w:p>
    <w:p w14:paraId="6C25BD9A" w14:textId="77777777" w:rsidR="00053702" w:rsidRPr="00883AB8" w:rsidRDefault="00053702" w:rsidP="00DA4624">
      <w:pPr>
        <w:pStyle w:val="SCVbullet2"/>
      </w:pPr>
      <w:r w:rsidRPr="00883AB8">
        <w:t xml:space="preserve">current Medical Board of Australia or Dental Board of Australia (Ahpra) registration </w:t>
      </w:r>
    </w:p>
    <w:p w14:paraId="7EE7A983" w14:textId="77777777" w:rsidR="00053702" w:rsidRPr="00883AB8" w:rsidRDefault="00053702" w:rsidP="00DA4624">
      <w:pPr>
        <w:pStyle w:val="SCVbullet2"/>
      </w:pPr>
      <w:r w:rsidRPr="00883AB8">
        <w:t xml:space="preserve">the presence or absence of conditions, undertakings, endorsements, notations and reprimands </w:t>
      </w:r>
    </w:p>
    <w:p w14:paraId="185F0E70" w14:textId="77777777" w:rsidR="00053702" w:rsidRPr="00883AB8" w:rsidRDefault="00053702" w:rsidP="00DA4624">
      <w:pPr>
        <w:pStyle w:val="SCVbullet2"/>
      </w:pPr>
      <w:r w:rsidRPr="00883AB8">
        <w:t xml:space="preserve">the type of registration (for example, general or specialist) </w:t>
      </w:r>
    </w:p>
    <w:p w14:paraId="11B99E4E" w14:textId="77777777" w:rsidR="00053702" w:rsidRPr="00883AB8" w:rsidRDefault="00053702" w:rsidP="00DA4624">
      <w:pPr>
        <w:pStyle w:val="SCVbullet1"/>
      </w:pPr>
      <w:r w:rsidRPr="00883AB8">
        <w:t xml:space="preserve">CPD: college certificate or evidence of relevant CPD, confirming with the relevant college (if needed) </w:t>
      </w:r>
    </w:p>
    <w:p w14:paraId="18FAD1FB" w14:textId="77777777" w:rsidR="00053702" w:rsidRPr="00883AB8" w:rsidRDefault="00053702" w:rsidP="00DA4624">
      <w:pPr>
        <w:pStyle w:val="SCVbullet1"/>
      </w:pPr>
      <w:r w:rsidRPr="00883AB8">
        <w:t>confirmation and review of the practitioner’s scope of clinical practice</w:t>
      </w:r>
    </w:p>
    <w:p w14:paraId="69565423" w14:textId="77777777" w:rsidR="00053702" w:rsidRPr="00883AB8" w:rsidRDefault="00053702" w:rsidP="00DA4624">
      <w:pPr>
        <w:pStyle w:val="SCVbullet1"/>
      </w:pPr>
      <w:r w:rsidRPr="00883AB8">
        <w:t xml:space="preserve">recent employment or visiting history – an updated curriculum vitae including (but not restricted to): </w:t>
      </w:r>
    </w:p>
    <w:p w14:paraId="2FE6A745" w14:textId="77777777" w:rsidR="00053702" w:rsidRPr="00883AB8" w:rsidRDefault="00053702" w:rsidP="00AB3912">
      <w:pPr>
        <w:pStyle w:val="SCVbullet2"/>
        <w:numPr>
          <w:ilvl w:val="1"/>
          <w:numId w:val="1"/>
        </w:numPr>
      </w:pPr>
      <w:r w:rsidRPr="00883AB8">
        <w:t xml:space="preserve">clinical appointments </w:t>
      </w:r>
    </w:p>
    <w:p w14:paraId="3EABD2C4" w14:textId="77777777" w:rsidR="00053702" w:rsidRPr="00883AB8" w:rsidRDefault="00053702" w:rsidP="00AB3912">
      <w:pPr>
        <w:pStyle w:val="SCVbullet2"/>
        <w:numPr>
          <w:ilvl w:val="1"/>
          <w:numId w:val="1"/>
        </w:numPr>
      </w:pPr>
      <w:r w:rsidRPr="00883AB8">
        <w:t xml:space="preserve">quality and safety activities </w:t>
      </w:r>
    </w:p>
    <w:p w14:paraId="60C174BB" w14:textId="77777777" w:rsidR="00053702" w:rsidRPr="00883AB8" w:rsidRDefault="00053702" w:rsidP="00AB3912">
      <w:pPr>
        <w:pStyle w:val="SCVbullet2"/>
        <w:numPr>
          <w:ilvl w:val="1"/>
          <w:numId w:val="1"/>
        </w:numPr>
      </w:pPr>
      <w:r w:rsidRPr="00883AB8">
        <w:t>academic appointments and teaching experience</w:t>
      </w:r>
    </w:p>
    <w:p w14:paraId="78A8075E" w14:textId="77777777" w:rsidR="00053702" w:rsidRPr="00883AB8" w:rsidRDefault="00053702" w:rsidP="00DA4624">
      <w:pPr>
        <w:pStyle w:val="SCVbullet1"/>
      </w:pPr>
      <w:r w:rsidRPr="00883AB8">
        <w:t>currency of a Working with Children Check</w:t>
      </w:r>
    </w:p>
    <w:p w14:paraId="612F8E64" w14:textId="77777777" w:rsidR="00053702" w:rsidRPr="00883AB8" w:rsidRDefault="00053702" w:rsidP="00DA4624">
      <w:pPr>
        <w:pStyle w:val="SCVbullet1"/>
      </w:pPr>
      <w:r w:rsidRPr="00883AB8">
        <w:t xml:space="preserve">organisational data such as performance appraisals, formal peer reviews or complaints </w:t>
      </w:r>
    </w:p>
    <w:p w14:paraId="78768C3C" w14:textId="77777777" w:rsidR="00053702" w:rsidRPr="00883AB8" w:rsidRDefault="00053702" w:rsidP="00DA4624">
      <w:pPr>
        <w:pStyle w:val="SCVbullet1"/>
      </w:pPr>
      <w:r w:rsidRPr="00883AB8">
        <w:t>evidence of regular participation in clinical quality and safety activities, as well as peer reviews such as multidisciplinary team case reviews, adverse patient safety event reviews and mortality and morbidity reviews at the health service or LHSN level.</w:t>
      </w:r>
    </w:p>
    <w:p w14:paraId="76EEC7F0" w14:textId="77777777" w:rsidR="00053702" w:rsidRPr="00883AB8" w:rsidRDefault="00053702" w:rsidP="00DA4624">
      <w:pPr>
        <w:pStyle w:val="SCVbullet1"/>
      </w:pPr>
      <w:r w:rsidRPr="00883AB8">
        <w:t xml:space="preserve">health status (including evidence of complying with the Communicable Diseases Network Australia’s national guidelines), as applicable. </w:t>
      </w:r>
    </w:p>
    <w:p w14:paraId="417942FD" w14:textId="77777777" w:rsidR="00053702" w:rsidRPr="00883AB8" w:rsidRDefault="00053702" w:rsidP="00053702">
      <w:pPr>
        <w:pStyle w:val="Heading3"/>
      </w:pPr>
      <w:bookmarkStart w:id="51" w:name="_Toc234231670"/>
      <w:bookmarkStart w:id="52" w:name="_Toc244012568"/>
      <w:r w:rsidRPr="00883AB8">
        <w:t>When the credentialing committee cannot make a determination</w:t>
      </w:r>
      <w:bookmarkEnd w:id="51"/>
      <w:bookmarkEnd w:id="52"/>
    </w:p>
    <w:p w14:paraId="640BC70A" w14:textId="77777777" w:rsidR="00053702" w:rsidRPr="00883AB8" w:rsidRDefault="00053702" w:rsidP="00053702">
      <w:pPr>
        <w:pStyle w:val="SCVbody"/>
      </w:pPr>
      <w:r w:rsidRPr="00883AB8">
        <w:t>If a credentialing committee hasn’t enough information or needs clarification on an aspect of an application, the committee should defer the application and</w:t>
      </w:r>
      <w:r w:rsidRPr="00883AB8" w:rsidDel="00170C71">
        <w:t xml:space="preserve"> </w:t>
      </w:r>
      <w:r w:rsidRPr="00883AB8">
        <w:t xml:space="preserve">request the information from the applicant in writing. The committee may also request that an applicant attends a meeting to address queries about their application. </w:t>
      </w:r>
    </w:p>
    <w:p w14:paraId="32DFB063" w14:textId="77777777" w:rsidR="00053702" w:rsidRPr="00883AB8" w:rsidRDefault="00053702" w:rsidP="00053702">
      <w:pPr>
        <w:pStyle w:val="Heading2"/>
      </w:pPr>
      <w:bookmarkStart w:id="53" w:name="_Toc234231671"/>
      <w:bookmarkStart w:id="54" w:name="_Toc244005619"/>
      <w:bookmarkStart w:id="55" w:name="_Toc244012569"/>
      <w:r w:rsidRPr="00883AB8">
        <w:t>Review and appeal process</w:t>
      </w:r>
      <w:bookmarkEnd w:id="53"/>
      <w:bookmarkEnd w:id="54"/>
      <w:bookmarkEnd w:id="55"/>
    </w:p>
    <w:p w14:paraId="4A7E9311" w14:textId="77777777" w:rsidR="00053702" w:rsidRPr="00883AB8" w:rsidRDefault="00053702" w:rsidP="00053702">
      <w:pPr>
        <w:pStyle w:val="SCVbody"/>
      </w:pPr>
      <w:r w:rsidRPr="00883AB8">
        <w:t xml:space="preserve">A practitioner whose request for credentialing, recredentialing or scope of clinical practice is restricted, withheld or varied from the original request has the right to appeal the decision. This applies when the practitioner believes there was </w:t>
      </w:r>
      <w:r w:rsidRPr="00883AB8" w:rsidDel="00957701">
        <w:t xml:space="preserve">a lack of </w:t>
      </w:r>
      <w:r w:rsidRPr="00883AB8">
        <w:t xml:space="preserve">procedural fairness or </w:t>
      </w:r>
      <w:r w:rsidRPr="00883AB8" w:rsidDel="00957701">
        <w:t xml:space="preserve">decisions </w:t>
      </w:r>
      <w:r w:rsidRPr="00883AB8">
        <w:t>were</w:t>
      </w:r>
      <w:r w:rsidRPr="00883AB8" w:rsidDel="00957701">
        <w:t xml:space="preserve"> based on inadequate or </w:t>
      </w:r>
      <w:r w:rsidRPr="00883AB8">
        <w:t xml:space="preserve">incomplete information. </w:t>
      </w:r>
    </w:p>
    <w:p w14:paraId="74DCC97E" w14:textId="77777777" w:rsidR="00053702" w:rsidRPr="00883AB8" w:rsidRDefault="00053702" w:rsidP="00053702">
      <w:pPr>
        <w:pStyle w:val="SCVbody"/>
      </w:pPr>
      <w:r w:rsidRPr="00883AB8">
        <w:t>An uncommon situation may arise where the evidence a practitioner provides to support their application does not match their stated qualifications or experience, or does not meet the standard required for practitioners seeking to work in the health system. This may lead to the committee denying the credentialing application.</w:t>
      </w:r>
    </w:p>
    <w:p w14:paraId="552ACA34" w14:textId="77777777" w:rsidR="00053702" w:rsidRPr="00883AB8" w:rsidRDefault="00053702" w:rsidP="00053702">
      <w:pPr>
        <w:pStyle w:val="SCVbody"/>
      </w:pPr>
      <w:r w:rsidRPr="00883AB8">
        <w:t>The health service’s process should account for the following:</w:t>
      </w:r>
    </w:p>
    <w:p w14:paraId="659C083A" w14:textId="77777777" w:rsidR="00053702" w:rsidRPr="00883AB8" w:rsidRDefault="00053702" w:rsidP="00DA4624">
      <w:pPr>
        <w:pStyle w:val="SCVbullet1"/>
      </w:pPr>
      <w:r w:rsidRPr="00883AB8">
        <w:t xml:space="preserve">An appeals process must be managed independently of the credentialing committee. The process should be open to reconsider any decision made and for new information to be presented. </w:t>
      </w:r>
    </w:p>
    <w:p w14:paraId="2DF48305" w14:textId="77777777" w:rsidR="00053702" w:rsidRPr="00883AB8" w:rsidRDefault="00053702" w:rsidP="00DA4624">
      <w:pPr>
        <w:pStyle w:val="SCVbullet1"/>
      </w:pPr>
      <w:r w:rsidRPr="00883AB8">
        <w:t>The process must be free from potential conflicts of interest. In smaller health services where this is not practical, it may be necessary to seek external support.</w:t>
      </w:r>
    </w:p>
    <w:p w14:paraId="18532A84" w14:textId="77777777" w:rsidR="00053702" w:rsidRPr="00883AB8" w:rsidRDefault="00053702" w:rsidP="00DA4624">
      <w:pPr>
        <w:pStyle w:val="SCVbullet1"/>
      </w:pPr>
      <w:r w:rsidRPr="00883AB8">
        <w:lastRenderedPageBreak/>
        <w:t xml:space="preserve">The intention to appeal must be submitted to the DMS (or equivalent) within 10 working days of receiving the decision in writing. </w:t>
      </w:r>
    </w:p>
    <w:p w14:paraId="4992B94F" w14:textId="77777777" w:rsidR="00053702" w:rsidRPr="00883AB8" w:rsidRDefault="00053702" w:rsidP="00DA4624">
      <w:pPr>
        <w:pStyle w:val="SCVbullet1"/>
      </w:pPr>
      <w:r w:rsidRPr="00883AB8">
        <w:t xml:space="preserve">The appeal must be lodged within </w:t>
      </w:r>
      <w:r w:rsidRPr="00883AB8" w:rsidDel="00E8711C">
        <w:t xml:space="preserve">a maximum of </w:t>
      </w:r>
      <w:r w:rsidRPr="00883AB8">
        <w:t xml:space="preserve">one calendar month of receiving the decision. </w:t>
      </w:r>
    </w:p>
    <w:p w14:paraId="1CDBDDC0" w14:textId="77777777" w:rsidR="00053702" w:rsidRPr="00883AB8" w:rsidRDefault="00053702" w:rsidP="00DA4624">
      <w:pPr>
        <w:pStyle w:val="SCVbullet1"/>
      </w:pPr>
      <w:r w:rsidRPr="00883AB8">
        <w:t>The appeals committee must be convened, ordinarily within 10 working days of the appeal being lodged and provide a report of its findings within 20 working days. Meetings may be in person or virtual, with clear communication to the practitioner maintained throughout the process.</w:t>
      </w:r>
    </w:p>
    <w:p w14:paraId="39D6BE41" w14:textId="77777777" w:rsidR="00053702" w:rsidRPr="00883AB8" w:rsidRDefault="00053702" w:rsidP="00DA4624">
      <w:pPr>
        <w:pStyle w:val="SCVbullet1"/>
      </w:pPr>
      <w:r w:rsidRPr="00883AB8">
        <w:t>The appeals committee should consider all relevant material including any information the practitioner may wish to present, as well as information from the credentialing committee.</w:t>
      </w:r>
    </w:p>
    <w:p w14:paraId="7E4DA398" w14:textId="77777777" w:rsidR="00053702" w:rsidRPr="00883AB8" w:rsidRDefault="00053702" w:rsidP="00DA4624">
      <w:pPr>
        <w:pStyle w:val="SCVbullet1"/>
      </w:pPr>
      <w:r w:rsidRPr="00883AB8">
        <w:t xml:space="preserve">Details of the proceedings of the appeals committee are confidential. </w:t>
      </w:r>
    </w:p>
    <w:p w14:paraId="0389F236" w14:textId="77777777" w:rsidR="00053702" w:rsidRPr="00883AB8" w:rsidRDefault="00053702" w:rsidP="00DA4624">
      <w:pPr>
        <w:pStyle w:val="SCVbullet1"/>
      </w:pPr>
      <w:r w:rsidRPr="00883AB8">
        <w:t xml:space="preserve">The appeals committee findings are provided to the CEO or DMS, then the health service board (or highest level of governance). The board will make a final determination and informs the practitioner and the credentialing committee in writing within one calendar month of receiving the findings. </w:t>
      </w:r>
    </w:p>
    <w:p w14:paraId="5E1DBBFC" w14:textId="77777777" w:rsidR="00053702" w:rsidRPr="00883AB8" w:rsidRDefault="00053702" w:rsidP="00DA4624">
      <w:pPr>
        <w:pStyle w:val="SCVbullet1"/>
      </w:pPr>
      <w:r w:rsidRPr="00883AB8">
        <w:t>Legal advice may be sought by either the appeals committee or the practitioner.</w:t>
      </w:r>
    </w:p>
    <w:p w14:paraId="35C19F7E" w14:textId="77777777" w:rsidR="00053702" w:rsidRPr="00883AB8" w:rsidRDefault="00053702" w:rsidP="00053702">
      <w:pPr>
        <w:pStyle w:val="SCVbody"/>
      </w:pPr>
      <w:r w:rsidRPr="00883AB8">
        <w:t xml:space="preserve">The credentialing and scope of clinical practice appeals committee should comprise: </w:t>
      </w:r>
    </w:p>
    <w:p w14:paraId="601082A8" w14:textId="77777777" w:rsidR="00053702" w:rsidRPr="00883AB8" w:rsidRDefault="00053702" w:rsidP="00DA4624">
      <w:pPr>
        <w:pStyle w:val="SCVbullet1"/>
      </w:pPr>
      <w:r w:rsidRPr="00883AB8">
        <w:t>majority medical or dental (as applicable) practitioners from a range of disciplines who have the skills and experience to provide informed and independent advice</w:t>
      </w:r>
    </w:p>
    <w:p w14:paraId="747157B8" w14:textId="77777777" w:rsidR="00053702" w:rsidRPr="00883AB8" w:rsidRDefault="00053702" w:rsidP="00DA4624">
      <w:pPr>
        <w:pStyle w:val="SCVbullet1"/>
      </w:pPr>
      <w:r w:rsidRPr="00883AB8">
        <w:t xml:space="preserve">at least one medical practitioner or dentist </w:t>
      </w:r>
      <w:r w:rsidRPr="00883AB8" w:rsidDel="00B17D21">
        <w:t xml:space="preserve">who practises </w:t>
      </w:r>
      <w:r w:rsidRPr="00883AB8">
        <w:t>in the field</w:t>
      </w:r>
      <w:r w:rsidRPr="00883AB8" w:rsidDel="00B17D21">
        <w:t xml:space="preserve"> relevant to </w:t>
      </w:r>
      <w:r w:rsidRPr="00883AB8">
        <w:t>that</w:t>
      </w:r>
      <w:r w:rsidRPr="00883AB8" w:rsidDel="00B17D21">
        <w:t xml:space="preserve"> being reviewed</w:t>
      </w:r>
    </w:p>
    <w:p w14:paraId="3B3F353D" w14:textId="77777777" w:rsidR="00053702" w:rsidRPr="00883AB8" w:rsidRDefault="00053702" w:rsidP="00DA4624">
      <w:pPr>
        <w:pStyle w:val="SCVbullet1"/>
      </w:pPr>
      <w:r w:rsidRPr="00883AB8">
        <w:t>a nominee of the relevant college, association or society</w:t>
      </w:r>
    </w:p>
    <w:p w14:paraId="02EA47B2" w14:textId="77777777" w:rsidR="00053702" w:rsidRPr="00883AB8" w:rsidRDefault="00053702" w:rsidP="00DA4624">
      <w:pPr>
        <w:pStyle w:val="SCVbullet1"/>
      </w:pPr>
      <w:r w:rsidRPr="00883AB8">
        <w:t xml:space="preserve">a nominee (medical practitioner or dentist) of the practitioner who is the subject of the appeal. </w:t>
      </w:r>
    </w:p>
    <w:p w14:paraId="70CD25AB" w14:textId="77777777" w:rsidR="00053702" w:rsidRPr="00883AB8" w:rsidRDefault="00053702" w:rsidP="00053702">
      <w:pPr>
        <w:pStyle w:val="SCVbody"/>
      </w:pPr>
      <w:r w:rsidRPr="00883AB8" w:rsidDel="00D74C59">
        <w:t xml:space="preserve">In private health services this process is defined within the health service’s by-laws. </w:t>
      </w:r>
      <w:r w:rsidRPr="00883AB8">
        <w:t xml:space="preserve">Private health services must therefore ensure their by-laws align with this process </w:t>
      </w:r>
      <w:r w:rsidRPr="00883AB8" w:rsidDel="00D74C59">
        <w:t xml:space="preserve">or </w:t>
      </w:r>
      <w:r w:rsidRPr="00883AB8">
        <w:t>are amended</w:t>
      </w:r>
      <w:r w:rsidRPr="00883AB8" w:rsidDel="00D74C59">
        <w:t xml:space="preserve"> to </w:t>
      </w:r>
      <w:r w:rsidRPr="00883AB8">
        <w:t>align</w:t>
      </w:r>
      <w:r w:rsidRPr="00883AB8" w:rsidDel="00D74C59">
        <w:t xml:space="preserve"> where necessary</w:t>
      </w:r>
      <w:r w:rsidRPr="00883AB8">
        <w:t xml:space="preserve">. </w:t>
      </w:r>
    </w:p>
    <w:p w14:paraId="092AFF32" w14:textId="77777777" w:rsidR="00053702" w:rsidRPr="00883AB8" w:rsidRDefault="00053702" w:rsidP="00053702">
      <w:pPr>
        <w:pStyle w:val="Heading2"/>
      </w:pPr>
      <w:bookmarkStart w:id="56" w:name="_Toc234231672"/>
      <w:bookmarkStart w:id="57" w:name="_Toc244005620"/>
      <w:bookmarkStart w:id="58" w:name="_Toc244012570"/>
      <w:r w:rsidRPr="00883AB8">
        <w:t>De-credentialing</w:t>
      </w:r>
      <w:bookmarkEnd w:id="56"/>
      <w:bookmarkEnd w:id="57"/>
      <w:bookmarkEnd w:id="58"/>
    </w:p>
    <w:p w14:paraId="518CE520" w14:textId="77777777" w:rsidR="00053702" w:rsidRPr="00883AB8" w:rsidRDefault="00053702" w:rsidP="00053702">
      <w:pPr>
        <w:pStyle w:val="SCVbody"/>
      </w:pPr>
      <w:r w:rsidRPr="00883AB8">
        <w:t xml:space="preserve">In the uncommon event that a practitioner is de-credentialed due to </w:t>
      </w:r>
      <w:r w:rsidRPr="00883AB8" w:rsidDel="00E4545F">
        <w:t xml:space="preserve">an </w:t>
      </w:r>
      <w:r w:rsidRPr="00883AB8">
        <w:t>unacceptable professional, clinical or behavioural gap, the health service should convene a group of independent specialists. This group, separate from the credentialing committee, assesses and manages the de-credentialing process. The group’s members must be free of perceived or actual conflicts of interest. They will act as the primary communication and liaison point for the practitioner throughout the processes that follow.</w:t>
      </w:r>
    </w:p>
    <w:p w14:paraId="253ECCCD" w14:textId="77777777" w:rsidR="00053702" w:rsidRPr="00883AB8" w:rsidRDefault="00053702" w:rsidP="00053702">
      <w:pPr>
        <w:pStyle w:val="SCVbody"/>
      </w:pPr>
      <w:r w:rsidRPr="00883AB8">
        <w:t>De-credentialing decisions should be reported</w:t>
      </w:r>
      <w:r w:rsidRPr="00883AB8" w:rsidDel="00C76D5B">
        <w:t xml:space="preserve"> </w:t>
      </w:r>
      <w:r w:rsidRPr="00883AB8">
        <w:t xml:space="preserve">to a board’s quality and safety subcommittee (or equivalent) </w:t>
      </w:r>
      <w:r w:rsidRPr="00883AB8" w:rsidDel="0017715F">
        <w:t>given the potential reputational risks, workforce planning and service provision implications</w:t>
      </w:r>
      <w:r w:rsidRPr="00883AB8">
        <w:t>. This process should also include an assessment of whether Ahpra should be notified.</w:t>
      </w:r>
    </w:p>
    <w:p w14:paraId="75439595" w14:textId="77777777" w:rsidR="00053702" w:rsidRPr="00883AB8" w:rsidRDefault="00053702" w:rsidP="00053702">
      <w:pPr>
        <w:pStyle w:val="SCVbody"/>
      </w:pPr>
      <w:r w:rsidRPr="00883AB8">
        <w:t xml:space="preserve">If de-credentialing occurs due to low activity and not performance concerns, the health service should provide clear documentation to the practitioner. This may include a formal letter or email. Providing this documentation helps reduce the risk that the decision will be misinterpreted as a reflection of the practitioner’s competence, performance, professional suitability or ability to provide safe care. </w:t>
      </w:r>
    </w:p>
    <w:p w14:paraId="3CCE6F6A" w14:textId="77777777" w:rsidR="00053702" w:rsidRPr="00883AB8" w:rsidRDefault="00053702" w:rsidP="00053702">
      <w:pPr>
        <w:pStyle w:val="Heading2"/>
      </w:pPr>
      <w:bookmarkStart w:id="59" w:name="_Toc194322196"/>
      <w:bookmarkStart w:id="60" w:name="_Toc234231673"/>
      <w:bookmarkStart w:id="61" w:name="_Toc244005621"/>
      <w:bookmarkStart w:id="62" w:name="_Toc244012571"/>
      <w:r w:rsidRPr="00883AB8">
        <w:lastRenderedPageBreak/>
        <w:t>Scope of clinical practice</w:t>
      </w:r>
      <w:bookmarkEnd w:id="59"/>
      <w:bookmarkEnd w:id="60"/>
      <w:bookmarkEnd w:id="61"/>
      <w:bookmarkEnd w:id="62"/>
      <w:r w:rsidRPr="00883AB8">
        <w:t xml:space="preserve"> </w:t>
      </w:r>
    </w:p>
    <w:p w14:paraId="5694F9C4" w14:textId="77777777" w:rsidR="00053702" w:rsidRPr="00883AB8" w:rsidRDefault="00053702" w:rsidP="00053702">
      <w:pPr>
        <w:pStyle w:val="SCVbody"/>
      </w:pPr>
      <w:r w:rsidRPr="00883AB8">
        <w:t xml:space="preserve">Scope of clinical practice is health service–specific. It specifies the extent and boundaries of a practitioner’s approved clinical practice. It also </w:t>
      </w:r>
      <w:r w:rsidRPr="00883AB8" w:rsidDel="00EE2448">
        <w:t xml:space="preserve">identifies which services the </w:t>
      </w:r>
      <w:r w:rsidRPr="00883AB8">
        <w:t>practitioner</w:t>
      </w:r>
      <w:r w:rsidRPr="00883AB8" w:rsidDel="00EE2448">
        <w:t xml:space="preserve"> can provide </w:t>
      </w:r>
      <w:r w:rsidRPr="00883AB8">
        <w:t xml:space="preserve">within named facilities or settings based on: </w:t>
      </w:r>
    </w:p>
    <w:p w14:paraId="2C3EC040" w14:textId="77777777" w:rsidR="00053702" w:rsidRPr="00883AB8" w:rsidRDefault="00053702" w:rsidP="00DA4624">
      <w:pPr>
        <w:pStyle w:val="SCVbullet1"/>
      </w:pPr>
      <w:r w:rsidRPr="00883AB8">
        <w:t xml:space="preserve">the practitioner’s credentials (qualifications, experience and professional performance) </w:t>
      </w:r>
    </w:p>
    <w:p w14:paraId="7E622E3D" w14:textId="77777777" w:rsidR="00053702" w:rsidRPr="00883AB8" w:rsidRDefault="00053702" w:rsidP="00DA4624">
      <w:pPr>
        <w:pStyle w:val="SCVbullet1"/>
      </w:pPr>
      <w:r w:rsidRPr="00883AB8">
        <w:t xml:space="preserve">the facility’s strategic service plan </w:t>
      </w:r>
    </w:p>
    <w:p w14:paraId="1794D5F2" w14:textId="77777777" w:rsidR="00053702" w:rsidRPr="00883AB8" w:rsidRDefault="00053702" w:rsidP="00DA4624">
      <w:pPr>
        <w:pStyle w:val="SCVbullet1"/>
      </w:pPr>
      <w:r w:rsidRPr="00883AB8">
        <w:t xml:space="preserve">the practitioner’s capacity to provide safe and appropriate care within specific health service settings. </w:t>
      </w:r>
    </w:p>
    <w:p w14:paraId="43E05B16" w14:textId="2BC1BC6C" w:rsidR="00053702" w:rsidRPr="00883AB8" w:rsidRDefault="00053702" w:rsidP="00053702">
      <w:pPr>
        <w:pStyle w:val="SCVbody"/>
      </w:pPr>
      <w:r w:rsidRPr="00883AB8">
        <w:t xml:space="preserve">The role of the credentialing committee in relation to scope of clinical practice is set out under the </w:t>
      </w:r>
      <w:hyperlink w:anchor="_Credentialing_Process" w:history="1">
        <w:r w:rsidRPr="00883AB8">
          <w:rPr>
            <w:rStyle w:val="Hyperlink"/>
          </w:rPr>
          <w:t>credentialing process section</w:t>
        </w:r>
      </w:hyperlink>
      <w:r w:rsidRPr="00883AB8">
        <w:t xml:space="preserve"> of this document. Health services should refer to the </w:t>
      </w:r>
      <w:hyperlink w:anchor="_Medical_and_dental" w:history="1">
        <w:r w:rsidRPr="00883AB8">
          <w:rPr>
            <w:rStyle w:val="Hyperlink"/>
          </w:rPr>
          <w:t>medical and dental practitioners section</w:t>
        </w:r>
      </w:hyperlink>
      <w:r w:rsidRPr="00883AB8">
        <w:t xml:space="preserve"> of this policy for information when assessing a practitioner’s request for scope of clinical practice at initial assessment or on review. </w:t>
      </w:r>
    </w:p>
    <w:p w14:paraId="11134159" w14:textId="77777777" w:rsidR="00053702" w:rsidRPr="00883AB8" w:rsidRDefault="00053702" w:rsidP="00053702">
      <w:pPr>
        <w:pStyle w:val="SCVbody"/>
      </w:pPr>
      <w:r w:rsidRPr="00883AB8">
        <w:t>A practitioner who works in multiple facilities across a healthcare organisation may have different agreed scopes of practice in each facility that reflect differences in</w:t>
      </w:r>
      <w:r w:rsidRPr="00883AB8" w:rsidDel="003F606E">
        <w:t xml:space="preserve"> </w:t>
      </w:r>
      <w:r w:rsidRPr="00883AB8">
        <w:t>equipment, staffing, services and requirements.</w:t>
      </w:r>
      <w:r w:rsidRPr="00883AB8" w:rsidDel="00696C41">
        <w:t xml:space="preserve"> </w:t>
      </w:r>
      <w:r w:rsidRPr="00883AB8">
        <w:t>Any variations in scope of clinical practice determined by the health service must be clearly documented.</w:t>
      </w:r>
    </w:p>
    <w:p w14:paraId="2ABEAB74" w14:textId="77777777" w:rsidR="00053702" w:rsidRPr="00883AB8" w:rsidRDefault="00053702" w:rsidP="00053702">
      <w:pPr>
        <w:pStyle w:val="SCVbody"/>
      </w:pPr>
      <w:bookmarkStart w:id="63" w:name="_Hlk182315299"/>
      <w:r w:rsidRPr="00883AB8">
        <w:t xml:space="preserve">Health services are responsible for understanding the healthcare needs of the communities they serve. They must ensure resources are available to meet their strategic plan, service capability and role delineation framework obligations. The health service must also </w:t>
      </w:r>
      <w:r w:rsidRPr="00883AB8" w:rsidDel="005A0101">
        <w:t>ensur</w:t>
      </w:r>
      <w:r w:rsidRPr="00883AB8">
        <w:t>e</w:t>
      </w:r>
      <w:r w:rsidRPr="00883AB8" w:rsidDel="005A0101">
        <w:t xml:space="preserve"> the scope of practice for each practitioner is</w:t>
      </w:r>
      <w:r w:rsidRPr="00883AB8">
        <w:t xml:space="preserve"> clearly identified and document</w:t>
      </w:r>
      <w:r w:rsidRPr="00883AB8" w:rsidDel="005A0101">
        <w:t>ed</w:t>
      </w:r>
      <w:r w:rsidRPr="00883AB8">
        <w:t>. The information must be provided to the practitioner</w:t>
      </w:r>
      <w:r w:rsidRPr="00883AB8" w:rsidDel="00B74980">
        <w:t xml:space="preserve"> and </w:t>
      </w:r>
      <w:r w:rsidRPr="00883AB8">
        <w:t>shared with those they undertake clinical practice with.</w:t>
      </w:r>
    </w:p>
    <w:p w14:paraId="6FC45CDA" w14:textId="77777777" w:rsidR="00053702" w:rsidRPr="00883AB8" w:rsidRDefault="00053702" w:rsidP="00053702">
      <w:pPr>
        <w:pStyle w:val="SCVbody"/>
      </w:pPr>
      <w:r w:rsidRPr="00883AB8">
        <w:t xml:space="preserve">Health services may wish to establish: </w:t>
      </w:r>
    </w:p>
    <w:p w14:paraId="5B2AFD9F" w14:textId="77777777" w:rsidR="00053702" w:rsidRPr="00883AB8" w:rsidRDefault="00053702" w:rsidP="00DA4624">
      <w:pPr>
        <w:pStyle w:val="SCVbullet1"/>
      </w:pPr>
      <w:r w:rsidRPr="00883AB8">
        <w:t xml:space="preserve">a single committee to undertake both credentialing and scope of clinical practice </w:t>
      </w:r>
    </w:p>
    <w:p w14:paraId="1B50A24B" w14:textId="77777777" w:rsidR="00053702" w:rsidRPr="00883AB8" w:rsidRDefault="00053702" w:rsidP="00DA4624">
      <w:pPr>
        <w:pStyle w:val="SCVbullet1"/>
      </w:pPr>
      <w:r w:rsidRPr="00883AB8">
        <w:t xml:space="preserve">an LHSN committee to undertake credentialing for all member health services </w:t>
      </w:r>
    </w:p>
    <w:p w14:paraId="7F6ECF70" w14:textId="77777777" w:rsidR="00053702" w:rsidRPr="00883AB8" w:rsidRDefault="00053702" w:rsidP="00DA4624">
      <w:pPr>
        <w:pStyle w:val="SCVbullet1"/>
      </w:pPr>
      <w:r w:rsidRPr="00883AB8">
        <w:t xml:space="preserve">an LHSN committee responsible for both credentialing and, in consultation with each health service, scope of clinical practice across member health services. </w:t>
      </w:r>
    </w:p>
    <w:p w14:paraId="591904BB" w14:textId="77777777" w:rsidR="00053702" w:rsidRPr="00883AB8" w:rsidRDefault="00053702" w:rsidP="00053702">
      <w:pPr>
        <w:pStyle w:val="SCVbody"/>
      </w:pPr>
      <w:r w:rsidRPr="00883AB8">
        <w:t xml:space="preserve">Although credentialing may be centralised across an LHSN or geographical area, defining the scope of clinical practice remains the responsibility of the specific health service where the practitioner will work. It is the health service that holds ultimate accountability for determining what it requires the practitioner to do and what it can appropriately support to ensure patient safety. </w:t>
      </w:r>
    </w:p>
    <w:p w14:paraId="2FD75C51" w14:textId="77777777" w:rsidR="00053702" w:rsidRPr="00883AB8" w:rsidRDefault="00053702" w:rsidP="00053702">
      <w:pPr>
        <w:pStyle w:val="Heading3"/>
      </w:pPr>
      <w:bookmarkStart w:id="64" w:name="_Toc234231674"/>
      <w:bookmarkStart w:id="65" w:name="_Toc244012572"/>
      <w:r w:rsidRPr="00883AB8">
        <w:t>Refusing a scope of clinical practice</w:t>
      </w:r>
      <w:bookmarkEnd w:id="64"/>
      <w:bookmarkEnd w:id="65"/>
      <w:r w:rsidRPr="00883AB8">
        <w:t xml:space="preserve"> </w:t>
      </w:r>
    </w:p>
    <w:p w14:paraId="73FD55DB" w14:textId="77777777" w:rsidR="00053702" w:rsidRPr="00883AB8" w:rsidRDefault="00053702" w:rsidP="00053702">
      <w:pPr>
        <w:pStyle w:val="SCVbody"/>
      </w:pPr>
      <w:r w:rsidRPr="00883AB8">
        <w:t>The credentialing committee should decline the request or propose an alternative (where appropriate) if it finds that either:</w:t>
      </w:r>
    </w:p>
    <w:p w14:paraId="58D3A8DF" w14:textId="77777777" w:rsidR="00053702" w:rsidRPr="00883AB8" w:rsidRDefault="00053702" w:rsidP="00DA4624">
      <w:pPr>
        <w:pStyle w:val="SCVbullet1"/>
      </w:pPr>
      <w:r w:rsidRPr="00883AB8">
        <w:t>the applicant’s credentials, competence or performance do not meet the criteria for the requested scope of clinical practice</w:t>
      </w:r>
    </w:p>
    <w:p w14:paraId="4B0245A8" w14:textId="77777777" w:rsidR="00053702" w:rsidRPr="00883AB8" w:rsidRDefault="00053702" w:rsidP="00DA4624">
      <w:pPr>
        <w:pStyle w:val="SCVbullet1"/>
      </w:pPr>
      <w:r w:rsidRPr="00883AB8">
        <w:t>the procedures related to the requested scope of practice exceeds the health service’s capability framework.</w:t>
      </w:r>
    </w:p>
    <w:p w14:paraId="31372549" w14:textId="77777777" w:rsidR="00053702" w:rsidRPr="00883AB8" w:rsidRDefault="00053702" w:rsidP="00053702">
      <w:pPr>
        <w:pStyle w:val="SCVbody"/>
      </w:pPr>
      <w:r w:rsidRPr="00883AB8">
        <w:lastRenderedPageBreak/>
        <w:t>The committee should document the reasons for its decision.</w:t>
      </w:r>
    </w:p>
    <w:p w14:paraId="2B9E2089" w14:textId="77777777" w:rsidR="00053702" w:rsidRPr="00883AB8" w:rsidRDefault="00053702" w:rsidP="00053702">
      <w:pPr>
        <w:pStyle w:val="Heading3"/>
        <w:rPr>
          <w:iCs/>
        </w:rPr>
      </w:pPr>
      <w:bookmarkStart w:id="66" w:name="_Toc234231675"/>
      <w:bookmarkStart w:id="67" w:name="_Toc244012573"/>
      <w:bookmarkEnd w:id="63"/>
      <w:r w:rsidRPr="00883AB8">
        <w:t>Determining a practitioner’s scope of clinical practice</w:t>
      </w:r>
      <w:bookmarkEnd w:id="66"/>
      <w:bookmarkEnd w:id="67"/>
    </w:p>
    <w:p w14:paraId="6C52F864" w14:textId="77777777" w:rsidR="00053702" w:rsidRPr="00883AB8" w:rsidRDefault="00053702" w:rsidP="00053702">
      <w:pPr>
        <w:pStyle w:val="SCVbody"/>
      </w:pPr>
      <w:r w:rsidRPr="00883AB8">
        <w:t xml:space="preserve">Delineating a scope of practice is the process of determining the extent of a practitioner’s practice within a particular health service. It is based on both a practitioner’s qualifications and experience and on what practice the organisation is able, and not able, to support. A practitioner’s scope of practice at a health service may be more restricted than their credentials because the health service may be unable to completely support the practitioner’s scope of capability (for example, absence of appropriate equipment). </w:t>
      </w:r>
    </w:p>
    <w:p w14:paraId="460FFF40" w14:textId="77777777" w:rsidR="00053702" w:rsidRPr="00883AB8" w:rsidRDefault="00053702" w:rsidP="00053702">
      <w:pPr>
        <w:pStyle w:val="SCVbody"/>
      </w:pPr>
      <w:r w:rsidRPr="00883AB8">
        <w:t xml:space="preserve">The health service must be clear about areas of safe practice and alignment to the relevant service capability frameworks and the LHSN </w:t>
      </w:r>
      <w:r w:rsidRPr="00883AB8" w:rsidDel="00DE781D">
        <w:t>health service</w:t>
      </w:r>
      <w:r w:rsidRPr="00883AB8">
        <w:t>–</w:t>
      </w:r>
      <w:r w:rsidRPr="00883AB8" w:rsidDel="00DE781D">
        <w:t xml:space="preserve">specific </w:t>
      </w:r>
      <w:r w:rsidRPr="00883AB8">
        <w:t xml:space="preserve">role delineation framework. </w:t>
      </w:r>
    </w:p>
    <w:p w14:paraId="6EC01BE1" w14:textId="77777777" w:rsidR="00053702" w:rsidRPr="00883AB8" w:rsidRDefault="00053702" w:rsidP="00053702">
      <w:pPr>
        <w:pStyle w:val="SCVbodyafterheading"/>
        <w:rPr>
          <w:rStyle w:val="SCVbodyChar"/>
        </w:rPr>
      </w:pPr>
      <w:r w:rsidRPr="00883AB8">
        <w:rPr>
          <w:rStyle w:val="SCVbodyChar"/>
        </w:rPr>
        <w:t>Limits to the practitioner’s scope of clinical practice must be made explicit in their letter of appointment.</w:t>
      </w:r>
    </w:p>
    <w:p w14:paraId="5AFA7A93" w14:textId="77777777" w:rsidR="00053702" w:rsidRPr="00883AB8" w:rsidRDefault="00053702" w:rsidP="00053702">
      <w:pPr>
        <w:pStyle w:val="Heading3"/>
      </w:pPr>
      <w:bookmarkStart w:id="68" w:name="_Toc234231676"/>
      <w:bookmarkStart w:id="69" w:name="_Toc244012574"/>
      <w:r w:rsidRPr="00883AB8">
        <w:t>Changing, extending or reducing the scope of clinical practice</w:t>
      </w:r>
      <w:bookmarkEnd w:id="68"/>
      <w:bookmarkEnd w:id="69"/>
    </w:p>
    <w:p w14:paraId="563D52B6" w14:textId="77777777" w:rsidR="00053702" w:rsidRPr="00883AB8" w:rsidDel="00C95F46" w:rsidRDefault="00053702" w:rsidP="00053702">
      <w:pPr>
        <w:pStyle w:val="SCVbody"/>
      </w:pPr>
      <w:r w:rsidRPr="00883AB8" w:rsidDel="00C95F46">
        <w:t xml:space="preserve">Where new services are introduced to the health service, or when a practitioner wishes to extend their scope of clinical practice, they must undergo appropriate credentialing and scope of clinical practice processes specifically for the new service or practice. </w:t>
      </w:r>
    </w:p>
    <w:p w14:paraId="099AECE2" w14:textId="77777777" w:rsidR="00053702" w:rsidRPr="00883AB8" w:rsidDel="00C95F46" w:rsidRDefault="00053702" w:rsidP="00053702">
      <w:pPr>
        <w:pStyle w:val="SCVbody"/>
      </w:pPr>
      <w:r w:rsidRPr="00883AB8" w:rsidDel="00C95F46">
        <w:t>The credentialing committee must be provided with the following:</w:t>
      </w:r>
      <w:r w:rsidRPr="00883AB8">
        <w:t xml:space="preserve"> </w:t>
      </w:r>
    </w:p>
    <w:p w14:paraId="177E48A3" w14:textId="77777777" w:rsidR="00053702" w:rsidRPr="00883AB8" w:rsidDel="00C95F46" w:rsidRDefault="00053702" w:rsidP="00DA4624">
      <w:pPr>
        <w:pStyle w:val="SCVbullet1"/>
      </w:pPr>
      <w:r w:rsidRPr="00883AB8" w:rsidDel="00C95F46">
        <w:t>the change to the scope of clinical practice requested</w:t>
      </w:r>
    </w:p>
    <w:p w14:paraId="62B540F9" w14:textId="77777777" w:rsidR="00053702" w:rsidRPr="00883AB8" w:rsidDel="00C95F46" w:rsidRDefault="00053702" w:rsidP="00DA4624">
      <w:pPr>
        <w:pStyle w:val="SCVbullet1"/>
      </w:pPr>
      <w:r w:rsidRPr="00883AB8" w:rsidDel="00C95F46">
        <w:t>additional procedural qualifications or evidence of meeting the recency of practice registration standard experience related to the requested change</w:t>
      </w:r>
      <w:r w:rsidRPr="00883AB8">
        <w:t xml:space="preserve"> in scope</w:t>
      </w:r>
    </w:p>
    <w:p w14:paraId="5E8A6D4B" w14:textId="77777777" w:rsidR="00053702" w:rsidRPr="00883AB8" w:rsidDel="00C95F46" w:rsidRDefault="00053702" w:rsidP="00DA4624">
      <w:pPr>
        <w:pStyle w:val="SCVbullet1"/>
      </w:pPr>
      <w:r w:rsidRPr="00883AB8" w:rsidDel="00C95F46">
        <w:t>evidence of the practitioner’s skills and outcomes in undertaking the requested additional scope of practice</w:t>
      </w:r>
      <w:r w:rsidRPr="00883AB8">
        <w:t xml:space="preserve"> (for example, presented at a clinical review meeting)</w:t>
      </w:r>
    </w:p>
    <w:p w14:paraId="7F8FB21B" w14:textId="77777777" w:rsidR="00053702" w:rsidRPr="00883AB8" w:rsidDel="00C95F46" w:rsidRDefault="00053702" w:rsidP="00DA4624">
      <w:pPr>
        <w:pStyle w:val="SCVbullet1"/>
      </w:pPr>
      <w:r w:rsidRPr="00883AB8" w:rsidDel="00C95F46">
        <w:t>appropriate clinical reference</w:t>
      </w:r>
      <w:r w:rsidRPr="00883AB8">
        <w:t>(s)</w:t>
      </w:r>
      <w:r w:rsidRPr="00883AB8" w:rsidDel="00C95F46">
        <w:t xml:space="preserve"> or professional attestations relating to the request</w:t>
      </w:r>
    </w:p>
    <w:p w14:paraId="46B0AA2C" w14:textId="77777777" w:rsidR="00053702" w:rsidRPr="00883AB8" w:rsidDel="00C95F46" w:rsidRDefault="00053702" w:rsidP="00DA4624">
      <w:pPr>
        <w:pStyle w:val="SCVbullet1"/>
      </w:pPr>
      <w:r w:rsidRPr="00883AB8" w:rsidDel="00C95F46">
        <w:t xml:space="preserve">CPD: college certificate or evidence of relevant CPD, confirming with the relevant college </w:t>
      </w:r>
      <w:r w:rsidRPr="00883AB8">
        <w:t>(</w:t>
      </w:r>
      <w:r w:rsidRPr="00883AB8" w:rsidDel="00C95F46">
        <w:t xml:space="preserve">if </w:t>
      </w:r>
      <w:r w:rsidRPr="00883AB8">
        <w:t>needed)</w:t>
      </w:r>
      <w:r w:rsidRPr="00883AB8" w:rsidDel="00C95F46">
        <w:t xml:space="preserve"> that align with the requested change in scope. </w:t>
      </w:r>
    </w:p>
    <w:p w14:paraId="027D3746" w14:textId="77777777" w:rsidR="00053702" w:rsidRPr="00883AB8" w:rsidDel="00C95F46" w:rsidRDefault="00053702" w:rsidP="00053702">
      <w:pPr>
        <w:pStyle w:val="SCVbody"/>
      </w:pPr>
      <w:r w:rsidRPr="00883AB8" w:rsidDel="00C95F46">
        <w:t xml:space="preserve">The health service board </w:t>
      </w:r>
      <w:r w:rsidRPr="00883AB8">
        <w:t xml:space="preserve">must confirm that the </w:t>
      </w:r>
      <w:r w:rsidRPr="00883AB8" w:rsidDel="00C95F46">
        <w:t xml:space="preserve">requested changes </w:t>
      </w:r>
      <w:r w:rsidRPr="00883AB8">
        <w:t xml:space="preserve">align </w:t>
      </w:r>
      <w:r w:rsidRPr="00883AB8" w:rsidDel="00C95F46">
        <w:t xml:space="preserve">with the </w:t>
      </w:r>
      <w:r w:rsidRPr="00883AB8">
        <w:t xml:space="preserve">health service’s </w:t>
      </w:r>
      <w:r w:rsidRPr="00883AB8" w:rsidDel="00C95F46">
        <w:t>strategic service plan</w:t>
      </w:r>
      <w:r w:rsidRPr="00883AB8">
        <w:t>,</w:t>
      </w:r>
      <w:r w:rsidRPr="00883AB8" w:rsidDel="00C95F46">
        <w:t xml:space="preserve"> </w:t>
      </w:r>
      <w:r w:rsidRPr="00883AB8">
        <w:t xml:space="preserve">its </w:t>
      </w:r>
      <w:r w:rsidRPr="00883AB8" w:rsidDel="00C95F46">
        <w:t xml:space="preserve">designated service capability and </w:t>
      </w:r>
      <w:r w:rsidRPr="00883AB8">
        <w:t>its</w:t>
      </w:r>
      <w:r w:rsidRPr="00883AB8" w:rsidDel="00C95F46">
        <w:t xml:space="preserve"> role delineation framework. In the event of changes to the relevant service capability frameworks, a practitioner</w:t>
      </w:r>
      <w:r w:rsidRPr="00883AB8">
        <w:t>’s</w:t>
      </w:r>
      <w:r w:rsidRPr="00883AB8" w:rsidDel="00C95F46">
        <w:t xml:space="preserve"> scope of clinical practice may be reduced. </w:t>
      </w:r>
    </w:p>
    <w:p w14:paraId="18BE3161" w14:textId="77777777" w:rsidR="00053702" w:rsidRPr="00883AB8" w:rsidRDefault="00053702" w:rsidP="00053702">
      <w:pPr>
        <w:pStyle w:val="SCVbody"/>
      </w:pPr>
      <w:r w:rsidRPr="00883AB8">
        <w:t>Where there is evidence to reduce a practitioner’s scope</w:t>
      </w:r>
      <w:r w:rsidRPr="00883AB8" w:rsidDel="00C95F46">
        <w:t xml:space="preserve"> of clinical practice</w:t>
      </w:r>
      <w:r w:rsidRPr="00883AB8">
        <w:t>,</w:t>
      </w:r>
      <w:r w:rsidRPr="00883AB8" w:rsidDel="00C95F46">
        <w:t xml:space="preserve"> or </w:t>
      </w:r>
      <w:r w:rsidRPr="00883AB8">
        <w:t xml:space="preserve">if </w:t>
      </w:r>
      <w:r w:rsidRPr="00883AB8" w:rsidDel="00C95F46">
        <w:t xml:space="preserve">the DMS or credentialing committee determine that </w:t>
      </w:r>
      <w:r w:rsidRPr="00883AB8">
        <w:t xml:space="preserve">CPD </w:t>
      </w:r>
      <w:r w:rsidRPr="00883AB8" w:rsidDel="00C95F46">
        <w:t xml:space="preserve">requirements </w:t>
      </w:r>
      <w:r w:rsidRPr="00883AB8">
        <w:t>or participation in clinical safety and quality activities (for example, peer reviews)</w:t>
      </w:r>
      <w:r w:rsidRPr="00883AB8" w:rsidDel="00C95F46">
        <w:t xml:space="preserve"> have not been met, the health service </w:t>
      </w:r>
      <w:r w:rsidRPr="00883AB8">
        <w:t>b</w:t>
      </w:r>
      <w:r w:rsidRPr="00883AB8" w:rsidDel="00C95F46">
        <w:t>oard or the DMS must notify the practitioner in writing</w:t>
      </w:r>
      <w:r w:rsidRPr="00883AB8">
        <w:t>. They must also</w:t>
      </w:r>
      <w:r w:rsidRPr="00883AB8" w:rsidDel="00C95F46">
        <w:t xml:space="preserve"> provide an amended position description</w:t>
      </w:r>
      <w:r w:rsidRPr="00883AB8">
        <w:t>.</w:t>
      </w:r>
      <w:r w:rsidRPr="00883AB8" w:rsidDel="00C95F46">
        <w:t xml:space="preserve"> </w:t>
      </w:r>
      <w:r w:rsidRPr="00883AB8">
        <w:t xml:space="preserve">This should </w:t>
      </w:r>
      <w:r w:rsidRPr="00883AB8" w:rsidDel="00C95F46">
        <w:t xml:space="preserve">ideally </w:t>
      </w:r>
      <w:r w:rsidRPr="00883AB8">
        <w:t xml:space="preserve">allow </w:t>
      </w:r>
      <w:r w:rsidRPr="00883AB8" w:rsidDel="00C95F46">
        <w:t xml:space="preserve">a minimum of </w:t>
      </w:r>
      <w:r w:rsidRPr="00883AB8">
        <w:t>4</w:t>
      </w:r>
      <w:r w:rsidRPr="00883AB8" w:rsidDel="00C95F46">
        <w:t xml:space="preserve"> weeks</w:t>
      </w:r>
      <w:r w:rsidRPr="00883AB8">
        <w:t>’</w:t>
      </w:r>
      <w:r w:rsidRPr="00883AB8" w:rsidDel="00C95F46">
        <w:t xml:space="preserve"> notice. </w:t>
      </w:r>
      <w:r w:rsidRPr="00883AB8">
        <w:t>Where a</w:t>
      </w:r>
      <w:r w:rsidRPr="00883AB8" w:rsidDel="00C95F46">
        <w:t xml:space="preserve"> practitioner’s practice has, or is suspected of, </w:t>
      </w:r>
      <w:r w:rsidRPr="00883AB8">
        <w:t>causing</w:t>
      </w:r>
      <w:r w:rsidRPr="00883AB8" w:rsidDel="00C95F46">
        <w:t xml:space="preserve"> patient harm, the DMS may immediately modify their scope of practice while the incident is being investigated.</w:t>
      </w:r>
    </w:p>
    <w:p w14:paraId="53790B84" w14:textId="77777777" w:rsidR="00053702" w:rsidRPr="00883AB8" w:rsidDel="00C95F46" w:rsidRDefault="00053702" w:rsidP="00053702">
      <w:pPr>
        <w:pStyle w:val="SCVbody"/>
      </w:pPr>
      <w:r w:rsidRPr="00883AB8">
        <w:t>In the event of prolonged or repeated scope restrictions, consider escalating the matter to a more formal de</w:t>
      </w:r>
      <w:r w:rsidRPr="00883AB8">
        <w:noBreakHyphen/>
        <w:t>credentialing pathway.</w:t>
      </w:r>
    </w:p>
    <w:p w14:paraId="65BB970D" w14:textId="77777777" w:rsidR="00053702" w:rsidRPr="00883AB8" w:rsidDel="00C95F46" w:rsidRDefault="00053702" w:rsidP="00053702">
      <w:pPr>
        <w:pStyle w:val="SCVbody"/>
      </w:pPr>
      <w:r w:rsidRPr="00883AB8">
        <w:lastRenderedPageBreak/>
        <w:t>A</w:t>
      </w:r>
      <w:r w:rsidRPr="00883AB8" w:rsidDel="00C95F46">
        <w:t xml:space="preserve"> practitioner may wish to reduce or narrow their own current practice</w:t>
      </w:r>
      <w:r w:rsidRPr="00883AB8">
        <w:t>.</w:t>
      </w:r>
      <w:r w:rsidRPr="00883AB8" w:rsidDel="00C95F46">
        <w:t xml:space="preserve"> </w:t>
      </w:r>
      <w:r w:rsidRPr="00883AB8">
        <w:t>I</w:t>
      </w:r>
      <w:r w:rsidRPr="00883AB8" w:rsidDel="00C95F46">
        <w:t>n this event</w:t>
      </w:r>
      <w:r w:rsidRPr="00883AB8">
        <w:t>, but particularly where the community may not have access to formerly provided services,</w:t>
      </w:r>
      <w:r w:rsidRPr="00883AB8" w:rsidDel="00C95F46">
        <w:t xml:space="preserve"> they </w:t>
      </w:r>
      <w:r w:rsidRPr="00883AB8">
        <w:t xml:space="preserve">should </w:t>
      </w:r>
      <w:r w:rsidRPr="00883AB8" w:rsidDel="00C95F46">
        <w:t>advise the DMS and the credentialing committee in writing.</w:t>
      </w:r>
    </w:p>
    <w:p w14:paraId="689EAE3A" w14:textId="77777777" w:rsidR="00053702" w:rsidRPr="00883AB8" w:rsidRDefault="00053702" w:rsidP="00053702">
      <w:pPr>
        <w:pStyle w:val="Heading2"/>
      </w:pPr>
      <w:bookmarkStart w:id="70" w:name="_Toc234231677"/>
      <w:bookmarkStart w:id="71" w:name="_Toc244005622"/>
      <w:bookmarkStart w:id="72" w:name="_Toc244012575"/>
      <w:r w:rsidRPr="00883AB8">
        <w:t>Performance and engagement by medical and dental practitioners</w:t>
      </w:r>
      <w:bookmarkEnd w:id="70"/>
      <w:bookmarkEnd w:id="71"/>
      <w:bookmarkEnd w:id="72"/>
      <w:r w:rsidRPr="00883AB8">
        <w:t xml:space="preserve"> </w:t>
      </w:r>
    </w:p>
    <w:p w14:paraId="2A8EE57A" w14:textId="77777777" w:rsidR="00053702" w:rsidRPr="00883AB8" w:rsidRDefault="00053702" w:rsidP="00053702">
      <w:pPr>
        <w:pStyle w:val="SCVbody"/>
      </w:pPr>
      <w:r w:rsidRPr="00883AB8">
        <w:t>The key components of professional support for individual practitioners include:</w:t>
      </w:r>
    </w:p>
    <w:p w14:paraId="47063D35" w14:textId="77777777" w:rsidR="00053702" w:rsidRPr="00883AB8" w:rsidRDefault="00053702" w:rsidP="00DA4624">
      <w:pPr>
        <w:pStyle w:val="SCVbullet1"/>
      </w:pPr>
      <w:r w:rsidRPr="00883AB8">
        <w:t>regular, ongoing, informal communication with their medical lead (medical director, unit head</w:t>
      </w:r>
      <w:r w:rsidRPr="00883AB8" w:rsidDel="00BF5748">
        <w:t xml:space="preserve"> or equivalent</w:t>
      </w:r>
      <w:r w:rsidRPr="00883AB8">
        <w:t xml:space="preserve">) </w:t>
      </w:r>
    </w:p>
    <w:p w14:paraId="5566E375" w14:textId="77777777" w:rsidR="00053702" w:rsidRPr="00883AB8" w:rsidRDefault="00053702" w:rsidP="00DA4624">
      <w:pPr>
        <w:pStyle w:val="SCVbullet1"/>
      </w:pPr>
      <w:r w:rsidRPr="00883AB8" w:rsidDel="00BF5748">
        <w:t xml:space="preserve">regular </w:t>
      </w:r>
      <w:r w:rsidRPr="00883AB8">
        <w:t>ongoing participation in health service clinical quality and safety activities to broaden understanding of clinical practice and its contribution to organisational strategy and outcomes</w:t>
      </w:r>
    </w:p>
    <w:p w14:paraId="6730EB19" w14:textId="77777777" w:rsidR="00053702" w:rsidRPr="00883AB8" w:rsidRDefault="00053702" w:rsidP="00DA4624">
      <w:pPr>
        <w:pStyle w:val="SCVbullet1"/>
      </w:pPr>
      <w:r w:rsidRPr="00883AB8">
        <w:t>a regular formal performance conversation with their medical lead, at least annually, to provide mutual feedback and set goals.</w:t>
      </w:r>
    </w:p>
    <w:p w14:paraId="5AB817FD" w14:textId="77777777" w:rsidR="00053702" w:rsidRPr="00883AB8" w:rsidRDefault="00053702" w:rsidP="00053702">
      <w:pPr>
        <w:pStyle w:val="Heading3"/>
      </w:pPr>
      <w:bookmarkStart w:id="73" w:name="_Toc234231678"/>
      <w:bookmarkStart w:id="74" w:name="_Toc244012576"/>
      <w:r w:rsidRPr="00883AB8">
        <w:t>Clinical quality and safety activities</w:t>
      </w:r>
      <w:bookmarkEnd w:id="73"/>
      <w:bookmarkEnd w:id="74"/>
    </w:p>
    <w:p w14:paraId="637D330E" w14:textId="77777777" w:rsidR="00053702" w:rsidRPr="00883AB8" w:rsidRDefault="00053702" w:rsidP="00053702">
      <w:pPr>
        <w:pStyle w:val="SCVbody"/>
      </w:pPr>
      <w:r w:rsidRPr="00883AB8">
        <w:t xml:space="preserve">Peer review </w:t>
      </w:r>
      <w:r w:rsidRPr="00883AB8" w:rsidDel="00962EF7">
        <w:t xml:space="preserve">is </w:t>
      </w:r>
      <w:r w:rsidRPr="00883AB8">
        <w:t>integral for supporting practitioners’ improvement in their professional and clinical practice and to improve the quality of healthcare outcomes. Peer reviews, both</w:t>
      </w:r>
      <w:r w:rsidRPr="00883AB8" w:rsidDel="00962EF7">
        <w:t xml:space="preserve"> formal </w:t>
      </w:r>
      <w:r w:rsidRPr="00883AB8">
        <w:t>and</w:t>
      </w:r>
      <w:r w:rsidRPr="00883AB8" w:rsidDel="00962EF7">
        <w:t xml:space="preserve"> informal</w:t>
      </w:r>
      <w:r w:rsidRPr="00883AB8">
        <w:t>, including</w:t>
      </w:r>
      <w:r w:rsidRPr="00883AB8" w:rsidDel="00962EF7">
        <w:t xml:space="preserve"> performance appraisals</w:t>
      </w:r>
      <w:r w:rsidRPr="00883AB8">
        <w:t>,</w:t>
      </w:r>
      <w:r w:rsidRPr="00883AB8" w:rsidDel="00962EF7">
        <w:t xml:space="preserve"> </w:t>
      </w:r>
      <w:r w:rsidRPr="00883AB8">
        <w:t xml:space="preserve">should be an integral part of continuous quality improvement. They should be evidence-based and not be confrontational, punitive or subjective. </w:t>
      </w:r>
    </w:p>
    <w:p w14:paraId="551C7A60" w14:textId="77777777" w:rsidR="00053702" w:rsidRPr="00883AB8" w:rsidRDefault="00053702" w:rsidP="00053702">
      <w:pPr>
        <w:pStyle w:val="SCVbody"/>
      </w:pPr>
      <w:r w:rsidRPr="00883AB8" w:rsidDel="002A7A08">
        <w:t xml:space="preserve">Peer review and clinical quality and safety activities </w:t>
      </w:r>
      <w:r w:rsidRPr="00883AB8">
        <w:t>are</w:t>
      </w:r>
      <w:r w:rsidRPr="00883AB8" w:rsidDel="002A7A08">
        <w:t xml:space="preserve"> a continuum of clinical practice</w:t>
      </w:r>
      <w:r w:rsidRPr="00883AB8">
        <w:t>.</w:t>
      </w:r>
      <w:r w:rsidRPr="00883AB8" w:rsidDel="002A7A08">
        <w:t xml:space="preserve"> </w:t>
      </w:r>
      <w:r w:rsidRPr="00883AB8">
        <w:t>Practitioners should therefore take an active part in the quality and safety programs they are credentialed to, given their professional responsibility to actively engage in effective peer review.</w:t>
      </w:r>
    </w:p>
    <w:p w14:paraId="408F89FE" w14:textId="77777777" w:rsidR="00053702" w:rsidRPr="00883AB8" w:rsidRDefault="00053702" w:rsidP="00053702">
      <w:pPr>
        <w:pStyle w:val="SCVbody"/>
      </w:pPr>
      <w:r w:rsidRPr="00883AB8">
        <w:t>The peer review process is used to:</w:t>
      </w:r>
    </w:p>
    <w:p w14:paraId="5DADBC4C" w14:textId="77777777" w:rsidR="00053702" w:rsidRPr="00883AB8" w:rsidRDefault="00053702" w:rsidP="00DA4624">
      <w:pPr>
        <w:pStyle w:val="SCVbullet1"/>
      </w:pPr>
      <w:r w:rsidRPr="00883AB8">
        <w:t>help individual practitioners reflect on their outcomes</w:t>
      </w:r>
    </w:p>
    <w:p w14:paraId="6D1DA671" w14:textId="77777777" w:rsidR="00053702" w:rsidRPr="00883AB8" w:rsidRDefault="00053702" w:rsidP="00DA4624">
      <w:pPr>
        <w:pStyle w:val="SCVbullet1"/>
      </w:pPr>
      <w:r w:rsidRPr="00883AB8">
        <w:t>evaluate the quality of care based on clinical practice standards and benchmarks</w:t>
      </w:r>
    </w:p>
    <w:p w14:paraId="25874067" w14:textId="77777777" w:rsidR="00053702" w:rsidRPr="00883AB8" w:rsidRDefault="00053702" w:rsidP="00DA4624">
      <w:pPr>
        <w:pStyle w:val="SCVbullet1"/>
      </w:pPr>
      <w:r w:rsidRPr="00883AB8">
        <w:t>determine the opportunities to improve the care provided and reduce barriers to high-quality care</w:t>
      </w:r>
    </w:p>
    <w:p w14:paraId="50BE72ED" w14:textId="77777777" w:rsidR="00053702" w:rsidRPr="00883AB8" w:rsidRDefault="00053702" w:rsidP="00DA4624">
      <w:pPr>
        <w:pStyle w:val="SCVbullet1"/>
      </w:pPr>
      <w:r w:rsidRPr="00883AB8">
        <w:t>provide evidence for change in practice protocols to improve care</w:t>
      </w:r>
    </w:p>
    <w:p w14:paraId="354BE130" w14:textId="77777777" w:rsidR="00053702" w:rsidRPr="00883AB8" w:rsidRDefault="00053702" w:rsidP="00DA4624">
      <w:pPr>
        <w:pStyle w:val="SCVbullet1"/>
      </w:pPr>
      <w:r w:rsidRPr="00883AB8">
        <w:t>identify practice patterns that may indicate a need for further focus.</w:t>
      </w:r>
    </w:p>
    <w:p w14:paraId="3B0AC847" w14:textId="77777777" w:rsidR="00053702" w:rsidRPr="00883AB8" w:rsidRDefault="00053702" w:rsidP="00053702">
      <w:pPr>
        <w:pStyle w:val="SCVbody"/>
      </w:pPr>
      <w:r w:rsidRPr="00883AB8">
        <w:t>Peer review can be used for several purposes that may overlap. These can include voluntary collaborative activities to maintain, monitor and improve the safety and quality of care outcomes. They are led by practitioners and can be:</w:t>
      </w:r>
    </w:p>
    <w:p w14:paraId="27B21D77" w14:textId="77777777" w:rsidR="00053702" w:rsidRPr="00883AB8" w:rsidRDefault="00053702" w:rsidP="00086965">
      <w:pPr>
        <w:pStyle w:val="SCVbullet1"/>
      </w:pPr>
      <w:r w:rsidRPr="00883AB8">
        <w:rPr>
          <w:b/>
          <w:bCs/>
        </w:rPr>
        <w:t>formal</w:t>
      </w:r>
      <w:r w:rsidRPr="00883AB8">
        <w:t xml:space="preserve"> such as performance appraisals, morbidity and mortality meetings, multidisciplinary team meetings, reviews of a practitioner’s performance and clinical indicators within craft groups, clinical audits, reviews of adverse patient safety events or patient feedback</w:t>
      </w:r>
    </w:p>
    <w:p w14:paraId="7721379E" w14:textId="77777777" w:rsidR="00053702" w:rsidRPr="00883AB8" w:rsidRDefault="00053702" w:rsidP="00086965">
      <w:pPr>
        <w:pStyle w:val="SCVbullet1"/>
      </w:pPr>
      <w:r w:rsidRPr="00883AB8">
        <w:rPr>
          <w:b/>
          <w:bCs/>
        </w:rPr>
        <w:t xml:space="preserve">informal </w:t>
      </w:r>
      <w:r w:rsidRPr="00883AB8">
        <w:t>such as coaching with feedback and support, direct observation or clinical supervision</w:t>
      </w:r>
    </w:p>
    <w:p w14:paraId="505F9CFC" w14:textId="77777777" w:rsidR="00053702" w:rsidRPr="00883AB8" w:rsidRDefault="00053702" w:rsidP="00086965">
      <w:pPr>
        <w:pStyle w:val="SCVbullet1"/>
      </w:pPr>
      <w:r w:rsidRPr="00883AB8">
        <w:lastRenderedPageBreak/>
        <w:t xml:space="preserve">used for </w:t>
      </w:r>
      <w:r w:rsidRPr="00883AB8">
        <w:rPr>
          <w:b/>
          <w:bCs/>
        </w:rPr>
        <w:t>credentialing, recredentialing and defining scope of clinical practice</w:t>
      </w:r>
      <w:r w:rsidRPr="00883AB8">
        <w:t xml:space="preserve"> – when viewed as a collaborative learning activity, the practitioner engaging in clinical quality and safety initiatives supports them in their peer review and credentialing cycle activities.</w:t>
      </w:r>
    </w:p>
    <w:p w14:paraId="7F1661A9" w14:textId="77777777" w:rsidR="00053702" w:rsidRPr="00883AB8" w:rsidRDefault="00053702" w:rsidP="00053702">
      <w:pPr>
        <w:pStyle w:val="Heading3"/>
      </w:pPr>
      <w:bookmarkStart w:id="75" w:name="_Toc234231679"/>
      <w:bookmarkStart w:id="76" w:name="_Toc244012577"/>
      <w:r w:rsidRPr="00883AB8">
        <w:t>Supporting performance concerns</w:t>
      </w:r>
      <w:bookmarkEnd w:id="75"/>
      <w:bookmarkEnd w:id="76"/>
    </w:p>
    <w:p w14:paraId="18AD82BD" w14:textId="77777777" w:rsidR="00053702" w:rsidRPr="00883AB8" w:rsidRDefault="00053702" w:rsidP="00053702">
      <w:pPr>
        <w:pStyle w:val="SCVbody"/>
      </w:pPr>
      <w:r w:rsidRPr="00883AB8">
        <w:t xml:space="preserve">Underperformance constitutes behavioural, clinical or professional performance at a level that does not meet that expected of the individual given their qualifications, experience and past performance. </w:t>
      </w:r>
    </w:p>
    <w:p w14:paraId="537D4754" w14:textId="77777777" w:rsidR="00053702" w:rsidRPr="00883AB8" w:rsidRDefault="00053702" w:rsidP="00053702">
      <w:pPr>
        <w:pStyle w:val="SCVbody"/>
      </w:pPr>
      <w:r w:rsidRPr="00883AB8">
        <w:t xml:space="preserve">To ensure procedural fairness it is important to define expected performance at </w:t>
      </w:r>
      <w:r w:rsidRPr="00883AB8" w:rsidDel="007F7D08">
        <w:t xml:space="preserve">the time of </w:t>
      </w:r>
      <w:r w:rsidRPr="00883AB8">
        <w:t xml:space="preserve">their appointment and at recredentialing in relation to the practitioner’s scope of practice, position description or contract, and relevant organisational and other policies (for example, codes of conduct). </w:t>
      </w:r>
    </w:p>
    <w:p w14:paraId="082643FA" w14:textId="77777777" w:rsidR="00053702" w:rsidRPr="00883AB8" w:rsidRDefault="00053702" w:rsidP="00053702">
      <w:pPr>
        <w:pStyle w:val="SCVbody"/>
      </w:pPr>
      <w:r w:rsidRPr="00883AB8">
        <w:t>Concerns about performance should be addressed promptly, rather than waiting for a scheduled performance review. The principle of ‘no surprises’ should apply to recredentialing and to formal performance development meetings. Performance concerns</w:t>
      </w:r>
      <w:r w:rsidRPr="00883AB8" w:rsidDel="00B1765A">
        <w:t xml:space="preserve"> </w:t>
      </w:r>
      <w:r w:rsidRPr="00883AB8">
        <w:t>should first be managed at the local level and paired with constructive remediation support such as supervision or co</w:t>
      </w:r>
      <w:r w:rsidRPr="00883AB8">
        <w:noBreakHyphen/>
        <w:t>practice arrangements, mentoring, targeted CPD, structured peer review or proctorship, and time</w:t>
      </w:r>
      <w:r w:rsidRPr="00883AB8">
        <w:noBreakHyphen/>
        <w:t>limited improvement plans to restore scope of clinical practice.</w:t>
      </w:r>
    </w:p>
    <w:p w14:paraId="3F0A74DC" w14:textId="77777777" w:rsidR="00053702" w:rsidRPr="00883AB8" w:rsidRDefault="00053702" w:rsidP="00053702">
      <w:pPr>
        <w:pStyle w:val="SCVbody"/>
      </w:pPr>
      <w:r w:rsidRPr="00883AB8">
        <w:t xml:space="preserve">Practitioners should work with their medical lead </w:t>
      </w:r>
      <w:r w:rsidRPr="00883AB8" w:rsidDel="007E6F71">
        <w:t>(</w:t>
      </w:r>
      <w:r w:rsidRPr="00883AB8">
        <w:t xml:space="preserve">for example, </w:t>
      </w:r>
      <w:r w:rsidRPr="00883AB8" w:rsidDel="007E6F71">
        <w:t>medical director, unit head or equivalent</w:t>
      </w:r>
      <w:r w:rsidRPr="00883AB8">
        <w:t xml:space="preserve">) to understand potential issues affecting their performance and devise strategies to help rectify areas of concern. </w:t>
      </w:r>
    </w:p>
    <w:p w14:paraId="0F31E7C1" w14:textId="77777777" w:rsidR="00053702" w:rsidRPr="00883AB8" w:rsidRDefault="00053702" w:rsidP="00053702">
      <w:pPr>
        <w:pStyle w:val="SCVbody"/>
      </w:pPr>
      <w:r w:rsidRPr="00883AB8">
        <w:t xml:space="preserve">In circumstances where there is a significant departure from expected professional practice, it is appropriate to escalate the issue to the organisation’s leadership. This should occur under the guidance of the health service’s credentialing and scope of practice policy. </w:t>
      </w:r>
    </w:p>
    <w:p w14:paraId="089483B3" w14:textId="77777777" w:rsidR="00053702" w:rsidRPr="00883AB8" w:rsidRDefault="00053702" w:rsidP="00053702">
      <w:pPr>
        <w:pStyle w:val="Heading2"/>
      </w:pPr>
      <w:bookmarkStart w:id="77" w:name="_Toc234231680"/>
      <w:bookmarkStart w:id="78" w:name="_Toc244005623"/>
      <w:bookmarkStart w:id="79" w:name="_Toc244012578"/>
      <w:r w:rsidRPr="00883AB8">
        <w:t>Credentialing and scope of clinical practice in specific arrangements</w:t>
      </w:r>
      <w:bookmarkEnd w:id="77"/>
      <w:bookmarkEnd w:id="78"/>
      <w:bookmarkEnd w:id="79"/>
    </w:p>
    <w:p w14:paraId="448D206D" w14:textId="77777777" w:rsidR="00053702" w:rsidRPr="00883AB8" w:rsidRDefault="00053702" w:rsidP="00053702">
      <w:pPr>
        <w:pStyle w:val="Heading3"/>
      </w:pPr>
      <w:bookmarkStart w:id="80" w:name="_Toc234231681"/>
      <w:bookmarkStart w:id="81" w:name="_Toc244012579"/>
      <w:r w:rsidRPr="00883AB8">
        <w:t>Third-party arrangements</w:t>
      </w:r>
      <w:bookmarkEnd w:id="80"/>
      <w:bookmarkEnd w:id="81"/>
    </w:p>
    <w:p w14:paraId="7521CA7D" w14:textId="77777777" w:rsidR="00053702" w:rsidRPr="00883AB8" w:rsidRDefault="00053702" w:rsidP="00053702">
      <w:pPr>
        <w:pStyle w:val="SCVbody"/>
      </w:pPr>
      <w:r w:rsidRPr="00883AB8">
        <w:t xml:space="preserve">A health service may have an arrangement with a third party to provide clinical or clinical support services. This might be, for example, via contracted services, telehealth, remote diagnostic imaging companies and pathology companies. </w:t>
      </w:r>
    </w:p>
    <w:p w14:paraId="2C6215E5" w14:textId="77777777" w:rsidR="00053702" w:rsidRPr="00883AB8" w:rsidRDefault="00053702" w:rsidP="00053702">
      <w:pPr>
        <w:pStyle w:val="SCVbody"/>
      </w:pPr>
      <w:r w:rsidRPr="00883AB8">
        <w:t xml:space="preserve">The </w:t>
      </w:r>
      <w:r w:rsidRPr="00883AB8" w:rsidDel="000706EA">
        <w:t xml:space="preserve">agreement </w:t>
      </w:r>
      <w:r w:rsidRPr="00883AB8">
        <w:t xml:space="preserve">must clearly specify procedures that ensure practitioners employed by the third party are appropriately credentialed to Victoria’s standards by the third party, to the satisfaction of the health service board and relevant committee(s). This applies to both local and international third-party arrangements. </w:t>
      </w:r>
    </w:p>
    <w:p w14:paraId="49EECF07" w14:textId="77777777" w:rsidR="00053702" w:rsidRPr="00883AB8" w:rsidRDefault="00053702" w:rsidP="00053702">
      <w:pPr>
        <w:pStyle w:val="SCVbody"/>
      </w:pPr>
      <w:r w:rsidRPr="00883AB8">
        <w:t>Locum agencies are strongly encouraged to follow the credentialing and scope of clinical practice processes outlined in this policy when onboarding practitioners. However, health services must not automatically assume this has occurred. Their agreement with a locum agency must set out the responsibilities and expectations of each party regarding credentialing and setting scope of practice for practitioners, ensuring this is done to Victorian standards.</w:t>
      </w:r>
    </w:p>
    <w:p w14:paraId="69891B67" w14:textId="77777777" w:rsidR="00053702" w:rsidRPr="00883AB8" w:rsidRDefault="00053702" w:rsidP="00053702">
      <w:pPr>
        <w:pStyle w:val="Heading3"/>
      </w:pPr>
      <w:bookmarkStart w:id="82" w:name="_Toc234231682"/>
      <w:bookmarkStart w:id="83" w:name="_Toc244012580"/>
      <w:r w:rsidRPr="00883AB8">
        <w:lastRenderedPageBreak/>
        <w:t>Shared care</w:t>
      </w:r>
      <w:bookmarkEnd w:id="82"/>
      <w:bookmarkEnd w:id="83"/>
    </w:p>
    <w:p w14:paraId="4BED32C8" w14:textId="77777777" w:rsidR="00053702" w:rsidRPr="00883AB8" w:rsidRDefault="00053702" w:rsidP="00053702">
      <w:pPr>
        <w:pStyle w:val="SCVbody"/>
      </w:pPr>
      <w:r w:rsidRPr="00883AB8">
        <w:t>The policy applies to practitioners who are endorsed, accredited or otherwise recommended by the health service as shared care providers delivering direct patient care. This includes formal shared care programs (for example, pregnancy or</w:t>
      </w:r>
      <w:r w:rsidRPr="00883AB8" w:rsidDel="00ED4BE7">
        <w:t xml:space="preserve"> </w:t>
      </w:r>
      <w:r w:rsidRPr="00883AB8">
        <w:t xml:space="preserve">chronic disease management). </w:t>
      </w:r>
    </w:p>
    <w:p w14:paraId="65C1FFDD" w14:textId="77777777" w:rsidR="00053702" w:rsidRPr="00883AB8" w:rsidRDefault="00053702" w:rsidP="00053702">
      <w:pPr>
        <w:pStyle w:val="Heading3"/>
      </w:pPr>
      <w:bookmarkStart w:id="84" w:name="_Toc234231683"/>
      <w:bookmarkStart w:id="85" w:name="_Toc244012581"/>
      <w:r w:rsidRPr="00883AB8">
        <w:t>Retrieval services</w:t>
      </w:r>
      <w:bookmarkEnd w:id="84"/>
      <w:bookmarkEnd w:id="85"/>
    </w:p>
    <w:p w14:paraId="5E81BFFD" w14:textId="77777777" w:rsidR="00053702" w:rsidRPr="00883AB8" w:rsidRDefault="00053702" w:rsidP="00053702">
      <w:pPr>
        <w:pStyle w:val="SCVbody"/>
      </w:pPr>
      <w:r w:rsidRPr="00883AB8">
        <w:t>An acute care entity that is not employed by the host health service may provide retrieval services. Examples include Ambulance Victoria, Paediatric Infant Perinatal Emergency Retrieval, Victorian Institute of Forensic Medicine and organ retrieval surgeons. These agencies have their own programs for credentialing and scope of practice.</w:t>
      </w:r>
    </w:p>
    <w:p w14:paraId="32AF2CAB" w14:textId="77777777" w:rsidR="00053702" w:rsidRPr="00883AB8" w:rsidRDefault="00053702" w:rsidP="00053702">
      <w:pPr>
        <w:pStyle w:val="SCVbody"/>
      </w:pPr>
      <w:r w:rsidRPr="00883AB8">
        <w:t>When a patient receives supported shared care before probable transfer or will be transferred to another health service, practitioner credentialing and defining scope of clinical practice is the responsibility of the agency providing the retrieval. In these circumstances, full duplication of credentialing and scope of practice processes at each host health service is often not practical or proportionate.</w:t>
      </w:r>
    </w:p>
    <w:p w14:paraId="05517B36" w14:textId="77777777" w:rsidR="00053702" w:rsidRPr="00883AB8" w:rsidRDefault="00053702" w:rsidP="00053702">
      <w:pPr>
        <w:pStyle w:val="SCVbody"/>
      </w:pPr>
      <w:r w:rsidRPr="00883AB8">
        <w:t xml:space="preserve">Health services may rely on credentialing undertaken by the employing or parent service (or recognised statewide service) to support patient safety and reflect established practice. This reliance remains subject to: </w:t>
      </w:r>
    </w:p>
    <w:p w14:paraId="21F066FD" w14:textId="77777777" w:rsidR="00053702" w:rsidRPr="00883AB8" w:rsidRDefault="00053702" w:rsidP="00086965">
      <w:pPr>
        <w:pStyle w:val="SCVbullet1"/>
      </w:pPr>
      <w:r w:rsidRPr="00883AB8">
        <w:t>local verification of identity</w:t>
      </w:r>
    </w:p>
    <w:p w14:paraId="1EABBD5F" w14:textId="77777777" w:rsidR="00053702" w:rsidRPr="00883AB8" w:rsidRDefault="00053702" w:rsidP="00086965">
      <w:pPr>
        <w:pStyle w:val="SCVbullet1"/>
      </w:pPr>
      <w:r w:rsidRPr="00883AB8">
        <w:t xml:space="preserve">credentialing status </w:t>
      </w:r>
    </w:p>
    <w:p w14:paraId="3D8CA799" w14:textId="77777777" w:rsidR="00053702" w:rsidRPr="00883AB8" w:rsidRDefault="00053702" w:rsidP="00086965">
      <w:pPr>
        <w:pStyle w:val="SCVbullet1"/>
      </w:pPr>
      <w:r w:rsidRPr="00883AB8">
        <w:t xml:space="preserve">clearly defined limits of scope. </w:t>
      </w:r>
    </w:p>
    <w:p w14:paraId="58067A5D" w14:textId="77777777" w:rsidR="00053702" w:rsidRPr="00883AB8" w:rsidRDefault="00053702" w:rsidP="00053702">
      <w:pPr>
        <w:pStyle w:val="SCVbody"/>
      </w:pPr>
      <w:r w:rsidRPr="00883AB8">
        <w:t>Trainee participation should occur under the supervision and responsibility of an appropriately credentialed practitioner and within a clearly defined, supervised scope of activity.</w:t>
      </w:r>
    </w:p>
    <w:p w14:paraId="0B911D34" w14:textId="77777777" w:rsidR="00053702" w:rsidRPr="00883AB8" w:rsidRDefault="00053702" w:rsidP="00053702">
      <w:pPr>
        <w:pStyle w:val="SCVbody"/>
      </w:pPr>
      <w:r w:rsidRPr="00883AB8">
        <w:t>Health services must have documented and structured clinical handover systems with a clear chain of responsibility throughout the transfer, as well as formal handover procedures conducted at each transition point of the retrieval.</w:t>
      </w:r>
    </w:p>
    <w:p w14:paraId="5919F814" w14:textId="77777777" w:rsidR="00053702" w:rsidRPr="00883AB8" w:rsidRDefault="00053702" w:rsidP="00053702">
      <w:pPr>
        <w:pStyle w:val="Heading3"/>
      </w:pPr>
      <w:bookmarkStart w:id="86" w:name="_Toc234231684"/>
      <w:bookmarkStart w:id="87" w:name="_Toc244012582"/>
      <w:r w:rsidRPr="00883AB8">
        <w:t>Digital health and virtual care</w:t>
      </w:r>
      <w:bookmarkEnd w:id="86"/>
      <w:bookmarkEnd w:id="87"/>
      <w:r w:rsidRPr="00883AB8">
        <w:t xml:space="preserve"> </w:t>
      </w:r>
    </w:p>
    <w:p w14:paraId="544F0D34" w14:textId="77777777" w:rsidR="00053702" w:rsidRPr="00883AB8" w:rsidRDefault="00053702" w:rsidP="00053702">
      <w:pPr>
        <w:pStyle w:val="SCVbody"/>
      </w:pPr>
      <w:r w:rsidRPr="00883AB8">
        <w:t xml:space="preserve">Digital or virtual health care is health care and related services delivered via information and communication technologies (ICT) rather than through face-to-face consultation. It is an overarching term encompassing: </w:t>
      </w:r>
    </w:p>
    <w:p w14:paraId="77BA59FB" w14:textId="77777777" w:rsidR="00053702" w:rsidRPr="00883AB8" w:rsidRDefault="00053702" w:rsidP="00086965">
      <w:pPr>
        <w:pStyle w:val="SCVbullet1"/>
      </w:pPr>
      <w:r w:rsidRPr="00883AB8">
        <w:t>telehealth (telephone and video-enabled)</w:t>
      </w:r>
    </w:p>
    <w:p w14:paraId="431AE712" w14:textId="77777777" w:rsidR="00053702" w:rsidRPr="00883AB8" w:rsidRDefault="00053702" w:rsidP="00086965">
      <w:pPr>
        <w:pStyle w:val="SCVbullet1"/>
      </w:pPr>
      <w:r w:rsidRPr="00883AB8">
        <w:t>tele-medicine</w:t>
      </w:r>
    </w:p>
    <w:p w14:paraId="7A1F8529" w14:textId="77777777" w:rsidR="00053702" w:rsidRPr="00883AB8" w:rsidRDefault="00053702" w:rsidP="00086965">
      <w:pPr>
        <w:pStyle w:val="SCVbullet1"/>
      </w:pPr>
      <w:r w:rsidRPr="00883AB8">
        <w:t>tele-education</w:t>
      </w:r>
    </w:p>
    <w:p w14:paraId="26447E1E" w14:textId="77777777" w:rsidR="00053702" w:rsidRPr="00883AB8" w:rsidRDefault="00053702" w:rsidP="00086965">
      <w:pPr>
        <w:pStyle w:val="SCVbullet1"/>
      </w:pPr>
      <w:r w:rsidRPr="00883AB8">
        <w:t>tele-therapy</w:t>
      </w:r>
    </w:p>
    <w:p w14:paraId="2CA70111" w14:textId="77777777" w:rsidR="00053702" w:rsidRPr="00883AB8" w:rsidRDefault="00053702" w:rsidP="00086965">
      <w:pPr>
        <w:pStyle w:val="SCVbullet1"/>
      </w:pPr>
      <w:r w:rsidRPr="00883AB8">
        <w:t>tele-monitoring</w:t>
      </w:r>
    </w:p>
    <w:p w14:paraId="1DE0BD8C" w14:textId="77777777" w:rsidR="00053702" w:rsidRPr="00883AB8" w:rsidRDefault="00053702" w:rsidP="00086965">
      <w:pPr>
        <w:pStyle w:val="SCVbullet1"/>
      </w:pPr>
      <w:r w:rsidRPr="00883AB8">
        <w:t>remote diagnostic radiology services</w:t>
      </w:r>
    </w:p>
    <w:p w14:paraId="51D46B91" w14:textId="77777777" w:rsidR="00053702" w:rsidRPr="00883AB8" w:rsidRDefault="00053702" w:rsidP="00086965">
      <w:pPr>
        <w:pStyle w:val="SCVbullet1"/>
      </w:pPr>
      <w:r w:rsidRPr="00883AB8">
        <w:t xml:space="preserve">remote emergency department services </w:t>
      </w:r>
    </w:p>
    <w:p w14:paraId="5D2F6CFF" w14:textId="77777777" w:rsidR="00053702" w:rsidRPr="00883AB8" w:rsidRDefault="00053702" w:rsidP="00086965">
      <w:pPr>
        <w:pStyle w:val="SCVbullet1"/>
      </w:pPr>
      <w:r w:rsidRPr="00883AB8">
        <w:t xml:space="preserve">remote monitoring. </w:t>
      </w:r>
    </w:p>
    <w:p w14:paraId="7F754BDF" w14:textId="77777777" w:rsidR="00053702" w:rsidRPr="00883AB8" w:rsidRDefault="00053702" w:rsidP="00053702">
      <w:pPr>
        <w:pStyle w:val="SCVbody"/>
      </w:pPr>
      <w:r w:rsidRPr="00883AB8">
        <w:lastRenderedPageBreak/>
        <w:t>While telehealth is not designed to replace face-to-face consultations, it can be used to enhance and simplify ongoing specialist services to patients whose access might be limited.</w:t>
      </w:r>
    </w:p>
    <w:p w14:paraId="51ECB707" w14:textId="77777777" w:rsidR="00053702" w:rsidRPr="00883AB8" w:rsidRDefault="00053702" w:rsidP="00053702">
      <w:pPr>
        <w:pStyle w:val="SCVbody"/>
      </w:pPr>
      <w:r w:rsidRPr="00883AB8">
        <w:t>It is important to note that telehealth is not a scope of clinical practice but a means for providing clinical services.</w:t>
      </w:r>
    </w:p>
    <w:p w14:paraId="01365BB1" w14:textId="77777777" w:rsidR="00053702" w:rsidRPr="00883AB8" w:rsidRDefault="00053702" w:rsidP="00053702">
      <w:pPr>
        <w:pStyle w:val="SCVbody"/>
      </w:pPr>
      <w:r w:rsidRPr="00883AB8">
        <w:t>All practitioners providing telehealth services must have scope of clinical practice from the health service where they are located when providing these services. It is the responsibility of the health service where the patient is located to verify the scope of clinical practice in the practitioner’s home service</w:t>
      </w:r>
      <w:r w:rsidRPr="00883AB8" w:rsidDel="00EF14F3">
        <w:t xml:space="preserve"> and be satisfied </w:t>
      </w:r>
      <w:r w:rsidRPr="00883AB8">
        <w:t>this is</w:t>
      </w:r>
      <w:r w:rsidRPr="00883AB8" w:rsidDel="00EF14F3">
        <w:t xml:space="preserve"> appropriate for the </w:t>
      </w:r>
      <w:r w:rsidRPr="00883AB8">
        <w:t>care being</w:t>
      </w:r>
      <w:r w:rsidRPr="00883AB8" w:rsidDel="00EF14F3">
        <w:t xml:space="preserve"> provided</w:t>
      </w:r>
      <w:r w:rsidRPr="00883AB8">
        <w:t>.</w:t>
      </w:r>
    </w:p>
    <w:p w14:paraId="1D68481B" w14:textId="77777777" w:rsidR="00053702" w:rsidRPr="00883AB8" w:rsidDel="00422557" w:rsidRDefault="00053702" w:rsidP="00053702">
      <w:pPr>
        <w:pStyle w:val="SCVbody"/>
      </w:pPr>
      <w:r w:rsidRPr="00883AB8" w:rsidDel="00422557">
        <w:t>Ad hoc and spontaneous phone/video/teleconferencing communication between practitioners for obtaining an opinion/advice does not require a defined scope of clinical practice. In these instances, patient contact with any individual practitioner would not be considered foreseeable.</w:t>
      </w:r>
    </w:p>
    <w:p w14:paraId="44A2ED21" w14:textId="77777777" w:rsidR="00053702" w:rsidRPr="00883AB8" w:rsidRDefault="00053702" w:rsidP="00053702">
      <w:pPr>
        <w:pStyle w:val="Heading2"/>
      </w:pPr>
      <w:bookmarkStart w:id="88" w:name="_Toc234231685"/>
      <w:bookmarkStart w:id="89" w:name="_Toc244005624"/>
      <w:bookmarkStart w:id="90" w:name="_Toc244012583"/>
      <w:r w:rsidRPr="00883AB8">
        <w:t>Credentialing and scope of clinical practice in specific roles</w:t>
      </w:r>
      <w:bookmarkEnd w:id="88"/>
      <w:bookmarkEnd w:id="89"/>
      <w:bookmarkEnd w:id="90"/>
    </w:p>
    <w:p w14:paraId="396FEE9B" w14:textId="77777777" w:rsidR="00053702" w:rsidRPr="00883AB8" w:rsidRDefault="00053702" w:rsidP="00053702">
      <w:pPr>
        <w:pStyle w:val="SCVbody"/>
        <w:rPr>
          <w:b/>
          <w:bCs/>
          <w:iCs/>
        </w:rPr>
      </w:pPr>
      <w:bookmarkStart w:id="91" w:name="_Toc234231686"/>
      <w:bookmarkStart w:id="92" w:name="_Toc244012584"/>
      <w:r w:rsidRPr="00883AB8">
        <w:rPr>
          <w:rStyle w:val="Heading3Char"/>
        </w:rPr>
        <w:t>Clinical trials and research</w:t>
      </w:r>
      <w:bookmarkEnd w:id="91"/>
      <w:bookmarkEnd w:id="92"/>
      <w:r w:rsidRPr="00883AB8">
        <w:rPr>
          <w:b/>
          <w:bCs/>
          <w:iCs/>
        </w:rPr>
        <w:t xml:space="preserve"> </w:t>
      </w:r>
    </w:p>
    <w:p w14:paraId="162189C7" w14:textId="77777777" w:rsidR="00053702" w:rsidRPr="00883AB8" w:rsidRDefault="00053702" w:rsidP="00053702">
      <w:pPr>
        <w:pStyle w:val="SCVbody"/>
        <w:rPr>
          <w:b/>
        </w:rPr>
      </w:pPr>
      <w:r w:rsidRPr="00883AB8">
        <w:t xml:space="preserve">Health services conducting clinical trials must implement </w:t>
      </w:r>
      <w:r w:rsidRPr="00883AB8" w:rsidDel="008C6E16">
        <w:t xml:space="preserve">and resource </w:t>
      </w:r>
      <w:r w:rsidRPr="00883AB8">
        <w:t xml:space="preserve">systems to ensure practitioners involved in research have the appropriate credentials and scope of clinical practice for the research being undertaken </w:t>
      </w:r>
      <w:r w:rsidRPr="00883AB8" w:rsidDel="005D3BD0">
        <w:t xml:space="preserve">and </w:t>
      </w:r>
      <w:r w:rsidRPr="00883AB8">
        <w:t xml:space="preserve">are aligned with </w:t>
      </w:r>
      <w:r w:rsidRPr="00883AB8" w:rsidDel="005D3BD0">
        <w:t xml:space="preserve">the accepted </w:t>
      </w:r>
      <w:r w:rsidRPr="00883AB8">
        <w:t>universal standards and</w:t>
      </w:r>
      <w:r w:rsidRPr="00883AB8" w:rsidDel="005D3BD0">
        <w:t xml:space="preserve"> </w:t>
      </w:r>
      <w:r w:rsidRPr="00883AB8">
        <w:t xml:space="preserve">applicable local requirements. </w:t>
      </w:r>
    </w:p>
    <w:p w14:paraId="1FAF4620" w14:textId="77777777" w:rsidR="00053702" w:rsidRPr="00883AB8" w:rsidRDefault="00053702" w:rsidP="00053702">
      <w:pPr>
        <w:pStyle w:val="Heading3"/>
      </w:pPr>
      <w:bookmarkStart w:id="93" w:name="_Toc234231687"/>
      <w:bookmarkStart w:id="94" w:name="_Toc244012585"/>
      <w:r w:rsidRPr="00883AB8">
        <w:t>Public sector residential aged care services</w:t>
      </w:r>
      <w:bookmarkEnd w:id="93"/>
      <w:bookmarkEnd w:id="94"/>
    </w:p>
    <w:p w14:paraId="22220142" w14:textId="77777777" w:rsidR="00053702" w:rsidRPr="00883AB8" w:rsidRDefault="00053702" w:rsidP="00053702">
      <w:pPr>
        <w:pStyle w:val="SCVbody"/>
      </w:pPr>
      <w:r w:rsidRPr="00883AB8">
        <w:t>For a public sector residential aged care service (PSRACS) governed by a health service, the health service’s credentialing and scope of practice process should extend to practitioners providing care</w:t>
      </w:r>
      <w:r w:rsidRPr="00883AB8" w:rsidDel="00D60E6A">
        <w:t xml:space="preserve"> in any associated PSRACS</w:t>
      </w:r>
      <w:r w:rsidRPr="00883AB8">
        <w:t xml:space="preserve">. </w:t>
      </w:r>
    </w:p>
    <w:p w14:paraId="0D970D55" w14:textId="77777777" w:rsidR="00053702" w:rsidRPr="00883AB8" w:rsidRDefault="00053702" w:rsidP="00053702">
      <w:pPr>
        <w:pStyle w:val="SCVbody"/>
      </w:pPr>
      <w:r w:rsidRPr="00883AB8">
        <w:t>Where practitioners do not also provide medical care in an associated health service</w:t>
      </w:r>
      <w:r w:rsidRPr="00883AB8">
        <w:rPr>
          <w:i/>
          <w:iCs/>
        </w:rPr>
        <w:t xml:space="preserve">, </w:t>
      </w:r>
      <w:r w:rsidRPr="00883AB8">
        <w:t>a modified process subject to a recommended minimum standard for credentialing and defining scope of clinical practice applies:</w:t>
      </w:r>
    </w:p>
    <w:p w14:paraId="76E72CE0" w14:textId="77777777" w:rsidR="00053702" w:rsidRPr="00883AB8" w:rsidRDefault="00053702" w:rsidP="00086965">
      <w:pPr>
        <w:pStyle w:val="SCVbullet1"/>
      </w:pPr>
      <w:r w:rsidRPr="00883AB8">
        <w:t>verification of medical or dental registration on Ahpra</w:t>
      </w:r>
    </w:p>
    <w:p w14:paraId="1DB173A8" w14:textId="77777777" w:rsidR="00053702" w:rsidRPr="00883AB8" w:rsidRDefault="00053702" w:rsidP="00086965">
      <w:pPr>
        <w:pStyle w:val="SCVbullet1"/>
      </w:pPr>
      <w:r w:rsidRPr="00883AB8">
        <w:t xml:space="preserve">verification of professional indemnity cover </w:t>
      </w:r>
    </w:p>
    <w:p w14:paraId="3BAEA542" w14:textId="77777777" w:rsidR="00053702" w:rsidRPr="00883AB8" w:rsidRDefault="00053702" w:rsidP="00086965">
      <w:pPr>
        <w:pStyle w:val="SCVbullet1"/>
      </w:pPr>
      <w:r w:rsidRPr="00883AB8">
        <w:t>verification of identity by facility staff (including photo identification if the practitioner is not known to the facility)</w:t>
      </w:r>
    </w:p>
    <w:p w14:paraId="3606BBC7" w14:textId="77777777" w:rsidR="00053702" w:rsidRPr="00883AB8" w:rsidRDefault="00053702" w:rsidP="00086965">
      <w:pPr>
        <w:pStyle w:val="SCVbullet1"/>
      </w:pPr>
      <w:r w:rsidRPr="00883AB8">
        <w:t>current police check if the applicant will be providing direct patient care in a PSRACS</w:t>
      </w:r>
    </w:p>
    <w:p w14:paraId="3B5EA33A" w14:textId="77777777" w:rsidR="00053702" w:rsidRPr="00883AB8" w:rsidRDefault="00053702" w:rsidP="00086965">
      <w:pPr>
        <w:pStyle w:val="SCVbullet1"/>
      </w:pPr>
      <w:r w:rsidRPr="00883AB8">
        <w:t>health status (including evidence of adherence to the Communicable Diseases Network Australia national guidelines), as applicable.</w:t>
      </w:r>
    </w:p>
    <w:p w14:paraId="38A8AB0F" w14:textId="77777777" w:rsidR="00053702" w:rsidRPr="00883AB8" w:rsidRDefault="00053702" w:rsidP="00053702">
      <w:pPr>
        <w:pStyle w:val="SCVbody"/>
      </w:pPr>
      <w:r w:rsidRPr="00883AB8">
        <w:t>For PSRACS operated by a state-funded incorporated association, practitioners (including private general practitioners) must adhere to a ‘minimum standard’ of credentialing and scope of practice as noted above.</w:t>
      </w:r>
    </w:p>
    <w:p w14:paraId="39B720C3" w14:textId="77777777" w:rsidR="00053702" w:rsidRPr="00883AB8" w:rsidRDefault="00053702" w:rsidP="00053702">
      <w:pPr>
        <w:pStyle w:val="Heading2"/>
      </w:pPr>
      <w:bookmarkStart w:id="95" w:name="_Toc234231688"/>
      <w:bookmarkStart w:id="96" w:name="_Toc244005625"/>
      <w:bookmarkStart w:id="97" w:name="_Toc244012586"/>
      <w:r w:rsidRPr="00883AB8">
        <w:lastRenderedPageBreak/>
        <w:t>Credentialing and scope of clinical practice in specific contexts</w:t>
      </w:r>
      <w:bookmarkEnd w:id="95"/>
      <w:bookmarkEnd w:id="96"/>
      <w:bookmarkEnd w:id="97"/>
      <w:r w:rsidRPr="00883AB8">
        <w:t xml:space="preserve"> </w:t>
      </w:r>
    </w:p>
    <w:p w14:paraId="4170A92A" w14:textId="77777777" w:rsidR="00053702" w:rsidRPr="00883AB8" w:rsidRDefault="00053702" w:rsidP="00053702">
      <w:pPr>
        <w:pStyle w:val="Heading3"/>
      </w:pPr>
      <w:bookmarkStart w:id="98" w:name="_Toc234231689"/>
      <w:bookmarkStart w:id="99" w:name="_Toc244012587"/>
      <w:r w:rsidRPr="00883AB8">
        <w:t>Emergency clinical situations</w:t>
      </w:r>
      <w:bookmarkEnd w:id="98"/>
      <w:bookmarkEnd w:id="99"/>
      <w:r w:rsidRPr="00883AB8">
        <w:t xml:space="preserve"> </w:t>
      </w:r>
    </w:p>
    <w:p w14:paraId="1A167F4F" w14:textId="77777777" w:rsidR="00053702" w:rsidRPr="00883AB8" w:rsidRDefault="00053702" w:rsidP="00053702">
      <w:pPr>
        <w:pStyle w:val="SCVbody"/>
      </w:pPr>
      <w:r w:rsidRPr="00883AB8">
        <w:t xml:space="preserve">The policies and processes of health services for credentialing and scope of clinical practice should include provisions for currently credentialed practitioners to administer necessary treatment outside their authorised scope of clinical practice in emergency situations. These provisions apply only where the interests of a patient are best served. </w:t>
      </w:r>
    </w:p>
    <w:p w14:paraId="6C1EC560" w14:textId="77777777" w:rsidR="00053702" w:rsidRPr="00883AB8" w:rsidRDefault="00053702" w:rsidP="00053702">
      <w:pPr>
        <w:pStyle w:val="SCVbody"/>
      </w:pPr>
      <w:r w:rsidRPr="00883AB8">
        <w:t xml:space="preserve">This may be where a patient could be at risk of serious harm if: </w:t>
      </w:r>
    </w:p>
    <w:p w14:paraId="7386DF3F" w14:textId="77777777" w:rsidR="00053702" w:rsidRPr="00883AB8" w:rsidRDefault="00053702" w:rsidP="00086965">
      <w:pPr>
        <w:pStyle w:val="SCVbullet1"/>
      </w:pPr>
      <w:r w:rsidRPr="00883AB8">
        <w:t>treatment is not provided and no practitioner with an appropriate authorised scope of clinical practice is available</w:t>
      </w:r>
    </w:p>
    <w:p w14:paraId="182F58F8" w14:textId="77777777" w:rsidR="00053702" w:rsidRPr="00883AB8" w:rsidRDefault="00053702" w:rsidP="00086965">
      <w:pPr>
        <w:pStyle w:val="SCVbullet1"/>
      </w:pPr>
      <w:r w:rsidRPr="00883AB8" w:rsidDel="00556137">
        <w:t xml:space="preserve">where more appropriate options for </w:t>
      </w:r>
      <w:r w:rsidRPr="00883AB8">
        <w:t xml:space="preserve">alternative treatment or timely transfer </w:t>
      </w:r>
      <w:r w:rsidRPr="00883AB8" w:rsidDel="00556137">
        <w:t>are not available</w:t>
      </w:r>
      <w:r w:rsidRPr="00883AB8">
        <w:t xml:space="preserve">. </w:t>
      </w:r>
    </w:p>
    <w:p w14:paraId="6B74D6EA" w14:textId="77777777" w:rsidR="00053702" w:rsidRPr="00883AB8" w:rsidRDefault="00053702" w:rsidP="00053702">
      <w:pPr>
        <w:pStyle w:val="SCVbody"/>
      </w:pPr>
      <w:r w:rsidRPr="00883AB8">
        <w:t xml:space="preserve">The credentialing committee should review all such cases at the next scheduled meeting or at an extraordinary meeting. The DMS should then table a formal report. </w:t>
      </w:r>
    </w:p>
    <w:p w14:paraId="7C65D161" w14:textId="77777777" w:rsidR="00053702" w:rsidRPr="00883AB8" w:rsidRDefault="00053702" w:rsidP="00053702">
      <w:pPr>
        <w:pStyle w:val="Heading3"/>
      </w:pPr>
      <w:bookmarkStart w:id="100" w:name="_Toc234231690"/>
      <w:bookmarkStart w:id="101" w:name="_Toc244012588"/>
      <w:r w:rsidRPr="00883AB8">
        <w:t>Urgent and temporary staffing situations</w:t>
      </w:r>
      <w:bookmarkEnd w:id="100"/>
      <w:bookmarkEnd w:id="101"/>
    </w:p>
    <w:p w14:paraId="691E7889" w14:textId="77777777" w:rsidR="00053702" w:rsidRPr="00883AB8" w:rsidRDefault="00053702" w:rsidP="00053702">
      <w:pPr>
        <w:pStyle w:val="SCVbody"/>
      </w:pPr>
      <w:r w:rsidRPr="00883AB8">
        <w:t>When health services urgently need practitioners to fulfill a temporary need, and if the relevant committee cannot be immediately convened, the health service board should delegate the responsibility for undertaking credentialing and defining the scope of clinical practice to the DMS. This delegation would be temporary, and the circumstances relating to this should be documented.</w:t>
      </w:r>
    </w:p>
    <w:p w14:paraId="51031B2D" w14:textId="77777777" w:rsidR="00053702" w:rsidRPr="00883AB8" w:rsidRDefault="00053702" w:rsidP="00053702">
      <w:pPr>
        <w:pStyle w:val="SCVbody"/>
      </w:pPr>
      <w:r w:rsidRPr="00883AB8">
        <w:t>Urgent and temporary staffing situations may occur at any time and can include local emergency events that affect the capacity of key staff to attend the health service and result in delays to care and services in the community. These events might include bushfires, floods or infectious disease outbreaks. Appointing locum practitioners also falls within this category.</w:t>
      </w:r>
    </w:p>
    <w:p w14:paraId="7F366D67" w14:textId="77777777" w:rsidR="00053702" w:rsidRPr="00883AB8" w:rsidRDefault="00053702" w:rsidP="00053702">
      <w:pPr>
        <w:pStyle w:val="SCVbody"/>
      </w:pPr>
      <w:r w:rsidRPr="00883AB8">
        <w:t>The credentialing committee should formalise any temporary credentialing and the scope of clinical practice decisions as soon as practicable. The committee should convene an extraordinary meeting if a regular meeting is not scheduled within the next month. This meeting should occur within one calendar month but may be extended to 3 months by exception.</w:t>
      </w:r>
    </w:p>
    <w:p w14:paraId="66100360" w14:textId="77777777" w:rsidR="00053702" w:rsidRPr="00883AB8" w:rsidRDefault="00053702" w:rsidP="00053702">
      <w:pPr>
        <w:pStyle w:val="Heading3"/>
      </w:pPr>
      <w:bookmarkStart w:id="102" w:name="_Toc234231691"/>
      <w:bookmarkStart w:id="103" w:name="_Toc244012589"/>
      <w:r w:rsidRPr="00883AB8">
        <w:t>Statewide emergencies</w:t>
      </w:r>
      <w:bookmarkEnd w:id="102"/>
      <w:bookmarkEnd w:id="103"/>
    </w:p>
    <w:p w14:paraId="0F5E5691" w14:textId="77777777" w:rsidR="00053702" w:rsidRPr="00883AB8" w:rsidRDefault="00053702" w:rsidP="00053702">
      <w:pPr>
        <w:pStyle w:val="SCVbody"/>
      </w:pPr>
      <w:r w:rsidRPr="00883AB8">
        <w:t xml:space="preserve">In the event of a state of emergency declared under s 198(1) of the </w:t>
      </w:r>
      <w:r w:rsidRPr="00883AB8">
        <w:rPr>
          <w:i/>
          <w:iCs/>
        </w:rPr>
        <w:t xml:space="preserve">Public Health and Wellbeing Act 2008 </w:t>
      </w:r>
      <w:r w:rsidRPr="00883AB8">
        <w:t xml:space="preserve">or a state of disaster declared under s 23(1) of the </w:t>
      </w:r>
      <w:r w:rsidRPr="00883AB8">
        <w:rPr>
          <w:i/>
          <w:iCs/>
        </w:rPr>
        <w:t>Emergency Management Act 2013</w:t>
      </w:r>
      <w:r w:rsidRPr="00883AB8">
        <w:t xml:space="preserve">, practitioners may need to move rapidly between health services. This necessitates that credentialing be automatic and immediate. Reciprocity of scope of practice should be health service–specific to align with the service’s functions and capability. Reciprocity should apply between private and public health services. </w:t>
      </w:r>
    </w:p>
    <w:p w14:paraId="312BA03D" w14:textId="77777777" w:rsidR="00053702" w:rsidRPr="00883AB8" w:rsidRDefault="00053702" w:rsidP="00053702">
      <w:pPr>
        <w:pStyle w:val="SCVbody"/>
      </w:pPr>
      <w:r w:rsidRPr="00883AB8">
        <w:t xml:space="preserve">Evidence of credentialing and scope of clinical practice should be provided via a letter from the employing health service confirming: </w:t>
      </w:r>
    </w:p>
    <w:p w14:paraId="71AF1A66" w14:textId="77777777" w:rsidR="00053702" w:rsidRPr="00883AB8" w:rsidRDefault="00053702" w:rsidP="00086965">
      <w:pPr>
        <w:pStyle w:val="SCVbullet1"/>
      </w:pPr>
      <w:r w:rsidRPr="00883AB8">
        <w:t>the practitioner’s</w:t>
      </w:r>
      <w:r w:rsidRPr="00883AB8" w:rsidDel="005A2CEC">
        <w:t xml:space="preserve"> </w:t>
      </w:r>
      <w:r w:rsidRPr="00883AB8">
        <w:t>credentialing status</w:t>
      </w:r>
    </w:p>
    <w:p w14:paraId="6594BDE1" w14:textId="77777777" w:rsidR="00053702" w:rsidRPr="00883AB8" w:rsidRDefault="00053702" w:rsidP="00086965">
      <w:pPr>
        <w:pStyle w:val="SCVbullet1"/>
      </w:pPr>
      <w:r w:rsidRPr="00883AB8">
        <w:lastRenderedPageBreak/>
        <w:t xml:space="preserve">the date of renewal </w:t>
      </w:r>
    </w:p>
    <w:p w14:paraId="16454046" w14:textId="77777777" w:rsidR="00053702" w:rsidRPr="00883AB8" w:rsidRDefault="00053702" w:rsidP="00086965">
      <w:pPr>
        <w:pStyle w:val="SCVbullet1"/>
      </w:pPr>
      <w:r w:rsidRPr="00883AB8">
        <w:t xml:space="preserve">absence of known restrictions/conditions on their registration. </w:t>
      </w:r>
    </w:p>
    <w:p w14:paraId="79BF879B" w14:textId="77777777" w:rsidR="00053702" w:rsidRPr="00883AB8" w:rsidRDefault="00053702" w:rsidP="00053702">
      <w:pPr>
        <w:pStyle w:val="SCVbody"/>
      </w:pPr>
      <w:r w:rsidRPr="00883AB8">
        <w:t xml:space="preserve">All credentialing renewals should be automatically deferred until after the emergency has passed. </w:t>
      </w:r>
    </w:p>
    <w:p w14:paraId="43C23EC4" w14:textId="77777777" w:rsidR="00053702" w:rsidRPr="00883AB8" w:rsidRDefault="00053702" w:rsidP="00053702">
      <w:pPr>
        <w:pStyle w:val="SCVbody"/>
      </w:pPr>
      <w:r w:rsidRPr="00883AB8">
        <w:t>Practitioners</w:t>
      </w:r>
      <w:r w:rsidRPr="00883AB8" w:rsidDel="0001373F">
        <w:t xml:space="preserve"> </w:t>
      </w:r>
      <w:r w:rsidRPr="00883AB8">
        <w:t xml:space="preserve">not currently credentialed by a Victorian health service (such as general practitioners and independent specialists) must provide proof of all relevant regulatory registrations and checks. This includes disclosing any restrictions/conditions on their medical registration. </w:t>
      </w:r>
    </w:p>
    <w:p w14:paraId="0DEECFFB" w14:textId="77777777" w:rsidR="00053702" w:rsidRDefault="00053702" w:rsidP="00053702">
      <w:pPr>
        <w:pStyle w:val="SCVbody"/>
      </w:pPr>
      <w:r w:rsidRPr="00883AB8">
        <w:t>The health service board should address statewide emergencies in their crisis management plans and ensure credentialing and scope of clinical practice issues are adequately tracked for</w:t>
      </w:r>
      <w:r w:rsidRPr="00883AB8" w:rsidDel="008916C7">
        <w:t xml:space="preserve"> any</w:t>
      </w:r>
      <w:r w:rsidRPr="00883AB8">
        <w:t xml:space="preserve"> necessary review/action once the declared emergency is over. </w:t>
      </w:r>
    </w:p>
    <w:p w14:paraId="2DE1F65A" w14:textId="19693300" w:rsidR="00EF0847" w:rsidRDefault="00EF0847" w:rsidP="00EF0847">
      <w:pPr>
        <w:pStyle w:val="Heading3"/>
      </w:pPr>
      <w:bookmarkStart w:id="104" w:name="_Toc244012590"/>
      <w:r>
        <w:t>Acknowledgements</w:t>
      </w:r>
      <w:bookmarkEnd w:id="104"/>
    </w:p>
    <w:p w14:paraId="1A8E91CC" w14:textId="6A890607" w:rsidR="00EF0847" w:rsidRPr="00EF0847" w:rsidRDefault="00EF0847" w:rsidP="00EF0847">
      <w:pPr>
        <w:pStyle w:val="SCVbody"/>
      </w:pPr>
      <w:r w:rsidRPr="00EF0847">
        <w:t>S</w:t>
      </w:r>
      <w:r w:rsidR="006F6FC0">
        <w:t>afer Care Victoria</w:t>
      </w:r>
      <w:r w:rsidRPr="00EF0847">
        <w:t xml:space="preserve"> is grateful to our many colleagues and partners across the sector who have so generously shared their time and expertise.</w:t>
      </w:r>
      <w:r w:rsidRPr="00EF0847">
        <w:rPr>
          <w:rFonts w:ascii="Cambria" w:hAnsi="Cambria" w:cs="Cambria"/>
        </w:rPr>
        <w:t> </w:t>
      </w:r>
    </w:p>
    <w:p w14:paraId="1DAD7D71" w14:textId="23A89FAA" w:rsidR="00053702" w:rsidRPr="00883AB8" w:rsidRDefault="00053702" w:rsidP="00053702">
      <w:pPr>
        <w:rPr>
          <w:rFonts w:asciiTheme="majorHAnsi" w:eastAsiaTheme="majorEastAsia" w:hAnsiTheme="majorHAnsi" w:cstheme="majorBidi"/>
          <w:b/>
          <w:bCs/>
          <w:color w:val="007586" w:themeColor="text2"/>
          <w:sz w:val="32"/>
          <w:szCs w:val="32"/>
        </w:rPr>
      </w:pPr>
      <w:r w:rsidRPr="00883AB8">
        <w:br w:type="page"/>
      </w:r>
    </w:p>
    <w:p w14:paraId="23B226CD" w14:textId="77777777" w:rsidR="00053702" w:rsidRPr="00883AB8" w:rsidRDefault="00053702" w:rsidP="00053702">
      <w:pPr>
        <w:pStyle w:val="Heading1"/>
      </w:pPr>
      <w:bookmarkStart w:id="105" w:name="_Toc234231692"/>
      <w:bookmarkStart w:id="106" w:name="_Toc244005626"/>
      <w:bookmarkStart w:id="107" w:name="_Toc244012591"/>
      <w:r w:rsidRPr="00883AB8">
        <w:lastRenderedPageBreak/>
        <w:t>Glossary</w:t>
      </w:r>
      <w:bookmarkEnd w:id="105"/>
      <w:bookmarkEnd w:id="106"/>
      <w:bookmarkEnd w:id="107"/>
    </w:p>
    <w:p w14:paraId="04875CA5" w14:textId="77777777" w:rsidR="00053702" w:rsidRPr="00883AB8" w:rsidRDefault="00053702" w:rsidP="00DE136B">
      <w:pPr>
        <w:pStyle w:val="SCVbody"/>
        <w:rPr>
          <w:b/>
          <w:bCs/>
        </w:rPr>
      </w:pPr>
      <w:r w:rsidRPr="00883AB8">
        <w:rPr>
          <w:b/>
          <w:bCs/>
        </w:rPr>
        <w:t xml:space="preserve">Australian Health Practitioner Regulation Agency (Ahpra): </w:t>
      </w:r>
      <w:r w:rsidRPr="00883AB8">
        <w:t>a government agency that works with the national boards to regulate health practitioners in Australia.</w:t>
      </w:r>
    </w:p>
    <w:p w14:paraId="57F9D512" w14:textId="77777777" w:rsidR="00053702" w:rsidRPr="00883AB8" w:rsidRDefault="00053702" w:rsidP="00DE136B">
      <w:pPr>
        <w:pStyle w:val="SCVbody"/>
      </w:pPr>
      <w:r w:rsidRPr="00883AB8">
        <w:rPr>
          <w:b/>
          <w:bCs/>
        </w:rPr>
        <w:t>Credentialing:</w:t>
      </w:r>
      <w:r w:rsidRPr="00883AB8">
        <w:t xml:space="preserve"> the formal process of verifying and assessing the qualifications, experience, professional standing and other relevant professional attributes of health practitioners for the purpose of assessing their competence, performance and professional suitability to provide consistently safe</w:t>
      </w:r>
      <w:r w:rsidRPr="00883AB8">
        <w:rPr>
          <w:rStyle w:val="CommentReference"/>
        </w:rPr>
        <w:t xml:space="preserve"> </w:t>
      </w:r>
      <w:r w:rsidRPr="00883AB8">
        <w:t xml:space="preserve">care. </w:t>
      </w:r>
      <w:r w:rsidRPr="00883AB8">
        <w:rPr>
          <w:i/>
          <w:iCs/>
        </w:rPr>
        <w:t>Recredentialing</w:t>
      </w:r>
      <w:r w:rsidRPr="00883AB8">
        <w:t xml:space="preserve"> is a 3-yearly verification process of reviewing and assessing the professional standing, clinical practice and patient outcomes of a currently credentialed practitioner for the purposes of renewing their credentialing or changing their scope of practice within the health service. </w:t>
      </w:r>
    </w:p>
    <w:p w14:paraId="266FF70C" w14:textId="77777777" w:rsidR="00053702" w:rsidRPr="00883AB8" w:rsidRDefault="00053702" w:rsidP="00DE136B">
      <w:pPr>
        <w:pStyle w:val="SCVbody"/>
      </w:pPr>
      <w:r w:rsidRPr="00883AB8">
        <w:rPr>
          <w:b/>
          <w:bCs/>
        </w:rPr>
        <w:t>Credentialing committee</w:t>
      </w:r>
      <w:r w:rsidRPr="00883AB8">
        <w:t xml:space="preserve"> </w:t>
      </w:r>
      <w:r w:rsidRPr="00883AB8">
        <w:rPr>
          <w:b/>
          <w:bCs/>
        </w:rPr>
        <w:t>(or equivalent):</w:t>
      </w:r>
      <w:r w:rsidRPr="00883AB8">
        <w:t xml:space="preserve"> a formally constituted governance committee that collectively assesses and verifies practitioner applications, conducts referee checks and makes credentialing recommendations to the executive and health services board. It also assesses and recommends the scope of clinical practice for individual practitioners.</w:t>
      </w:r>
    </w:p>
    <w:p w14:paraId="3065433A" w14:textId="77777777" w:rsidR="00053702" w:rsidRPr="00883AB8" w:rsidRDefault="00053702" w:rsidP="00DE136B">
      <w:pPr>
        <w:pStyle w:val="SCVbody"/>
      </w:pPr>
      <w:r w:rsidRPr="00883AB8">
        <w:rPr>
          <w:b/>
          <w:bCs/>
        </w:rPr>
        <w:t>Delineating scope of clinical practice:</w:t>
      </w:r>
      <w:r w:rsidRPr="00883AB8">
        <w:t xml:space="preserve"> ensures the facilities in which specific types of care are provided have the systems and infrastructure needed for patient safety and that the care provided aligns with the requirements of the health service. The health service must have processes in place to understand the needs of the communities in which they provide care and services as well as being aware of the Department of Health’s designated level of service capability if applicable. </w:t>
      </w:r>
    </w:p>
    <w:p w14:paraId="37D0E6EE" w14:textId="77777777" w:rsidR="00053702" w:rsidRPr="00883AB8" w:rsidRDefault="00053702" w:rsidP="00DE136B">
      <w:pPr>
        <w:pStyle w:val="SCVbody"/>
        <w:rPr>
          <w:b/>
          <w:bCs/>
        </w:rPr>
      </w:pPr>
      <w:r w:rsidRPr="00883AB8">
        <w:rPr>
          <w:b/>
          <w:bCs/>
        </w:rPr>
        <w:t xml:space="preserve">Dental practitioner: </w:t>
      </w:r>
      <w:r w:rsidRPr="00883AB8">
        <w:t>a person registered to practise as a dentist with the Dental Board of Australia.</w:t>
      </w:r>
    </w:p>
    <w:p w14:paraId="643810A6" w14:textId="77777777" w:rsidR="00053702" w:rsidRPr="00883AB8" w:rsidRDefault="00053702" w:rsidP="00DE136B">
      <w:pPr>
        <w:pStyle w:val="SCVbody"/>
      </w:pPr>
      <w:r w:rsidRPr="00883AB8">
        <w:rPr>
          <w:b/>
          <w:bCs/>
        </w:rPr>
        <w:t>Director of medical services</w:t>
      </w:r>
      <w:r w:rsidRPr="00883AB8">
        <w:t xml:space="preserve"> </w:t>
      </w:r>
      <w:r w:rsidRPr="00883AB8">
        <w:rPr>
          <w:b/>
          <w:bCs/>
        </w:rPr>
        <w:t>(or appropriately authorised medical leader) (DMS):</w:t>
      </w:r>
      <w:r w:rsidRPr="00883AB8">
        <w:t xml:space="preserve"> plans, organises, directs, controls and coordinates medical programs and clinical services in a hospital or other health service facility. The DMS approves the recommendations made by the credentialing committee regarding credentialing and scope of clinical practice for the practitioners in their health service. The DMS maintains standards of medical care, provides leadership to ensure an appropriately skilled medical workforce and contributes to health service planning.</w:t>
      </w:r>
    </w:p>
    <w:p w14:paraId="55E3A87D" w14:textId="77777777" w:rsidR="00053702" w:rsidRPr="00883AB8" w:rsidRDefault="00053702" w:rsidP="00DE136B">
      <w:pPr>
        <w:pStyle w:val="SCVbody"/>
      </w:pPr>
      <w:r w:rsidRPr="00883AB8">
        <w:rPr>
          <w:b/>
          <w:bCs/>
        </w:rPr>
        <w:t>Health service board (or highest level of governance):</w:t>
      </w:r>
      <w:r w:rsidRPr="00883AB8">
        <w:t xml:space="preserve"> governs the health service, develops strategies, oversees credentialing processes and service performance and meets the required regulatory and government policy requirements and standards.</w:t>
      </w:r>
    </w:p>
    <w:p w14:paraId="19C3AABD" w14:textId="77777777" w:rsidR="00053702" w:rsidRPr="00883AB8" w:rsidRDefault="00053702" w:rsidP="00DE136B">
      <w:pPr>
        <w:pStyle w:val="SCVbody"/>
      </w:pPr>
      <w:r w:rsidRPr="00883AB8">
        <w:rPr>
          <w:b/>
          <w:bCs/>
        </w:rPr>
        <w:t>Shared care:</w:t>
      </w:r>
      <w:r w:rsidRPr="00883AB8">
        <w:t xml:space="preserve"> supports the coordinated escalation, transfer and subsequent step-down care arrangements across all health services within a Local Health Service Network. Care can be provided or support patients in accessing care at the right time, in the right place and at the most appropriate level of clinical complexity to optimise high-quality care.</w:t>
      </w:r>
    </w:p>
    <w:p w14:paraId="0279DAA6" w14:textId="77777777" w:rsidR="00053702" w:rsidRPr="00883AB8" w:rsidRDefault="00053702" w:rsidP="00DE136B">
      <w:pPr>
        <w:pStyle w:val="SCVbody"/>
      </w:pPr>
      <w:r w:rsidRPr="00883AB8">
        <w:rPr>
          <w:b/>
          <w:bCs/>
        </w:rPr>
        <w:t>Local Health Service Network (LHSN):</w:t>
      </w:r>
      <w:r w:rsidRPr="00883AB8">
        <w:t xml:space="preserve"> groups health services within a geographical region. Each network is responsible for delivering care as close to home as possible through stronger referral pathways that enable specialties to share expertise across a region. Networks are supported by a formal relationship with a major </w:t>
      </w:r>
      <w:r w:rsidRPr="00883AB8">
        <w:lastRenderedPageBreak/>
        <w:t xml:space="preserve">tertiary, a women’s and a children’s hospital so patients can more easily and quickly access specialist care when needed. </w:t>
      </w:r>
    </w:p>
    <w:p w14:paraId="17C5B872" w14:textId="77777777" w:rsidR="00053702" w:rsidRPr="00883AB8" w:rsidRDefault="00053702" w:rsidP="00DE136B">
      <w:pPr>
        <w:pStyle w:val="SCVbody"/>
      </w:pPr>
      <w:r w:rsidRPr="00883AB8">
        <w:rPr>
          <w:b/>
          <w:bCs/>
        </w:rPr>
        <w:t>Medical practitioner:</w:t>
      </w:r>
      <w:r w:rsidRPr="00883AB8">
        <w:t xml:space="preserve"> a person registered under the Health Practitioner Regulation National Law to practise in the medical profession (other than as a student).</w:t>
      </w:r>
    </w:p>
    <w:p w14:paraId="1741B25A" w14:textId="77777777" w:rsidR="00053702" w:rsidRPr="00883AB8" w:rsidRDefault="00053702" w:rsidP="00DE136B">
      <w:pPr>
        <w:pStyle w:val="SCVbody"/>
      </w:pPr>
      <w:r w:rsidRPr="00883AB8">
        <w:rPr>
          <w:b/>
          <w:bCs/>
        </w:rPr>
        <w:t>Public sector residential aged care services:</w:t>
      </w:r>
      <w:r w:rsidRPr="00883AB8">
        <w:t xml:space="preserve"> services located across Victoria, mostly in rural and regional communities, for older people with more complex care needs, as well as specialist aged persons’ mental health residential services.</w:t>
      </w:r>
    </w:p>
    <w:p w14:paraId="4E63F55F" w14:textId="77777777" w:rsidR="00053702" w:rsidRPr="00883AB8" w:rsidRDefault="00053702" w:rsidP="00DE136B">
      <w:pPr>
        <w:pStyle w:val="SCVbody"/>
      </w:pPr>
      <w:r w:rsidRPr="00883AB8">
        <w:rPr>
          <w:b/>
          <w:bCs/>
        </w:rPr>
        <w:t>Role delineation framework:</w:t>
      </w:r>
      <w:r w:rsidRPr="00883AB8">
        <w:t xml:space="preserve"> describes the roles and responsibilities of different health service sites within an LHSN. The common language used to describe the distinct roles and responsibilities of health service sites supports patients in accessing care at the right time, in the right place and at the most appropriate level of clinical complexity to optimise high-quality care outcomes. </w:t>
      </w:r>
    </w:p>
    <w:p w14:paraId="6BC90CB5" w14:textId="77777777" w:rsidR="00053702" w:rsidRPr="00883AB8" w:rsidRDefault="00053702" w:rsidP="00DE136B">
      <w:pPr>
        <w:pStyle w:val="SCVbody"/>
      </w:pPr>
      <w:r w:rsidRPr="00883AB8">
        <w:rPr>
          <w:b/>
          <w:bCs/>
        </w:rPr>
        <w:t>Scope of clinical practice:</w:t>
      </w:r>
      <w:r w:rsidRPr="00883AB8">
        <w:t xml:space="preserve"> establishes the extent and boundaries of practice an individual practitioner has in a specific health service. The scope of clinical practice is based on:</w:t>
      </w:r>
    </w:p>
    <w:p w14:paraId="1AF97BBC" w14:textId="77777777" w:rsidR="00053702" w:rsidRPr="00883AB8" w:rsidRDefault="00053702" w:rsidP="00DE136B">
      <w:pPr>
        <w:pStyle w:val="SCVbullet1"/>
      </w:pPr>
      <w:r w:rsidRPr="00883AB8">
        <w:t>a core scope of clinical practice that relates to competencies defined by a specialist medical college in a specialty or sub-specialty</w:t>
      </w:r>
    </w:p>
    <w:p w14:paraId="700C9810" w14:textId="77777777" w:rsidR="00053702" w:rsidRPr="00883AB8" w:rsidRDefault="00053702" w:rsidP="00DE136B">
      <w:pPr>
        <w:pStyle w:val="SCVbullet1"/>
      </w:pPr>
      <w:r w:rsidRPr="00883AB8">
        <w:t>an extended scope of clinical practice that relates to requirements for extra training and experience for specific procedures not normally included in the college training program</w:t>
      </w:r>
    </w:p>
    <w:p w14:paraId="2E328391" w14:textId="77777777" w:rsidR="00053702" w:rsidRPr="00883AB8" w:rsidRDefault="00053702" w:rsidP="00DE136B">
      <w:pPr>
        <w:pStyle w:val="SCVbullet1"/>
      </w:pPr>
      <w:r w:rsidRPr="00883AB8">
        <w:t>the practitioner’s experience, professional performance</w:t>
      </w:r>
      <w:r w:rsidRPr="00883AB8">
        <w:rPr>
          <w:rFonts w:ascii="Cambria" w:hAnsi="Cambria" w:cs="Cambria"/>
        </w:rPr>
        <w:t> </w:t>
      </w:r>
      <w:r w:rsidRPr="00883AB8">
        <w:t>and recency of practice</w:t>
      </w:r>
    </w:p>
    <w:p w14:paraId="62EE1EED" w14:textId="77777777" w:rsidR="00053702" w:rsidRPr="00883AB8" w:rsidRDefault="00053702" w:rsidP="00DE136B">
      <w:pPr>
        <w:pStyle w:val="SCVbullet1"/>
      </w:pPr>
      <w:r w:rsidRPr="00883AB8">
        <w:t>the health service capability of the facility that the practitioner will be working in</w:t>
      </w:r>
    </w:p>
    <w:p w14:paraId="64254E5A" w14:textId="77777777" w:rsidR="00053702" w:rsidRPr="00883AB8" w:rsidRDefault="00053702" w:rsidP="00DE136B">
      <w:pPr>
        <w:pStyle w:val="SCVbullet1"/>
      </w:pPr>
      <w:r w:rsidRPr="00883AB8">
        <w:t xml:space="preserve">the capacity to provide safe and appropriate care for the proposed scope within the specific facilities or settings where the practitioner will be working. </w:t>
      </w:r>
    </w:p>
    <w:p w14:paraId="063BADE3" w14:textId="77777777" w:rsidR="00053702" w:rsidRPr="00883AB8" w:rsidRDefault="00053702" w:rsidP="00053702">
      <w:pPr>
        <w:pStyle w:val="SCVbody"/>
      </w:pPr>
      <w:r w:rsidRPr="00883AB8">
        <w:rPr>
          <w:b/>
          <w:bCs/>
        </w:rPr>
        <w:t>Service capability framework:</w:t>
      </w:r>
      <w:r w:rsidRPr="00883AB8">
        <w:t xml:space="preserve"> a set of guidelines, developed by the Department of Health, that define the minimum requirements and standards for each campus of a healthcare service. The service capability framework: </w:t>
      </w:r>
    </w:p>
    <w:p w14:paraId="3A8A931D" w14:textId="77777777" w:rsidR="00053702" w:rsidRPr="00883AB8" w:rsidRDefault="00053702" w:rsidP="00DE136B">
      <w:pPr>
        <w:pStyle w:val="SCVbullet1"/>
      </w:pPr>
      <w:r w:rsidRPr="00883AB8">
        <w:t>describes what needs to be in place to support the complexity of care health services provide</w:t>
      </w:r>
    </w:p>
    <w:p w14:paraId="713A9B78" w14:textId="77777777" w:rsidR="00053702" w:rsidRPr="00883AB8" w:rsidRDefault="00053702" w:rsidP="00DE136B">
      <w:pPr>
        <w:pStyle w:val="SCVbullet1"/>
      </w:pPr>
      <w:r w:rsidRPr="00883AB8">
        <w:t xml:space="preserve">classifies the scope of clinical services and complexity that can be safely managed by health services against 6 levels. </w:t>
      </w:r>
    </w:p>
    <w:p w14:paraId="706B45EC" w14:textId="77777777" w:rsidR="00053702" w:rsidRPr="00883AB8" w:rsidRDefault="00053702" w:rsidP="00053702">
      <w:pPr>
        <w:pStyle w:val="SCVbody"/>
      </w:pPr>
      <w:r w:rsidRPr="00883AB8">
        <w:rPr>
          <w:b/>
          <w:bCs/>
        </w:rPr>
        <w:t xml:space="preserve">Victorian Clinical Governance Framework: </w:t>
      </w:r>
      <w:r w:rsidRPr="00883AB8">
        <w:t>helps providers understand the clinical governance roles and responsibilities within their organisation, evaluate their clinical governance systems and processes and ensure individual and collective accountability for high-quality care.</w:t>
      </w:r>
    </w:p>
    <w:p w14:paraId="04A069B4" w14:textId="77777777" w:rsidR="00515958" w:rsidRPr="00883AB8" w:rsidRDefault="00515958" w:rsidP="00A45CB0">
      <w:pPr>
        <w:pStyle w:val="SCVbody"/>
      </w:pPr>
    </w:p>
    <w:p w14:paraId="41CDCDC2" w14:textId="77777777" w:rsidR="003719AF" w:rsidRPr="00883AB8" w:rsidRDefault="003719AF" w:rsidP="00A45CB0">
      <w:pPr>
        <w:pStyle w:val="SCVbody"/>
      </w:pPr>
    </w:p>
    <w:p w14:paraId="1F2B3B75" w14:textId="77777777" w:rsidR="003719AF" w:rsidRPr="00883AB8" w:rsidRDefault="003719AF" w:rsidP="00A45CB0">
      <w:pPr>
        <w:pStyle w:val="SCVbody"/>
      </w:pPr>
    </w:p>
    <w:p w14:paraId="7CB099F0" w14:textId="77777777" w:rsidR="003719AF" w:rsidRPr="00883AB8" w:rsidRDefault="003719AF" w:rsidP="00A45CB0">
      <w:pPr>
        <w:pStyle w:val="SCVbody"/>
      </w:pPr>
    </w:p>
    <w:p w14:paraId="1903CAE7" w14:textId="77777777" w:rsidR="005C12A8" w:rsidRPr="00883AB8" w:rsidRDefault="005C12A8" w:rsidP="00A45CB0">
      <w:pPr>
        <w:pStyle w:val="SCVbody"/>
        <w:sectPr w:rsidR="005C12A8" w:rsidRPr="00883AB8" w:rsidSect="00CD4FAF">
          <w:headerReference w:type="even" r:id="rId33"/>
          <w:headerReference w:type="default" r:id="rId34"/>
          <w:pgSz w:w="11906" w:h="16838" w:code="9"/>
          <w:pgMar w:top="3402" w:right="851" w:bottom="1361" w:left="851" w:header="851" w:footer="851" w:gutter="0"/>
          <w:cols w:space="284"/>
          <w:docGrid w:linePitch="360"/>
        </w:sectPr>
      </w:pPr>
    </w:p>
    <w:p w14:paraId="418BAF59" w14:textId="77777777" w:rsidR="00E22A20" w:rsidRPr="0059267A" w:rsidRDefault="00E22A20" w:rsidP="00A45CB0">
      <w:pPr>
        <w:pStyle w:val="SCVbody"/>
      </w:pPr>
    </w:p>
    <w:sectPr w:rsidR="00E22A20" w:rsidRPr="0059267A" w:rsidSect="00CD4FAF">
      <w:headerReference w:type="even" r:id="rId35"/>
      <w:headerReference w:type="default" r:id="rId36"/>
      <w:footerReference w:type="even" r:id="rId37"/>
      <w:footerReference w:type="default" r:id="rId38"/>
      <w:pgSz w:w="11906" w:h="16838" w:code="9"/>
      <w:pgMar w:top="3402" w:right="851" w:bottom="1361" w:left="851" w:header="851" w:footer="85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42438" w14:textId="77777777" w:rsidR="00DD39FD" w:rsidRPr="00883AB8" w:rsidRDefault="00DD39FD" w:rsidP="002D711A">
      <w:pPr>
        <w:spacing w:after="0" w:line="240" w:lineRule="auto"/>
      </w:pPr>
      <w:r w:rsidRPr="00883AB8">
        <w:separator/>
      </w:r>
    </w:p>
  </w:endnote>
  <w:endnote w:type="continuationSeparator" w:id="0">
    <w:p w14:paraId="1564B00F" w14:textId="77777777" w:rsidR="00DD39FD" w:rsidRPr="00883AB8" w:rsidRDefault="00DD39FD" w:rsidP="002D711A">
      <w:pPr>
        <w:spacing w:after="0" w:line="240" w:lineRule="auto"/>
      </w:pPr>
      <w:r w:rsidRPr="00883A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4D"/>
    <w:family w:val="decorative"/>
    <w:pitch w:val="variable"/>
    <w:sig w:usb0="00000003" w:usb1="00000000" w:usb2="00000000" w:usb3="00000000" w:csb0="80000001" w:csb1="00000000"/>
  </w:font>
  <w:font w:name="Arial Black">
    <w:panose1 w:val="020B0A04020102020204"/>
    <w:charset w:val="00"/>
    <w:family w:val="swiss"/>
    <w:pitch w:val="variable"/>
    <w:sig w:usb0="A00002AF" w:usb1="400078FB" w:usb2="00000000" w:usb3="00000000" w:csb0="0000009F" w:csb1="00000000"/>
  </w:font>
  <w:font w:name="VIC">
    <w:panose1 w:val="00000500000000000000"/>
    <w:charset w:val="4D"/>
    <w:family w:val="auto"/>
    <w:notTrueType/>
    <w:pitch w:val="variable"/>
    <w:sig w:usb0="00000007" w:usb1="00000000" w:usb2="00000000" w:usb3="00000000" w:csb0="00000093" w:csb1="00000000"/>
  </w:font>
  <w:font w:name="VIC SemiBold">
    <w:panose1 w:val="00000700000000000000"/>
    <w:charset w:val="4D"/>
    <w:family w:val="auto"/>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5D7DA" w14:textId="77777777" w:rsidR="00C50A2B" w:rsidRPr="00883AB8" w:rsidRDefault="00486A13">
    <w:pPr>
      <w:pStyle w:val="Footer"/>
      <w:rPr>
        <w:noProof w:val="0"/>
      </w:rPr>
    </w:pPr>
    <w:r w:rsidRPr="00883AB8">
      <mc:AlternateContent>
        <mc:Choice Requires="wps">
          <w:drawing>
            <wp:anchor distT="0" distB="0" distL="114300" distR="114300" simplePos="0" relativeHeight="251651072" behindDoc="0" locked="0" layoutInCell="0" allowOverlap="1" wp14:anchorId="0AAE5A69" wp14:editId="66D5A682">
              <wp:simplePos x="0" y="0"/>
              <wp:positionH relativeFrom="page">
                <wp:posOffset>0</wp:posOffset>
              </wp:positionH>
              <wp:positionV relativeFrom="page">
                <wp:posOffset>10189687</wp:posOffset>
              </wp:positionV>
              <wp:extent cx="7560310" cy="311785"/>
              <wp:effectExtent l="0" t="0" r="0" b="12065"/>
              <wp:wrapNone/>
              <wp:docPr id="8" name="MSIPCMc31b4823bf000b6fc76a3dbe" descr="{&quot;HashCode&quot;:904758361,&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3C45649" w14:textId="77777777" w:rsidR="00486A13" w:rsidRPr="00883AB8" w:rsidRDefault="00486A13" w:rsidP="00486A13">
                          <w:pPr>
                            <w:spacing w:before="0" w:after="0"/>
                            <w:jc w:val="center"/>
                            <w:rPr>
                              <w:rFonts w:ascii="Arial Black" w:hAnsi="Arial Black"/>
                              <w:color w:val="000000"/>
                            </w:rPr>
                          </w:pPr>
                          <w:r w:rsidRPr="00883AB8">
                            <w:rPr>
                              <w:rFonts w:ascii="Arial Black" w:hAnsi="Arial Black"/>
                              <w:color w:val="00000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AAE5A69" id="_x0000_t202" coordsize="21600,21600" o:spt="202" path="m,l,21600r21600,l21600,xe">
              <v:stroke joinstyle="miter"/>
              <v:path gradientshapeok="t" o:connecttype="rect"/>
            </v:shapetype>
            <v:shape id="MSIPCMc31b4823bf000b6fc76a3dbe" o:spid="_x0000_s1026" type="#_x0000_t202" alt="{&quot;HashCode&quot;:904758361,&quot;Height&quot;:841.0,&quot;Width&quot;:595.0,&quot;Placement&quot;:&quot;Footer&quot;,&quot;Index&quot;:&quot;OddAndEven&quot;,&quot;Section&quot;:1,&quot;Top&quot;:0.0,&quot;Left&quot;:0.0}" style="position:absolute;margin-left:0;margin-top:802.35pt;width:595.3pt;height:24.55pt;z-index:25165107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" o:allowincell="f" filled="f" stroked="f" strokeweight=".5pt">
              <v:textbox inset=",0,,0">
                <w:txbxContent>
                  <w:p w14:paraId="63C45649" w14:textId="77777777" w:rsidR="00486A13" w:rsidRPr="00883AB8" w:rsidRDefault="00486A13" w:rsidP="00486A13">
                    <w:pPr>
                      <w:spacing w:before="0" w:after="0"/>
                      <w:jc w:val="center"/>
                      <w:rPr>
                        <w:rFonts w:ascii="Arial Black" w:hAnsi="Arial Black"/>
                        <w:color w:val="000000"/>
                      </w:rPr>
                    </w:pPr>
                    <w:r w:rsidRPr="00883AB8">
                      <w:rPr>
                        <w:rFonts w:ascii="Arial Black" w:hAnsi="Arial Black"/>
                        <w:color w:val="00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9E15B" w14:textId="77777777" w:rsidR="00C50A2B" w:rsidRPr="00883AB8" w:rsidRDefault="00486A13" w:rsidP="006B337A">
    <w:pPr>
      <w:pStyle w:val="SCVheaderempty"/>
    </w:pPr>
    <w:r w:rsidRPr="00883AB8">
      <w:rPr>
        <w:noProof/>
      </w:rPr>
      <mc:AlternateContent>
        <mc:Choice Requires="wps">
          <w:drawing>
            <wp:anchor distT="0" distB="0" distL="114300" distR="114300" simplePos="0" relativeHeight="251650048" behindDoc="0" locked="0" layoutInCell="0" allowOverlap="1" wp14:anchorId="179B0BC1" wp14:editId="1FC99475">
              <wp:simplePos x="0" y="0"/>
              <wp:positionH relativeFrom="page">
                <wp:posOffset>0</wp:posOffset>
              </wp:positionH>
              <wp:positionV relativeFrom="page">
                <wp:posOffset>10189210</wp:posOffset>
              </wp:positionV>
              <wp:extent cx="7560310" cy="311785"/>
              <wp:effectExtent l="0" t="0" r="0" b="12065"/>
              <wp:wrapNone/>
              <wp:docPr id="2" name="MSIPCM4a6944bd8ac007f4a05317b3"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D9FC03F" w14:textId="77777777" w:rsidR="00486A13" w:rsidRPr="00883AB8" w:rsidRDefault="00486A13" w:rsidP="00486A13">
                          <w:pPr>
                            <w:spacing w:before="0" w:after="0"/>
                            <w:jc w:val="center"/>
                            <w:rPr>
                              <w:rFonts w:ascii="Arial Black" w:hAnsi="Arial Black"/>
                              <w:color w:val="000000"/>
                            </w:rPr>
                          </w:pPr>
                          <w:r w:rsidRPr="00883AB8">
                            <w:rPr>
                              <w:rFonts w:ascii="Arial Black" w:hAnsi="Arial Black"/>
                              <w:color w:val="00000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79B0BC1" id="_x0000_t202" coordsize="21600,21600" o:spt="202" path="m,l,21600r21600,l21600,xe">
              <v:stroke joinstyle="miter"/>
              <v:path gradientshapeok="t" o:connecttype="rect"/>
            </v:shapetype>
            <v:shape id="MSIPCM4a6944bd8ac007f4a05317b3" o:spid="_x0000_s1027" type="#_x0000_t202" alt="{&quot;HashCode&quot;:904758361,&quot;Height&quot;:841.0,&quot;Width&quot;:595.0,&quot;Placement&quot;:&quot;Footer&quot;,&quot;Index&quot;:&quot;Primary&quot;,&quot;Section&quot;:1,&quot;Top&quot;:0.0,&quot;Left&quot;:0.0}" style="position:absolute;margin-left:0;margin-top:802.3pt;width:595.3pt;height:24.55pt;z-index:25165004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" o:allowincell="f" filled="f" stroked="f" strokeweight=".5pt">
              <v:textbox inset=",0,,0">
                <w:txbxContent>
                  <w:p w14:paraId="6D9FC03F" w14:textId="77777777" w:rsidR="00486A13" w:rsidRPr="00883AB8" w:rsidRDefault="00486A13" w:rsidP="00486A13">
                    <w:pPr>
                      <w:spacing w:before="0" w:after="0"/>
                      <w:jc w:val="center"/>
                      <w:rPr>
                        <w:rFonts w:ascii="Arial Black" w:hAnsi="Arial Black"/>
                        <w:color w:val="000000"/>
                      </w:rPr>
                    </w:pPr>
                    <w:r w:rsidRPr="00883AB8">
                      <w:rPr>
                        <w:rFonts w:ascii="Arial Black" w:hAnsi="Arial Black"/>
                        <w:color w:val="00000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9F3A8" w14:textId="77777777" w:rsidR="00C50A2B" w:rsidRPr="00883AB8" w:rsidRDefault="00486A13" w:rsidP="006B337A">
    <w:pPr>
      <w:pStyle w:val="SCVfooterempty"/>
    </w:pPr>
    <w:r w:rsidRPr="00883AB8">
      <w:rPr>
        <w:noProof/>
      </w:rPr>
      <mc:AlternateContent>
        <mc:Choice Requires="wps">
          <w:drawing>
            <wp:anchor distT="0" distB="0" distL="114300" distR="114300" simplePos="0" relativeHeight="251653120" behindDoc="0" locked="0" layoutInCell="0" allowOverlap="1" wp14:anchorId="7F0F8CDB" wp14:editId="28BFEC04">
              <wp:simplePos x="0" y="0"/>
              <wp:positionH relativeFrom="page">
                <wp:posOffset>0</wp:posOffset>
              </wp:positionH>
              <wp:positionV relativeFrom="page">
                <wp:posOffset>10189210</wp:posOffset>
              </wp:positionV>
              <wp:extent cx="7560310" cy="311785"/>
              <wp:effectExtent l="0" t="0" r="0" b="12065"/>
              <wp:wrapNone/>
              <wp:docPr id="14" name="MSIPCMb1e44b828ad12e9d75dc334e" descr="{&quot;HashCode&quot;:904758361,&quot;Height&quot;:841.0,&quot;Width&quot;:595.0,&quot;Placement&quot;:&quot;Footer&quot;,&quot;Index&quot;:&quot;OddAndEven&quot;,&quot;Section&quot;:2,&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80329F0" w14:textId="77777777" w:rsidR="00486A13" w:rsidRPr="00883AB8" w:rsidRDefault="00486A13" w:rsidP="00486A13">
                          <w:pPr>
                            <w:spacing w:before="0" w:after="0"/>
                            <w:jc w:val="center"/>
                            <w:rPr>
                              <w:rFonts w:ascii="Arial Black" w:hAnsi="Arial Black"/>
                              <w:color w:val="000000"/>
                            </w:rPr>
                          </w:pPr>
                          <w:r w:rsidRPr="00883AB8">
                            <w:rPr>
                              <w:rFonts w:ascii="Arial Black" w:hAnsi="Arial Black"/>
                              <w:color w:val="00000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F0F8CDB" id="_x0000_t202" coordsize="21600,21600" o:spt="202" path="m,l,21600r21600,l21600,xe">
              <v:stroke joinstyle="miter"/>
              <v:path gradientshapeok="t" o:connecttype="rect"/>
            </v:shapetype>
            <v:shape id="MSIPCMb1e44b828ad12e9d75dc334e" o:spid="_x0000_s1028" type="#_x0000_t202" alt="{&quot;HashCode&quot;:904758361,&quot;Height&quot;:841.0,&quot;Width&quot;:595.0,&quot;Placement&quot;:&quot;Footer&quot;,&quot;Index&quot;:&quot;OddAndEven&quot;,&quot;Section&quot;:2,&quot;Top&quot;:0.0,&quot;Left&quot;:0.0}" style="position:absolute;margin-left:0;margin-top:802.3pt;width:595.3pt;height:24.55pt;z-index:25165312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C7jRm/GAIAACsEAAAOAAAAAAAAAAAAAAAAAC4CAABkcnMvZTJvRG9jLnhtbFBLAQItABQA&#10;BgAIAAAAIQBIDV6a3wAAAAsBAAAPAAAAAAAAAAAAAAAAAHIEAABkcnMvZG93bnJldi54bWxQSwUG&#10;AAAAAAQABADzAAAAfgUAAAAA&#10;" o:allowincell="f" filled="f" stroked="f" strokeweight=".5pt">
              <v:textbox inset=",0,,0">
                <w:txbxContent>
                  <w:p w14:paraId="080329F0" w14:textId="77777777" w:rsidR="00486A13" w:rsidRPr="00883AB8" w:rsidRDefault="00486A13" w:rsidP="00486A13">
                    <w:pPr>
                      <w:spacing w:before="0" w:after="0"/>
                      <w:jc w:val="center"/>
                      <w:rPr>
                        <w:rFonts w:ascii="Arial Black" w:hAnsi="Arial Black"/>
                        <w:color w:val="000000"/>
                      </w:rPr>
                    </w:pPr>
                    <w:r w:rsidRPr="00883AB8">
                      <w:rPr>
                        <w:rFonts w:ascii="Arial Black" w:hAnsi="Arial Black"/>
                        <w:color w:val="00000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9C8C5" w14:textId="77777777" w:rsidR="00C50A2B" w:rsidRPr="00883AB8" w:rsidRDefault="00486A13" w:rsidP="006B337A">
    <w:pPr>
      <w:pStyle w:val="SCVheaderempty"/>
    </w:pPr>
    <w:r w:rsidRPr="00883AB8">
      <w:rPr>
        <w:noProof/>
      </w:rPr>
      <mc:AlternateContent>
        <mc:Choice Requires="wps">
          <w:drawing>
            <wp:anchor distT="0" distB="0" distL="114300" distR="114300" simplePos="0" relativeHeight="251652096" behindDoc="0" locked="0" layoutInCell="0" allowOverlap="1" wp14:anchorId="685A8070" wp14:editId="3054A151">
              <wp:simplePos x="0" y="0"/>
              <wp:positionH relativeFrom="page">
                <wp:posOffset>0</wp:posOffset>
              </wp:positionH>
              <wp:positionV relativeFrom="page">
                <wp:posOffset>10189687</wp:posOffset>
              </wp:positionV>
              <wp:extent cx="7560310" cy="311785"/>
              <wp:effectExtent l="0" t="0" r="0" b="12065"/>
              <wp:wrapNone/>
              <wp:docPr id="13" name="MSIPCMfdd74515b2b06ed88b74fd14" descr="{&quot;HashCode&quot;:904758361,&quot;Height&quot;:841.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AA26C02" w14:textId="77777777" w:rsidR="00486A13" w:rsidRPr="00883AB8" w:rsidRDefault="00486A13" w:rsidP="00486A13">
                          <w:pPr>
                            <w:spacing w:before="0" w:after="0"/>
                            <w:jc w:val="center"/>
                            <w:rPr>
                              <w:rFonts w:ascii="Arial Black" w:hAnsi="Arial Black"/>
                              <w:color w:val="000000"/>
                            </w:rPr>
                          </w:pPr>
                          <w:r w:rsidRPr="00883AB8">
                            <w:rPr>
                              <w:rFonts w:ascii="Arial Black" w:hAnsi="Arial Black"/>
                              <w:color w:val="00000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85A8070" id="_x0000_t202" coordsize="21600,21600" o:spt="202" path="m,l,21600r21600,l21600,xe">
              <v:stroke joinstyle="miter"/>
              <v:path gradientshapeok="t" o:connecttype="rect"/>
            </v:shapetype>
            <v:shape id="MSIPCMfdd74515b2b06ed88b74fd14" o:spid="_x0000_s1029" type="#_x0000_t202" alt="{&quot;HashCode&quot;:904758361,&quot;Height&quot;:841.0,&quot;Width&quot;:595.0,&quot;Placement&quot;:&quot;Footer&quot;,&quot;Index&quot;:&quot;Primary&quot;,&quot;Section&quot;:2,&quot;Top&quot;:0.0,&quot;Left&quot;:0.0}" style="position:absolute;margin-left:0;margin-top:802.35pt;width:595.3pt;height:24.55pt;z-index:25165209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" o:allowincell="f" filled="f" stroked="f" strokeweight=".5pt">
              <v:textbox inset=",0,,0">
                <w:txbxContent>
                  <w:p w14:paraId="6AA26C02" w14:textId="77777777" w:rsidR="00486A13" w:rsidRPr="00883AB8" w:rsidRDefault="00486A13" w:rsidP="00486A13">
                    <w:pPr>
                      <w:spacing w:before="0" w:after="0"/>
                      <w:jc w:val="center"/>
                      <w:rPr>
                        <w:rFonts w:ascii="Arial Black" w:hAnsi="Arial Black"/>
                        <w:color w:val="000000"/>
                      </w:rPr>
                    </w:pPr>
                    <w:r w:rsidRPr="00883AB8">
                      <w:rPr>
                        <w:rFonts w:ascii="Arial Black" w:hAnsi="Arial Black"/>
                        <w:color w:val="000000"/>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07449" w14:textId="77777777" w:rsidR="00C50A2B" w:rsidRPr="00883AB8" w:rsidRDefault="00C50A2B">
    <w:pPr>
      <w:pStyle w:val="Footer"/>
      <w:rPr>
        <w:noProof w:val="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4D787" w14:textId="2638E13D" w:rsidR="00C50A2B" w:rsidRPr="00883AB8" w:rsidRDefault="00486A13" w:rsidP="00903F81">
    <w:pPr>
      <w:pStyle w:val="SCVfootereven"/>
      <w:rPr>
        <w:noProof w:val="0"/>
      </w:rPr>
    </w:pPr>
    <w:r w:rsidRPr="00883AB8">
      <mc:AlternateContent>
        <mc:Choice Requires="wps">
          <w:drawing>
            <wp:anchor distT="0" distB="0" distL="114300" distR="114300" simplePos="0" relativeHeight="251667456" behindDoc="0" locked="0" layoutInCell="0" allowOverlap="1" wp14:anchorId="0A10CD77" wp14:editId="031A1C9A">
              <wp:simplePos x="0" y="0"/>
              <wp:positionH relativeFrom="page">
                <wp:posOffset>0</wp:posOffset>
              </wp:positionH>
              <wp:positionV relativeFrom="page">
                <wp:posOffset>10189210</wp:posOffset>
              </wp:positionV>
              <wp:extent cx="7560310" cy="311785"/>
              <wp:effectExtent l="0" t="0" r="0" b="12065"/>
              <wp:wrapNone/>
              <wp:docPr id="18" name="MSIPCM9a7449b4868e775726fd1384" descr="{&quot;HashCode&quot;:904758361,&quot;Height&quot;:841.0,&quot;Width&quot;:595.0,&quot;Placement&quot;:&quot;Footer&quot;,&quot;Index&quot;:&quot;OddAndEven&quot;,&quot;Section&quot;:3,&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B5CD481" w14:textId="77777777" w:rsidR="00486A13" w:rsidRPr="00883AB8" w:rsidRDefault="00486A13" w:rsidP="00486A13">
                          <w:pPr>
                            <w:spacing w:before="0" w:after="0"/>
                            <w:jc w:val="center"/>
                            <w:rPr>
                              <w:rFonts w:ascii="Arial Black" w:hAnsi="Arial Black"/>
                              <w:color w:val="000000"/>
                            </w:rPr>
                          </w:pPr>
                          <w:r w:rsidRPr="00883AB8">
                            <w:rPr>
                              <w:rFonts w:ascii="Arial Black" w:hAnsi="Arial Black"/>
                              <w:color w:val="00000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A10CD77" id="_x0000_t202" coordsize="21600,21600" o:spt="202" path="m,l,21600r21600,l21600,xe">
              <v:stroke joinstyle="miter"/>
              <v:path gradientshapeok="t" o:connecttype="rect"/>
            </v:shapetype>
            <v:shape id="MSIPCM9a7449b4868e775726fd1384" o:spid="_x0000_s1030" type="#_x0000_t202" alt="{&quot;HashCode&quot;:904758361,&quot;Height&quot;:841.0,&quot;Width&quot;:595.0,&quot;Placement&quot;:&quot;Footer&quot;,&quot;Index&quot;:&quot;OddAndEven&quot;,&quot;Section&quot;:3,&quot;Top&quot;:0.0,&quot;Left&quot;:0.0}" style="position:absolute;margin-left:0;margin-top:802.3pt;width:595.3pt;height:24.55pt;z-index:25166745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AZof46GAIAACsEAAAOAAAAAAAAAAAAAAAAAC4CAABkcnMvZTJvRG9jLnhtbFBLAQItABQA&#10;BgAIAAAAIQBIDV6a3wAAAAsBAAAPAAAAAAAAAAAAAAAAAHIEAABkcnMvZG93bnJldi54bWxQSwUG&#10;AAAAAAQABADzAAAAfgUAAAAA&#10;" o:allowincell="f" filled="f" stroked="f" strokeweight=".5pt">
              <v:textbox inset=",0,,0">
                <w:txbxContent>
                  <w:p w14:paraId="1B5CD481" w14:textId="77777777" w:rsidR="00486A13" w:rsidRPr="00883AB8" w:rsidRDefault="00486A13" w:rsidP="00486A13">
                    <w:pPr>
                      <w:spacing w:before="0" w:after="0"/>
                      <w:jc w:val="center"/>
                      <w:rPr>
                        <w:rFonts w:ascii="Arial Black" w:hAnsi="Arial Black"/>
                        <w:color w:val="000000"/>
                      </w:rPr>
                    </w:pPr>
                    <w:r w:rsidRPr="00883AB8">
                      <w:rPr>
                        <w:rFonts w:ascii="Arial Black" w:hAnsi="Arial Black"/>
                        <w:color w:val="000000"/>
                      </w:rPr>
                      <w:t>OFFICIAL</w:t>
                    </w:r>
                  </w:p>
                </w:txbxContent>
              </v:textbox>
              <w10:wrap anchorx="page" anchory="page"/>
            </v:shape>
          </w:pict>
        </mc:Fallback>
      </mc:AlternateContent>
    </w:r>
    <w:r w:rsidR="00C50A2B" w:rsidRPr="00883AB8">
      <w:rPr>
        <w:noProof w:val="0"/>
      </w:rPr>
      <w:fldChar w:fldCharType="begin"/>
    </w:r>
    <w:r w:rsidR="00C50A2B" w:rsidRPr="00883AB8">
      <w:rPr>
        <w:noProof w:val="0"/>
      </w:rPr>
      <w:instrText xml:space="preserve"> PAGE   \* MERGEFORMAT </w:instrText>
    </w:r>
    <w:r w:rsidR="00C50A2B" w:rsidRPr="00883AB8">
      <w:rPr>
        <w:noProof w:val="0"/>
      </w:rPr>
      <w:fldChar w:fldCharType="separate"/>
    </w:r>
    <w:r w:rsidR="00C50A2B" w:rsidRPr="00883AB8">
      <w:rPr>
        <w:noProof w:val="0"/>
      </w:rPr>
      <w:t>8</w:t>
    </w:r>
    <w:r w:rsidR="00C50A2B" w:rsidRPr="00883AB8">
      <w:rPr>
        <w:noProof w:val="0"/>
      </w:rPr>
      <w:fldChar w:fldCharType="end"/>
    </w:r>
    <w:r w:rsidR="00C50A2B" w:rsidRPr="00883AB8">
      <w:rPr>
        <w:noProof w:val="0"/>
      </w:rPr>
      <w:t xml:space="preserve"> </w:t>
    </w:r>
    <w:r w:rsidR="00C50A2B" w:rsidRPr="00883AB8">
      <w:rPr>
        <w:noProof w:val="0"/>
      </w:rPr>
      <w:t> </w:t>
    </w:r>
    <w:r w:rsidR="00C50A2B" w:rsidRPr="00883AB8">
      <w:rPr>
        <w:noProof w:val="0"/>
      </w:rPr>
      <w:t> </w:t>
    </w:r>
    <w:r w:rsidR="00C50A2B" w:rsidRPr="00883AB8">
      <w:rPr>
        <w:b/>
        <w:noProof w:val="0"/>
      </w:rPr>
      <w:t>Safer Care Victoria</w:t>
    </w:r>
    <w:r w:rsidR="00C50A2B" w:rsidRPr="00883AB8">
      <w:rPr>
        <w:noProof w:val="0"/>
      </w:rPr>
      <w:t> </w:t>
    </w:r>
    <w:r w:rsidR="00C50A2B" w:rsidRPr="00883AB8">
      <w:rPr>
        <w:noProof w:val="0"/>
      </w:rPr>
      <w:t> </w:t>
    </w:r>
    <w:r w:rsidR="00896E1B" w:rsidRPr="00883AB8">
      <w:rPr>
        <w:noProof w:val="0"/>
      </w:rPr>
      <w:fldChar w:fldCharType="begin"/>
    </w:r>
    <w:r w:rsidR="00896E1B" w:rsidRPr="00883AB8">
      <w:rPr>
        <w:noProof w:val="0"/>
      </w:rPr>
      <w:instrText xml:space="preserve"> STYLEREF  "SCV report title"  \* MERGEFORMAT </w:instrText>
    </w:r>
    <w:r w:rsidR="00896E1B" w:rsidRPr="00883AB8">
      <w:rPr>
        <w:noProof w:val="0"/>
      </w:rPr>
      <w:fldChar w:fldCharType="separate"/>
    </w:r>
    <w:r w:rsidR="00B01B15" w:rsidRPr="00B01B15">
      <w:rPr>
        <w:b/>
        <w:bCs/>
        <w:lang w:val="en-US"/>
      </w:rPr>
      <w:t>Credentialing and scope of clinical practice for medical and</w:t>
    </w:r>
    <w:r w:rsidR="00B01B15">
      <w:t xml:space="preserve"> dental practitioners policy</w:t>
    </w:r>
    <w:r w:rsidR="00896E1B" w:rsidRPr="00883AB8">
      <w:rPr>
        <w:noProof w:val="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0FAF1" w14:textId="23CE2976" w:rsidR="00C50A2B" w:rsidRPr="00883AB8" w:rsidRDefault="00486A13" w:rsidP="00972812">
    <w:pPr>
      <w:pStyle w:val="SCVfooterodd"/>
      <w:rPr>
        <w:noProof w:val="0"/>
      </w:rPr>
    </w:pPr>
    <w:r w:rsidRPr="00B01B15">
      <w:rPr>
        <w:rStyle w:val="SCVbodyChar"/>
      </w:rPr>
      <mc:AlternateContent>
        <mc:Choice Requires="wps">
          <w:drawing>
            <wp:anchor distT="0" distB="0" distL="114300" distR="114300" simplePos="0" relativeHeight="251660288" behindDoc="0" locked="0" layoutInCell="0" allowOverlap="1" wp14:anchorId="3858C18E" wp14:editId="1D50CB97">
              <wp:simplePos x="0" y="0"/>
              <wp:positionH relativeFrom="page">
                <wp:posOffset>0</wp:posOffset>
              </wp:positionH>
              <wp:positionV relativeFrom="page">
                <wp:posOffset>10189210</wp:posOffset>
              </wp:positionV>
              <wp:extent cx="7560310" cy="311785"/>
              <wp:effectExtent l="0" t="0" r="0" b="12065"/>
              <wp:wrapNone/>
              <wp:docPr id="15" name="MSIPCMb0a1473383926d54b2e5b950" descr="{&quot;HashCode&quot;:904758361,&quot;Height&quot;:841.0,&quot;Width&quot;:595.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844AC69" w14:textId="77777777" w:rsidR="00486A13" w:rsidRPr="00883AB8" w:rsidRDefault="00486A13" w:rsidP="00486A13">
                          <w:pPr>
                            <w:spacing w:before="0" w:after="0"/>
                            <w:jc w:val="center"/>
                            <w:rPr>
                              <w:rFonts w:ascii="Arial Black" w:hAnsi="Arial Black"/>
                              <w:color w:val="000000"/>
                            </w:rPr>
                          </w:pPr>
                          <w:r w:rsidRPr="00883AB8">
                            <w:rPr>
                              <w:rFonts w:ascii="Arial Black" w:hAnsi="Arial Black"/>
                              <w:color w:val="00000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858C18E" id="_x0000_t202" coordsize="21600,21600" o:spt="202" path="m,l,21600r21600,l21600,xe">
              <v:stroke joinstyle="miter"/>
              <v:path gradientshapeok="t" o:connecttype="rect"/>
            </v:shapetype>
            <v:shape id="MSIPCMb0a1473383926d54b2e5b950" o:spid="_x0000_s1031" type="#_x0000_t202" alt="{&quot;HashCode&quot;:904758361,&quot;Height&quot;:841.0,&quot;Width&quot;:595.0,&quot;Placement&quot;:&quot;Footer&quot;,&quot;Index&quot;:&quot;Primary&quot;,&quot;Section&quot;:3,&quot;Top&quot;:0.0,&quot;Left&quot;:0.0}" style="position:absolute;left:0;text-align:left;margin-left:0;margin-top:802.3pt;width:595.3pt;height:24.55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" o:allowincell="f" filled="f" stroked="f" strokeweight=".5pt">
              <v:textbox inset=",0,,0">
                <w:txbxContent>
                  <w:p w14:paraId="6844AC69" w14:textId="77777777" w:rsidR="00486A13" w:rsidRPr="00883AB8" w:rsidRDefault="00486A13" w:rsidP="00486A13">
                    <w:pPr>
                      <w:spacing w:before="0" w:after="0"/>
                      <w:jc w:val="center"/>
                      <w:rPr>
                        <w:rFonts w:ascii="Arial Black" w:hAnsi="Arial Black"/>
                        <w:color w:val="000000"/>
                      </w:rPr>
                    </w:pPr>
                    <w:r w:rsidRPr="00883AB8">
                      <w:rPr>
                        <w:rFonts w:ascii="Arial Black" w:hAnsi="Arial Black"/>
                        <w:color w:val="000000"/>
                      </w:rPr>
                      <w:t>OFFICIAL</w:t>
                    </w:r>
                  </w:p>
                </w:txbxContent>
              </v:textbox>
              <w10:wrap anchorx="page" anchory="page"/>
            </v:shape>
          </w:pict>
        </mc:Fallback>
      </mc:AlternateContent>
    </w:r>
    <w:r w:rsidR="00896E1B" w:rsidRPr="00B01B15">
      <w:rPr>
        <w:rStyle w:val="SCVbodyChar"/>
      </w:rPr>
      <w:fldChar w:fldCharType="begin"/>
    </w:r>
    <w:r w:rsidR="00896E1B" w:rsidRPr="00B01B15">
      <w:rPr>
        <w:rStyle w:val="SCVbodyChar"/>
      </w:rPr>
      <w:instrText xml:space="preserve"> STYLEREF  "SCV report title"  \* MERGEFORMAT </w:instrText>
    </w:r>
    <w:r w:rsidR="00896E1B" w:rsidRPr="00B01B15">
      <w:rPr>
        <w:rStyle w:val="SCVbodyChar"/>
      </w:rPr>
      <w:fldChar w:fldCharType="separate"/>
    </w:r>
    <w:r w:rsidR="005B371A" w:rsidRPr="005B371A">
      <w:rPr>
        <w:rStyle w:val="SCVbodyChar"/>
        <w:lang w:val="en-US"/>
      </w:rPr>
      <w:t>Credentialing and scope of clinical practice for medical and</w:t>
    </w:r>
    <w:r w:rsidR="005B371A">
      <w:rPr>
        <w:rStyle w:val="SCVbodyChar"/>
      </w:rPr>
      <w:t xml:space="preserve"> dental practitioners</w:t>
    </w:r>
    <w:r w:rsidR="00896E1B" w:rsidRPr="00B01B15">
      <w:rPr>
        <w:rStyle w:val="SCVbodyChar"/>
      </w:rPr>
      <w:fldChar w:fldCharType="end"/>
    </w:r>
    <w:r w:rsidR="00C50A2B" w:rsidRPr="00883AB8">
      <w:rPr>
        <w:noProof w:val="0"/>
      </w:rPr>
      <w:t> </w:t>
    </w:r>
    <w:r w:rsidR="00C50A2B" w:rsidRPr="00883AB8">
      <w:rPr>
        <w:noProof w:val="0"/>
      </w:rPr>
      <w:t> </w:t>
    </w:r>
    <w:r w:rsidR="00C50A2B" w:rsidRPr="00883AB8">
      <w:rPr>
        <w:b/>
        <w:noProof w:val="0"/>
      </w:rPr>
      <w:t>Safer Care Victoria</w:t>
    </w:r>
    <w:r w:rsidR="00C50A2B" w:rsidRPr="00883AB8">
      <w:rPr>
        <w:noProof w:val="0"/>
      </w:rPr>
      <w:t> </w:t>
    </w:r>
    <w:r w:rsidR="00C50A2B" w:rsidRPr="00883AB8">
      <w:rPr>
        <w:noProof w:val="0"/>
      </w:rPr>
      <w:t> </w:t>
    </w:r>
    <w:r w:rsidR="00C50A2B" w:rsidRPr="00883AB8">
      <w:rPr>
        <w:noProof w:val="0"/>
      </w:rPr>
      <w:fldChar w:fldCharType="begin"/>
    </w:r>
    <w:r w:rsidR="00C50A2B" w:rsidRPr="00883AB8">
      <w:rPr>
        <w:noProof w:val="0"/>
      </w:rPr>
      <w:instrText xml:space="preserve"> PAGE   \* MERGEFORMAT </w:instrText>
    </w:r>
    <w:r w:rsidR="00C50A2B" w:rsidRPr="00883AB8">
      <w:rPr>
        <w:noProof w:val="0"/>
      </w:rPr>
      <w:fldChar w:fldCharType="separate"/>
    </w:r>
    <w:r w:rsidR="00C50A2B" w:rsidRPr="00883AB8">
      <w:rPr>
        <w:noProof w:val="0"/>
      </w:rPr>
      <w:t>3</w:t>
    </w:r>
    <w:r w:rsidR="00C50A2B" w:rsidRPr="00883AB8">
      <w:rPr>
        <w:noProof w:val="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7B6B0" w14:textId="77777777" w:rsidR="00C50A2B" w:rsidRPr="00883AB8" w:rsidRDefault="00486A13" w:rsidP="00BC437C">
    <w:pPr>
      <w:pStyle w:val="SCVfooterempty"/>
    </w:pPr>
    <w:r w:rsidRPr="00883AB8">
      <w:rPr>
        <w:noProof/>
      </w:rPr>
      <mc:AlternateContent>
        <mc:Choice Requires="wps">
          <w:drawing>
            <wp:anchor distT="0" distB="0" distL="114300" distR="114300" simplePos="0" relativeHeight="251662848" behindDoc="0" locked="0" layoutInCell="0" allowOverlap="1" wp14:anchorId="065BC94B" wp14:editId="652C4D3B">
              <wp:simplePos x="0" y="0"/>
              <wp:positionH relativeFrom="page">
                <wp:posOffset>0</wp:posOffset>
              </wp:positionH>
              <wp:positionV relativeFrom="page">
                <wp:posOffset>10189210</wp:posOffset>
              </wp:positionV>
              <wp:extent cx="7560310" cy="311785"/>
              <wp:effectExtent l="0" t="0" r="0" b="12065"/>
              <wp:wrapNone/>
              <wp:docPr id="20" name="MSIPCM72cf43b791a9d32955530ebf" descr="{&quot;HashCode&quot;:904758361,&quot;Height&quot;:841.0,&quot;Width&quot;:595.0,&quot;Placement&quot;:&quot;Footer&quot;,&quot;Index&quot;:&quot;OddAndEven&quot;,&quot;Section&quot;:5,&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D25C256" w14:textId="77777777" w:rsidR="00486A13" w:rsidRPr="00883AB8" w:rsidRDefault="00486A13" w:rsidP="00486A13">
                          <w:pPr>
                            <w:spacing w:before="0" w:after="0"/>
                            <w:jc w:val="center"/>
                            <w:rPr>
                              <w:rFonts w:ascii="Arial Black" w:hAnsi="Arial Black"/>
                              <w:color w:val="000000"/>
                            </w:rPr>
                          </w:pPr>
                          <w:r w:rsidRPr="00883AB8">
                            <w:rPr>
                              <w:rFonts w:ascii="Arial Black" w:hAnsi="Arial Black"/>
                              <w:color w:val="00000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65BC94B" id="_x0000_t202" coordsize="21600,21600" o:spt="202" path="m,l,21600r21600,l21600,xe">
              <v:stroke joinstyle="miter"/>
              <v:path gradientshapeok="t" o:connecttype="rect"/>
            </v:shapetype>
            <v:shape id="MSIPCM72cf43b791a9d32955530ebf" o:spid="_x0000_s1032" type="#_x0000_t202" alt="{&quot;HashCode&quot;:904758361,&quot;Height&quot;:841.0,&quot;Width&quot;:595.0,&quot;Placement&quot;:&quot;Footer&quot;,&quot;Index&quot;:&quot;OddAndEven&quot;,&quot;Section&quot;:5,&quot;Top&quot;:0.0,&quot;Left&quot;:0.0}" style="position:absolute;margin-left:0;margin-top:802.3pt;width:595.3pt;height:24.55pt;z-index:25166284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C4uIzwGAIAACsEAAAOAAAAAAAAAAAAAAAAAC4CAABkcnMvZTJvRG9jLnhtbFBLAQItABQA&#10;BgAIAAAAIQBIDV6a3wAAAAsBAAAPAAAAAAAAAAAAAAAAAHIEAABkcnMvZG93bnJldi54bWxQSwUG&#10;AAAAAAQABADzAAAAfgUAAAAA&#10;" o:allowincell="f" filled="f" stroked="f" strokeweight=".5pt">
              <v:textbox inset=",0,,0">
                <w:txbxContent>
                  <w:p w14:paraId="1D25C256" w14:textId="77777777" w:rsidR="00486A13" w:rsidRPr="00883AB8" w:rsidRDefault="00486A13" w:rsidP="00486A13">
                    <w:pPr>
                      <w:spacing w:before="0" w:after="0"/>
                      <w:jc w:val="center"/>
                      <w:rPr>
                        <w:rFonts w:ascii="Arial Black" w:hAnsi="Arial Black"/>
                        <w:color w:val="000000"/>
                      </w:rPr>
                    </w:pPr>
                    <w:r w:rsidRPr="00883AB8">
                      <w:rPr>
                        <w:rFonts w:ascii="Arial Black" w:hAnsi="Arial Black"/>
                        <w:color w:val="000000"/>
                      </w:rPr>
                      <w:t>OFFICIAL</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15CF7" w14:textId="77777777" w:rsidR="00C50A2B" w:rsidRPr="00883AB8" w:rsidRDefault="00486A13" w:rsidP="00BC437C">
    <w:pPr>
      <w:pStyle w:val="SCVfooterempty"/>
    </w:pPr>
    <w:r w:rsidRPr="00883AB8">
      <w:rPr>
        <w:noProof/>
      </w:rPr>
      <mc:AlternateContent>
        <mc:Choice Requires="wps">
          <w:drawing>
            <wp:anchor distT="0" distB="0" distL="114300" distR="114300" simplePos="0" relativeHeight="251661824" behindDoc="0" locked="0" layoutInCell="0" allowOverlap="1" wp14:anchorId="11858524" wp14:editId="39F1C85E">
              <wp:simplePos x="0" y="0"/>
              <wp:positionH relativeFrom="page">
                <wp:posOffset>0</wp:posOffset>
              </wp:positionH>
              <wp:positionV relativeFrom="page">
                <wp:posOffset>10189687</wp:posOffset>
              </wp:positionV>
              <wp:extent cx="7560310" cy="311785"/>
              <wp:effectExtent l="0" t="0" r="0" b="12065"/>
              <wp:wrapNone/>
              <wp:docPr id="19" name="MSIPCM1cb343278a36f69eb1e02eb2" descr="{&quot;HashCode&quot;:904758361,&quot;Height&quot;:841.0,&quot;Width&quot;:595.0,&quot;Placement&quot;:&quot;Footer&quot;,&quot;Index&quot;:&quot;Primary&quot;,&quot;Section&quot;:5,&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02439B0" w14:textId="77777777" w:rsidR="00486A13" w:rsidRPr="00883AB8" w:rsidRDefault="00486A13" w:rsidP="00486A13">
                          <w:pPr>
                            <w:spacing w:before="0" w:after="0"/>
                            <w:jc w:val="center"/>
                            <w:rPr>
                              <w:rFonts w:ascii="Arial Black" w:hAnsi="Arial Black"/>
                              <w:color w:val="000000"/>
                            </w:rPr>
                          </w:pPr>
                          <w:r w:rsidRPr="00883AB8">
                            <w:rPr>
                              <w:rFonts w:ascii="Arial Black" w:hAnsi="Arial Black"/>
                              <w:color w:val="00000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1858524" id="_x0000_t202" coordsize="21600,21600" o:spt="202" path="m,l,21600r21600,l21600,xe">
              <v:stroke joinstyle="miter"/>
              <v:path gradientshapeok="t" o:connecttype="rect"/>
            </v:shapetype>
            <v:shape id="MSIPCM1cb343278a36f69eb1e02eb2" o:spid="_x0000_s1033" type="#_x0000_t202" alt="{&quot;HashCode&quot;:904758361,&quot;Height&quot;:841.0,&quot;Width&quot;:595.0,&quot;Placement&quot;:&quot;Footer&quot;,&quot;Index&quot;:&quot;Primary&quot;,&quot;Section&quot;:5,&quot;Top&quot;:0.0,&quot;Left&quot;:0.0}" style="position:absolute;margin-left:0;margin-top:802.35pt;width:595.3pt;height:24.55pt;z-index:25166182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" o:allowincell="f" filled="f" stroked="f" strokeweight=".5pt">
              <v:textbox inset=",0,,0">
                <w:txbxContent>
                  <w:p w14:paraId="402439B0" w14:textId="77777777" w:rsidR="00486A13" w:rsidRPr="00883AB8" w:rsidRDefault="00486A13" w:rsidP="00486A13">
                    <w:pPr>
                      <w:spacing w:before="0" w:after="0"/>
                      <w:jc w:val="center"/>
                      <w:rPr>
                        <w:rFonts w:ascii="Arial Black" w:hAnsi="Arial Black"/>
                        <w:color w:val="000000"/>
                      </w:rPr>
                    </w:pPr>
                    <w:r w:rsidRPr="00883AB8">
                      <w:rPr>
                        <w:rFonts w:ascii="Arial Black" w:hAnsi="Arial Black"/>
                        <w:color w:val="00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F2EE0" w14:textId="77777777" w:rsidR="00DD39FD" w:rsidRPr="00883AB8" w:rsidRDefault="00DD39FD" w:rsidP="00E33E08">
      <w:pPr>
        <w:spacing w:before="0" w:after="0" w:line="240" w:lineRule="auto"/>
      </w:pPr>
    </w:p>
  </w:footnote>
  <w:footnote w:type="continuationSeparator" w:id="0">
    <w:p w14:paraId="509A85ED" w14:textId="77777777" w:rsidR="00DD39FD" w:rsidRPr="00883AB8" w:rsidRDefault="00DD39FD" w:rsidP="00E33E08">
      <w:pPr>
        <w:spacing w:before="0" w:after="0" w:line="240" w:lineRule="auto"/>
      </w:pPr>
    </w:p>
  </w:footnote>
  <w:footnote w:id="1">
    <w:p w14:paraId="162B34CB" w14:textId="77777777" w:rsidR="00053702" w:rsidRDefault="00053702" w:rsidP="00053702">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AFA8E" w14:textId="77777777" w:rsidR="00AA4288" w:rsidRPr="00883AB8" w:rsidRDefault="005619BB" w:rsidP="00AA4288">
    <w:pPr>
      <w:pStyle w:val="SCVheaderempty"/>
    </w:pPr>
    <w:r w:rsidRPr="00883AB8">
      <w:rPr>
        <w:noProof/>
      </w:rPr>
      <w:drawing>
        <wp:anchor distT="0" distB="0" distL="114300" distR="114300" simplePos="0" relativeHeight="251649024" behindDoc="1" locked="1" layoutInCell="1" allowOverlap="1" wp14:anchorId="3045B6E6" wp14:editId="1A7B63FA">
          <wp:simplePos x="0" y="0"/>
          <wp:positionH relativeFrom="page">
            <wp:align>left</wp:align>
          </wp:positionH>
          <wp:positionV relativeFrom="page">
            <wp:align>top</wp:align>
          </wp:positionV>
          <wp:extent cx="7563600" cy="10697040"/>
          <wp:effectExtent l="0" t="0" r="0" b="9525"/>
          <wp:wrapNone/>
          <wp:docPr id="1" name="Picture 1" descr="Safer Care Victo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afer Care Victoria"/>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3600" cy="1069704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ABB98" w14:textId="77777777" w:rsidR="00C50A2B" w:rsidRPr="00883AB8" w:rsidRDefault="00C50A2B" w:rsidP="00947A0F">
    <w:pPr>
      <w:pStyle w:val="SCVheaderempty"/>
    </w:pPr>
    <w:r w:rsidRPr="00883AB8">
      <w:rPr>
        <w:noProof/>
      </w:rPr>
      <w:drawing>
        <wp:anchor distT="0" distB="0" distL="114300" distR="114300" simplePos="0" relativeHeight="251648000" behindDoc="1" locked="1" layoutInCell="1" allowOverlap="1" wp14:anchorId="60153DAA" wp14:editId="09A0EEDC">
          <wp:simplePos x="0" y="0"/>
          <wp:positionH relativeFrom="page">
            <wp:posOffset>540385</wp:posOffset>
          </wp:positionH>
          <wp:positionV relativeFrom="page">
            <wp:posOffset>540385</wp:posOffset>
          </wp:positionV>
          <wp:extent cx="6505200" cy="5670000"/>
          <wp:effectExtent l="0" t="0" r="0" b="6985"/>
          <wp:wrapNone/>
          <wp:docPr id="6" name="Picture 6"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ecorative"/>
                  <pic:cNvPicPr/>
                </pic:nvPicPr>
                <pic:blipFill>
                  <a:blip r:embed="rId1">
                    <a:extLst>
                      <a:ext uri="{28A0092B-C50C-407E-A947-70E740481C1C}">
                        <a14:useLocalDpi xmlns:a14="http://schemas.microsoft.com/office/drawing/2010/main" val="0"/>
                      </a:ext>
                    </a:extLst>
                  </a:blip>
                  <a:stretch>
                    <a:fillRect/>
                  </a:stretch>
                </pic:blipFill>
                <pic:spPr>
                  <a:xfrm>
                    <a:off x="0" y="0"/>
                    <a:ext cx="6505200" cy="567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955AF" w14:textId="77777777" w:rsidR="000C0AE9" w:rsidRPr="00883AB8" w:rsidRDefault="000C0AE9" w:rsidP="00AA4288">
    <w:pPr>
      <w:pStyle w:val="SCVheaderempty"/>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B38DD" w14:textId="77777777" w:rsidR="00C50A2B" w:rsidRPr="00883AB8" w:rsidRDefault="00C50A2B" w:rsidP="0086277A">
    <w:pPr>
      <w:pStyle w:val="NoSpacing"/>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50420" w14:textId="77777777" w:rsidR="00C50A2B" w:rsidRPr="00883AB8" w:rsidRDefault="00C50A2B" w:rsidP="00947A0F">
    <w:pPr>
      <w:pStyle w:val="SCVheaderempty"/>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92051" w14:textId="77777777" w:rsidR="00C50A2B" w:rsidRPr="00883AB8" w:rsidRDefault="00C50A2B" w:rsidP="00947A0F">
    <w:pPr>
      <w:pStyle w:val="SCVheaderempty"/>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F20EA" w14:textId="77777777" w:rsidR="00C50A2B" w:rsidRPr="00883AB8" w:rsidRDefault="00C50A2B" w:rsidP="00BC437C">
    <w:pPr>
      <w:pStyle w:val="SCV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7D3FB" w14:textId="77777777" w:rsidR="00C50A2B" w:rsidRPr="00883AB8" w:rsidRDefault="00C50A2B" w:rsidP="00972812">
    <w:pPr>
      <w:pStyle w:val="SCV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1A94A" w14:textId="77777777" w:rsidR="00C50A2B" w:rsidRPr="00883AB8" w:rsidRDefault="000C0AE9" w:rsidP="006B337A">
    <w:pPr>
      <w:pStyle w:val="SCVheaderempty"/>
    </w:pPr>
    <w:r w:rsidRPr="00883AB8">
      <w:rPr>
        <w:noProof/>
      </w:rPr>
      <w:drawing>
        <wp:anchor distT="0" distB="0" distL="114300" distR="114300" simplePos="0" relativeHeight="251658752" behindDoc="1" locked="1" layoutInCell="1" allowOverlap="1" wp14:anchorId="5B78E34E" wp14:editId="01E81A1A">
          <wp:simplePos x="0" y="0"/>
          <wp:positionH relativeFrom="page">
            <wp:align>left</wp:align>
          </wp:positionH>
          <wp:positionV relativeFrom="page">
            <wp:align>top</wp:align>
          </wp:positionV>
          <wp:extent cx="7559640" cy="10691640"/>
          <wp:effectExtent l="0" t="0" r="3810" b="0"/>
          <wp:wrapNone/>
          <wp:docPr id="9" name="back cover" descr="Safer Care Victo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ck cover" descr="Safer Care Victoria"/>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9640" cy="10691640"/>
                  </a:xfrm>
                  <a:prstGeom prst="rect">
                    <a:avLst/>
                  </a:prstGeom>
                </pic:spPr>
              </pic:pic>
            </a:graphicData>
          </a:graphic>
          <wp14:sizeRelH relativeFrom="margin">
            <wp14:pctWidth>0</wp14:pctWidth>
          </wp14:sizeRelH>
          <wp14:sizeRelV relativeFrom="margin">
            <wp14:pctHeight>0</wp14:pctHeight>
          </wp14:sizeRelV>
        </wp:anchor>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651F6" w14:textId="77777777" w:rsidR="00C50A2B" w:rsidRPr="00883AB8" w:rsidRDefault="00F504CA" w:rsidP="00BC437C">
    <w:pPr>
      <w:pStyle w:val="SCVheaderempty"/>
    </w:pPr>
    <w:r w:rsidRPr="00883AB8">
      <w:rPr>
        <w:noProof/>
      </w:rPr>
      <w:drawing>
        <wp:anchor distT="0" distB="0" distL="114300" distR="114300" simplePos="0" relativeHeight="251657728" behindDoc="1" locked="1" layoutInCell="1" allowOverlap="1" wp14:anchorId="62E358E9" wp14:editId="3C748F99">
          <wp:simplePos x="538163" y="671513"/>
          <wp:positionH relativeFrom="page">
            <wp:align>left</wp:align>
          </wp:positionH>
          <wp:positionV relativeFrom="page">
            <wp:align>top</wp:align>
          </wp:positionV>
          <wp:extent cx="7560000" cy="10692000"/>
          <wp:effectExtent l="0" t="0" r="3175" b="0"/>
          <wp:wrapNone/>
          <wp:docPr id="7" name="back cover" descr="Safer Care Victo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ck cover" descr="Safer Care Victoria"/>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7B64C0"/>
    <w:multiLevelType w:val="multilevel"/>
    <w:tmpl w:val="B96621C2"/>
    <w:styleLink w:val="ZZPulloutbullets"/>
    <w:lvl w:ilvl="0">
      <w:start w:val="1"/>
      <w:numFmt w:val="bullet"/>
      <w:pStyle w:val="SCVpulloutbullet"/>
      <w:lvlText w:val="•"/>
      <w:lvlJc w:val="left"/>
      <w:pPr>
        <w:ind w:left="284" w:hanging="284"/>
      </w:pPr>
      <w:rPr>
        <w:rFonts w:ascii="Calibri" w:hAnsi="Calibri" w:hint="default"/>
        <w:color w:val="007586" w:themeColor="text2"/>
      </w:rPr>
    </w:lvl>
    <w:lvl w:ilvl="1">
      <w:start w:val="1"/>
      <w:numFmt w:val="none"/>
      <w:lvlRestart w:val="0"/>
      <w:lvlText w:val=""/>
      <w:lvlJc w:val="left"/>
      <w:pPr>
        <w:ind w:left="0" w:firstLine="0"/>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 w15:restartNumberingAfterBreak="0">
    <w:nsid w:val="393615B0"/>
    <w:multiLevelType w:val="multilevel"/>
    <w:tmpl w:val="F27293EC"/>
    <w:name w:val="List num2"/>
    <w:lvl w:ilvl="0">
      <w:start w:val="1"/>
      <w:numFmt w:val="decimal"/>
      <w:suff w:val="space"/>
      <w:lvlText w:val="Section %1.0"/>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right"/>
      <w:pPr>
        <w:ind w:left="0" w:firstLine="0"/>
      </w:pPr>
      <w:rPr>
        <w:rFonts w:hint="default"/>
      </w:rPr>
    </w:lvl>
  </w:abstractNum>
  <w:abstractNum w:abstractNumId="2" w15:restartNumberingAfterBreak="0">
    <w:nsid w:val="3E6C68D4"/>
    <w:multiLevelType w:val="multilevel"/>
    <w:tmpl w:val="FCC83088"/>
    <w:styleLink w:val="ZZNumbersdigit"/>
    <w:lvl w:ilvl="0">
      <w:start w:val="1"/>
      <w:numFmt w:val="decimal"/>
      <w:pStyle w:val="SCVnumberdigit"/>
      <w:lvlText w:val="%1."/>
      <w:lvlJc w:val="left"/>
      <w:pPr>
        <w:tabs>
          <w:tab w:val="num" w:pos="397"/>
        </w:tabs>
        <w:ind w:left="397" w:hanging="397"/>
      </w:pPr>
      <w:rPr>
        <w:rFonts w:cs="Times New Roman" w:hint="default"/>
      </w:rPr>
    </w:lvl>
    <w:lvl w:ilvl="1">
      <w:start w:val="1"/>
      <w:numFmt w:val="lowerLetter"/>
      <w:pStyle w:val="SCVnumberloweralphaindent"/>
      <w:lvlText w:val="%2."/>
      <w:lvlJc w:val="left"/>
      <w:pPr>
        <w:tabs>
          <w:tab w:val="num" w:pos="794"/>
        </w:tabs>
        <w:ind w:left="794" w:hanging="397"/>
      </w:pPr>
      <w:rPr>
        <w:rFonts w:cs="Times New Roman" w:hint="default"/>
      </w:rPr>
    </w:lvl>
    <w:lvl w:ilvl="2">
      <w:start w:val="1"/>
      <w:numFmt w:val="none"/>
      <w:lvlRestart w:val="0"/>
      <w:lvlText w:val=""/>
      <w:lvlJc w:val="left"/>
      <w:pPr>
        <w:ind w:left="0" w:firstLine="0"/>
      </w:pPr>
      <w:rPr>
        <w:rFonts w:hint="default"/>
        <w:color w:val="auto"/>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cs="Times New Roman" w:hint="default"/>
      </w:rPr>
    </w:lvl>
    <w:lvl w:ilvl="5">
      <w:start w:val="1"/>
      <w:numFmt w:val="none"/>
      <w:lvlRestart w:val="0"/>
      <w:lvlText w:val=""/>
      <w:lvlJc w:val="left"/>
      <w:pPr>
        <w:tabs>
          <w:tab w:val="num" w:pos="0"/>
        </w:tabs>
        <w:ind w:left="0" w:firstLine="0"/>
      </w:pPr>
      <w:rPr>
        <w:rFonts w:cs="Times New Roman" w:hint="default"/>
      </w:rPr>
    </w:lvl>
    <w:lvl w:ilvl="6">
      <w:start w:val="1"/>
      <w:numFmt w:val="none"/>
      <w:lvlRestart w:val="0"/>
      <w:lvlText w:val=""/>
      <w:lvlJc w:val="left"/>
      <w:pPr>
        <w:ind w:left="0" w:firstLine="0"/>
      </w:pPr>
      <w:rPr>
        <w:rFonts w:cs="Times New Roman" w:hint="default"/>
      </w:rPr>
    </w:lvl>
    <w:lvl w:ilvl="7">
      <w:start w:val="1"/>
      <w:numFmt w:val="none"/>
      <w:lvlRestart w:val="0"/>
      <w:lvlText w:val=""/>
      <w:lvlJc w:val="left"/>
      <w:pPr>
        <w:ind w:left="0" w:firstLine="0"/>
      </w:pPr>
      <w:rPr>
        <w:rFonts w:cs="Times New Roman" w:hint="default"/>
      </w:rPr>
    </w:lvl>
    <w:lvl w:ilvl="8">
      <w:start w:val="1"/>
      <w:numFmt w:val="none"/>
      <w:lvlRestart w:val="0"/>
      <w:lvlText w:val=""/>
      <w:lvlJc w:val="right"/>
      <w:pPr>
        <w:ind w:left="0" w:firstLine="0"/>
      </w:pPr>
      <w:rPr>
        <w:rFonts w:cs="Times New Roman" w:hint="default"/>
      </w:rPr>
    </w:lvl>
  </w:abstractNum>
  <w:abstractNum w:abstractNumId="3" w15:restartNumberingAfterBreak="0">
    <w:nsid w:val="4A8513C4"/>
    <w:multiLevelType w:val="multilevel"/>
    <w:tmpl w:val="1EF4C3C8"/>
    <w:styleLink w:val="ZZTablenumbers"/>
    <w:lvl w:ilvl="0">
      <w:start w:val="1"/>
      <w:numFmt w:val="decimal"/>
      <w:pStyle w:val="SCVtablenumber1"/>
      <w:lvlText w:val="%1."/>
      <w:lvlJc w:val="left"/>
      <w:pPr>
        <w:ind w:left="340" w:hanging="340"/>
      </w:pPr>
      <w:rPr>
        <w:rFonts w:hint="default"/>
      </w:rPr>
    </w:lvl>
    <w:lvl w:ilvl="1">
      <w:start w:val="1"/>
      <w:numFmt w:val="lowerLetter"/>
      <w:pStyle w:val="SCVtablenumber2"/>
      <w:lvlText w:val="(%2)"/>
      <w:lvlJc w:val="left"/>
      <w:pPr>
        <w:tabs>
          <w:tab w:val="num" w:pos="340"/>
        </w:tabs>
        <w:ind w:left="680" w:hanging="340"/>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4" w15:restartNumberingAfterBreak="0">
    <w:nsid w:val="541611C2"/>
    <w:multiLevelType w:val="multilevel"/>
    <w:tmpl w:val="E0D49F02"/>
    <w:styleLink w:val="ZZTablebullets"/>
    <w:lvl w:ilvl="0">
      <w:start w:val="1"/>
      <w:numFmt w:val="bullet"/>
      <w:pStyle w:val="SCVtablebullet1"/>
      <w:lvlText w:val="•"/>
      <w:lvlJc w:val="left"/>
      <w:pPr>
        <w:ind w:left="227" w:hanging="227"/>
      </w:pPr>
      <w:rPr>
        <w:rFonts w:ascii="Calibri" w:hAnsi="Calibri" w:hint="default"/>
      </w:rPr>
    </w:lvl>
    <w:lvl w:ilvl="1">
      <w:start w:val="1"/>
      <w:numFmt w:val="bullet"/>
      <w:lvlRestart w:val="0"/>
      <w:pStyle w:val="SCVtablebullet2"/>
      <w:lvlText w:val="–"/>
      <w:lvlJc w:val="left"/>
      <w:pPr>
        <w:tabs>
          <w:tab w:val="num" w:pos="227"/>
        </w:tabs>
        <w:ind w:left="454" w:hanging="227"/>
      </w:pPr>
      <w:rPr>
        <w:rFonts w:ascii="Calibri" w:hAnsi="Calibri" w:hint="default"/>
      </w:rPr>
    </w:lvl>
    <w:lvl w:ilvl="2">
      <w:start w:val="1"/>
      <w:numFmt w:val="none"/>
      <w:lvlRestart w:val="0"/>
      <w:lvlText w:val=""/>
      <w:lvlJc w:val="left"/>
      <w:rPr>
        <w:rFonts w:cs="Times New Roman" w:hint="default"/>
      </w:rPr>
    </w:lvl>
    <w:lvl w:ilvl="3">
      <w:start w:val="1"/>
      <w:numFmt w:val="none"/>
      <w:lvlRestart w:val="0"/>
      <w:lvlText w:val=""/>
      <w:lvlJc w:val="left"/>
      <w:rPr>
        <w:rFonts w:cs="Times New Roman" w:hint="default"/>
      </w:rPr>
    </w:lvl>
    <w:lvl w:ilvl="4">
      <w:start w:val="1"/>
      <w:numFmt w:val="none"/>
      <w:lvlRestart w:val="0"/>
      <w:lvlText w:val=""/>
      <w:lvlJc w:val="left"/>
      <w:rPr>
        <w:rFonts w:cs="Times New Roman" w:hint="default"/>
      </w:rPr>
    </w:lvl>
    <w:lvl w:ilvl="5">
      <w:start w:val="1"/>
      <w:numFmt w:val="none"/>
      <w:lvlRestart w:val="0"/>
      <w:lvlText w:val=""/>
      <w:lvlJc w:val="left"/>
      <w:rPr>
        <w:rFonts w:cs="Times New Roman" w:hint="default"/>
      </w:rPr>
    </w:lvl>
    <w:lvl w:ilvl="6">
      <w:start w:val="1"/>
      <w:numFmt w:val="none"/>
      <w:lvlRestart w:val="0"/>
      <w:lvlText w:val=""/>
      <w:lvlJc w:val="left"/>
      <w:rPr>
        <w:rFonts w:cs="Times New Roman" w:hint="default"/>
      </w:rPr>
    </w:lvl>
    <w:lvl w:ilvl="7">
      <w:start w:val="1"/>
      <w:numFmt w:val="none"/>
      <w:lvlRestart w:val="0"/>
      <w:lvlText w:val=""/>
      <w:lvlJc w:val="left"/>
      <w:rPr>
        <w:rFonts w:cs="Times New Roman" w:hint="default"/>
      </w:rPr>
    </w:lvl>
    <w:lvl w:ilvl="8">
      <w:start w:val="1"/>
      <w:numFmt w:val="none"/>
      <w:lvlRestart w:val="0"/>
      <w:lvlText w:val=""/>
      <w:lvlJc w:val="left"/>
      <w:rPr>
        <w:rFonts w:cs="Times New Roman" w:hint="default"/>
      </w:rPr>
    </w:lvl>
  </w:abstractNum>
  <w:abstractNum w:abstractNumId="5" w15:restartNumberingAfterBreak="0">
    <w:nsid w:val="61320433"/>
    <w:multiLevelType w:val="multilevel"/>
    <w:tmpl w:val="69C2D2B4"/>
    <w:styleLink w:val="ZZBullets"/>
    <w:lvl w:ilvl="0">
      <w:start w:val="1"/>
      <w:numFmt w:val="bullet"/>
      <w:pStyle w:val="SCVbullet1"/>
      <w:lvlText w:val=""/>
      <w:lvlJc w:val="left"/>
      <w:pPr>
        <w:ind w:left="284" w:hanging="284"/>
      </w:pPr>
      <w:rPr>
        <w:rFonts w:ascii="Wingdings 2" w:hAnsi="Wingdings 2" w:hint="default"/>
        <w:color w:val="004C97" w:themeColor="accent4"/>
        <w:position w:val="2"/>
        <w:sz w:val="16"/>
      </w:rPr>
    </w:lvl>
    <w:lvl w:ilvl="1">
      <w:start w:val="1"/>
      <w:numFmt w:val="bullet"/>
      <w:pStyle w:val="SCVbullet2"/>
      <w:lvlText w:val="–"/>
      <w:lvlJc w:val="left"/>
      <w:pPr>
        <w:tabs>
          <w:tab w:val="num" w:pos="284"/>
        </w:tabs>
        <w:ind w:left="567" w:hanging="283"/>
      </w:pPr>
      <w:rPr>
        <w:rFonts w:ascii="Arial Black" w:hAnsi="Arial Black"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6" w15:restartNumberingAfterBreak="0">
    <w:nsid w:val="6309259F"/>
    <w:multiLevelType w:val="multilevel"/>
    <w:tmpl w:val="172684E6"/>
    <w:styleLink w:val="ZZQuotebullets"/>
    <w:lvl w:ilvl="0">
      <w:start w:val="1"/>
      <w:numFmt w:val="bullet"/>
      <w:pStyle w:val="SCVquotebullet1"/>
      <w:lvlText w:val="•"/>
      <w:lvlJc w:val="left"/>
      <w:pPr>
        <w:ind w:left="680" w:hanging="283"/>
      </w:pPr>
      <w:rPr>
        <w:rFonts w:ascii="Calibri" w:hAnsi="Calibri" w:hint="default"/>
        <w:color w:val="007586" w:themeColor="text2"/>
      </w:rPr>
    </w:lvl>
    <w:lvl w:ilvl="1">
      <w:start w:val="1"/>
      <w:numFmt w:val="bullet"/>
      <w:lvlRestart w:val="0"/>
      <w:pStyle w:val="SCVquotebullet2"/>
      <w:lvlText w:val="–"/>
      <w:lvlJc w:val="left"/>
      <w:pPr>
        <w:ind w:left="964" w:hanging="284"/>
      </w:pPr>
      <w:rPr>
        <w:rFonts w:ascii="Calibri" w:hAnsi="Calibri" w:hint="default"/>
        <w:color w:val="007586" w:themeColor="text2"/>
      </w:rPr>
    </w:lvl>
    <w:lvl w:ilvl="2">
      <w:start w:val="1"/>
      <w:numFmt w:val="none"/>
      <w:lvlRestart w:val="0"/>
      <w:lvlText w:val=""/>
      <w:lvlJc w:val="left"/>
      <w:pPr>
        <w:ind w:left="0" w:firstLine="0"/>
      </w:pPr>
      <w:rPr>
        <w:rFonts w:cs="Times New Roman" w:hint="default"/>
      </w:rPr>
    </w:lvl>
    <w:lvl w:ilvl="3">
      <w:start w:val="1"/>
      <w:numFmt w:val="none"/>
      <w:lvlRestart w:val="0"/>
      <w:lvlText w:val=""/>
      <w:lvlJc w:val="left"/>
      <w:pPr>
        <w:ind w:left="0" w:firstLine="0"/>
      </w:pPr>
      <w:rPr>
        <w:rFonts w:cs="Times New Roman" w:hint="default"/>
      </w:rPr>
    </w:lvl>
    <w:lvl w:ilvl="4">
      <w:start w:val="1"/>
      <w:numFmt w:val="none"/>
      <w:lvlRestart w:val="0"/>
      <w:lvlText w:val=""/>
      <w:lvlJc w:val="left"/>
      <w:pPr>
        <w:ind w:left="0" w:firstLine="0"/>
      </w:pPr>
      <w:rPr>
        <w:rFonts w:cs="Times New Roman" w:hint="default"/>
      </w:rPr>
    </w:lvl>
    <w:lvl w:ilvl="5">
      <w:start w:val="1"/>
      <w:numFmt w:val="none"/>
      <w:lvlRestart w:val="0"/>
      <w:lvlText w:val=""/>
      <w:lvlJc w:val="left"/>
      <w:pPr>
        <w:ind w:left="0" w:firstLine="0"/>
      </w:pPr>
      <w:rPr>
        <w:rFonts w:cs="Times New Roman" w:hint="default"/>
      </w:rPr>
    </w:lvl>
    <w:lvl w:ilvl="6">
      <w:start w:val="1"/>
      <w:numFmt w:val="none"/>
      <w:lvlRestart w:val="0"/>
      <w:lvlText w:val=""/>
      <w:lvlJc w:val="left"/>
      <w:pPr>
        <w:ind w:left="0" w:firstLine="0"/>
      </w:pPr>
      <w:rPr>
        <w:rFonts w:cs="Times New Roman" w:hint="default"/>
      </w:rPr>
    </w:lvl>
    <w:lvl w:ilvl="7">
      <w:start w:val="1"/>
      <w:numFmt w:val="none"/>
      <w:lvlRestart w:val="0"/>
      <w:lvlText w:val=""/>
      <w:lvlJc w:val="left"/>
      <w:pPr>
        <w:ind w:left="0" w:firstLine="0"/>
      </w:pPr>
      <w:rPr>
        <w:rFonts w:cs="Times New Roman" w:hint="default"/>
      </w:rPr>
    </w:lvl>
    <w:lvl w:ilvl="8">
      <w:start w:val="1"/>
      <w:numFmt w:val="none"/>
      <w:lvlRestart w:val="0"/>
      <w:lvlText w:val=""/>
      <w:lvlJc w:val="left"/>
      <w:pPr>
        <w:ind w:left="0" w:firstLine="0"/>
      </w:pPr>
      <w:rPr>
        <w:rFonts w:cs="Times New Roman" w:hint="default"/>
      </w:rPr>
    </w:lvl>
  </w:abstractNum>
  <w:abstractNum w:abstractNumId="7" w15:restartNumberingAfterBreak="0">
    <w:nsid w:val="79F619B4"/>
    <w:multiLevelType w:val="multilevel"/>
    <w:tmpl w:val="32A667BE"/>
    <w:styleLink w:val="ZZBulletsafternumbers"/>
    <w:lvl w:ilvl="0">
      <w:start w:val="1"/>
      <w:numFmt w:val="none"/>
      <w:lvlText w:val=""/>
      <w:lvlJc w:val="left"/>
      <w:pPr>
        <w:ind w:left="0" w:firstLine="0"/>
      </w:pPr>
      <w:rPr>
        <w:rFonts w:hint="default"/>
      </w:rPr>
    </w:lvl>
    <w:lvl w:ilvl="1">
      <w:start w:val="1"/>
      <w:numFmt w:val="bullet"/>
      <w:lvlRestart w:val="0"/>
      <w:pStyle w:val="SCVbulletafternumbers"/>
      <w:lvlText w:val="•"/>
      <w:lvlJc w:val="left"/>
      <w:pPr>
        <w:ind w:left="794" w:hanging="39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8" w15:restartNumberingAfterBreak="0">
    <w:nsid w:val="7FD44514"/>
    <w:multiLevelType w:val="multilevel"/>
    <w:tmpl w:val="457635A8"/>
    <w:name w:val="List num"/>
    <w:lvl w:ilvl="0">
      <w:start w:val="1"/>
      <w:numFmt w:val="lowerLetter"/>
      <w:lvlText w:val="(%1)"/>
      <w:lvlJc w:val="left"/>
      <w:pPr>
        <w:ind w:left="397" w:hanging="397"/>
      </w:pPr>
      <w:rPr>
        <w:rFonts w:hint="default"/>
      </w:rPr>
    </w:lvl>
    <w:lvl w:ilvl="1">
      <w:start w:val="1"/>
      <w:numFmt w:val="lowerRoman"/>
      <w:lvlText w:val="(%2)"/>
      <w:lvlJc w:val="left"/>
      <w:pPr>
        <w:ind w:left="794" w:hanging="397"/>
      </w:pPr>
      <w:rPr>
        <w:rFonts w:hint="default"/>
      </w:rPr>
    </w:lvl>
    <w:lvl w:ilvl="2">
      <w:start w:val="1"/>
      <w:numFmt w:val="decimal"/>
      <w:lvlText w:val="(%3)"/>
      <w:lvlJc w:val="left"/>
      <w:pPr>
        <w:ind w:left="1191" w:hanging="397"/>
      </w:pPr>
      <w:rPr>
        <w:rFonts w:hint="default"/>
      </w:rPr>
    </w:lvl>
    <w:lvl w:ilvl="3">
      <w:start w:val="1"/>
      <w:numFmt w:val="upperLetter"/>
      <w:lvlText w:val="(%4)"/>
      <w:lvlJc w:val="left"/>
      <w:pPr>
        <w:ind w:left="1588" w:hanging="397"/>
      </w:pPr>
      <w:rPr>
        <w:rFonts w:hint="default"/>
      </w:rPr>
    </w:lvl>
    <w:lvl w:ilvl="4">
      <w:start w:val="1"/>
      <w:numFmt w:val="upperRoman"/>
      <w:lvlRestart w:val="1"/>
      <w:lvlText w:val="(%5)"/>
      <w:lvlJc w:val="left"/>
      <w:pPr>
        <w:ind w:left="1985" w:hanging="397"/>
      </w:pPr>
      <w:rPr>
        <w:rFonts w:hint="default"/>
      </w:rPr>
    </w:lvl>
    <w:lvl w:ilvl="5">
      <w:start w:val="1"/>
      <w:numFmt w:val="decimal"/>
      <w:lvlText w:val="%3.%4.%5.%6"/>
      <w:lvlJc w:val="left"/>
      <w:pPr>
        <w:tabs>
          <w:tab w:val="num" w:pos="2345"/>
        </w:tabs>
        <w:ind w:left="2382" w:hanging="397"/>
      </w:pPr>
      <w:rPr>
        <w:rFonts w:hint="default"/>
      </w:rPr>
    </w:lvl>
    <w:lvl w:ilvl="6">
      <w:start w:val="1"/>
      <w:numFmt w:val="lowerLetter"/>
      <w:lvlText w:val="(%7)"/>
      <w:lvlJc w:val="left"/>
      <w:pPr>
        <w:tabs>
          <w:tab w:val="num" w:pos="2742"/>
        </w:tabs>
        <w:ind w:left="2779" w:hanging="397"/>
      </w:pPr>
      <w:rPr>
        <w:rFonts w:hint="default"/>
      </w:rPr>
    </w:lvl>
    <w:lvl w:ilvl="7">
      <w:start w:val="1"/>
      <w:numFmt w:val="lowerRoman"/>
      <w:lvlText w:val="(%8)"/>
      <w:lvlJc w:val="left"/>
      <w:pPr>
        <w:tabs>
          <w:tab w:val="num" w:pos="3139"/>
        </w:tabs>
        <w:ind w:left="3176" w:hanging="397"/>
      </w:pPr>
      <w:rPr>
        <w:rFonts w:hint="default"/>
      </w:rPr>
    </w:lvl>
    <w:lvl w:ilvl="8">
      <w:start w:val="1"/>
      <w:numFmt w:val="decimal"/>
      <w:lvlText w:val="%9."/>
      <w:lvlJc w:val="left"/>
      <w:pPr>
        <w:tabs>
          <w:tab w:val="num" w:pos="3536"/>
        </w:tabs>
        <w:ind w:left="3573" w:hanging="397"/>
      </w:pPr>
      <w:rPr>
        <w:rFonts w:hint="default"/>
      </w:rPr>
    </w:lvl>
  </w:abstractNum>
  <w:num w:numId="1" w16cid:durableId="1621108930">
    <w:abstractNumId w:val="5"/>
  </w:num>
  <w:num w:numId="2" w16cid:durableId="1063065423">
    <w:abstractNumId w:val="7"/>
  </w:num>
  <w:num w:numId="3" w16cid:durableId="619068380">
    <w:abstractNumId w:val="2"/>
  </w:num>
  <w:num w:numId="4" w16cid:durableId="2077970326">
    <w:abstractNumId w:val="0"/>
  </w:num>
  <w:num w:numId="5" w16cid:durableId="214857171">
    <w:abstractNumId w:val="6"/>
  </w:num>
  <w:num w:numId="6" w16cid:durableId="942227480">
    <w:abstractNumId w:val="4"/>
  </w:num>
  <w:num w:numId="7" w16cid:durableId="454442711">
    <w:abstractNumId w:val="3"/>
  </w:num>
  <w:num w:numId="8" w16cid:durableId="691152345">
    <w:abstractNumId w:val="5"/>
  </w:num>
  <w:num w:numId="9" w16cid:durableId="342711146">
    <w:abstractNumId w:val="7"/>
  </w:num>
  <w:num w:numId="10" w16cid:durableId="2136482407">
    <w:abstractNumId w:val="2"/>
  </w:num>
  <w:num w:numId="11" w16cid:durableId="1538196686">
    <w:abstractNumId w:val="0"/>
  </w:num>
  <w:num w:numId="12" w16cid:durableId="747188045">
    <w:abstractNumId w:val="6"/>
  </w:num>
  <w:num w:numId="13" w16cid:durableId="679895889">
    <w:abstractNumId w:val="4"/>
  </w:num>
  <w:num w:numId="14" w16cid:durableId="1742143863">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displayBackgroundShape/>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365"/>
    <w:rsid w:val="00012F6F"/>
    <w:rsid w:val="00014213"/>
    <w:rsid w:val="00014B55"/>
    <w:rsid w:val="00020E3E"/>
    <w:rsid w:val="0002328B"/>
    <w:rsid w:val="00023BF3"/>
    <w:rsid w:val="00026811"/>
    <w:rsid w:val="0004185E"/>
    <w:rsid w:val="0004698F"/>
    <w:rsid w:val="000477DC"/>
    <w:rsid w:val="00053702"/>
    <w:rsid w:val="00056988"/>
    <w:rsid w:val="00072279"/>
    <w:rsid w:val="00075E6C"/>
    <w:rsid w:val="00081C12"/>
    <w:rsid w:val="00086965"/>
    <w:rsid w:val="00086DB5"/>
    <w:rsid w:val="00087D42"/>
    <w:rsid w:val="000A2620"/>
    <w:rsid w:val="000B29AD"/>
    <w:rsid w:val="000B7B42"/>
    <w:rsid w:val="000C0572"/>
    <w:rsid w:val="000C0AE9"/>
    <w:rsid w:val="000C6372"/>
    <w:rsid w:val="000D7841"/>
    <w:rsid w:val="000E392D"/>
    <w:rsid w:val="000E39B6"/>
    <w:rsid w:val="000E3D05"/>
    <w:rsid w:val="000F4288"/>
    <w:rsid w:val="000F7165"/>
    <w:rsid w:val="00100361"/>
    <w:rsid w:val="00101212"/>
    <w:rsid w:val="00102379"/>
    <w:rsid w:val="00103722"/>
    <w:rsid w:val="00105EB8"/>
    <w:rsid w:val="001065D6"/>
    <w:rsid w:val="001068D5"/>
    <w:rsid w:val="00121252"/>
    <w:rsid w:val="00124609"/>
    <w:rsid w:val="001254CE"/>
    <w:rsid w:val="001422CC"/>
    <w:rsid w:val="00142CC3"/>
    <w:rsid w:val="00145346"/>
    <w:rsid w:val="00150333"/>
    <w:rsid w:val="001578BF"/>
    <w:rsid w:val="00160CF0"/>
    <w:rsid w:val="001617B6"/>
    <w:rsid w:val="00165E66"/>
    <w:rsid w:val="00174F38"/>
    <w:rsid w:val="001849FD"/>
    <w:rsid w:val="0019351B"/>
    <w:rsid w:val="00194B79"/>
    <w:rsid w:val="00196143"/>
    <w:rsid w:val="001A24FC"/>
    <w:rsid w:val="001B4ED1"/>
    <w:rsid w:val="001C56A8"/>
    <w:rsid w:val="001C7BAE"/>
    <w:rsid w:val="001E31FA"/>
    <w:rsid w:val="001E48F9"/>
    <w:rsid w:val="001E64F6"/>
    <w:rsid w:val="001E6D3B"/>
    <w:rsid w:val="001E7AEB"/>
    <w:rsid w:val="00204B82"/>
    <w:rsid w:val="00205C68"/>
    <w:rsid w:val="00222BEB"/>
    <w:rsid w:val="00223217"/>
    <w:rsid w:val="00225E60"/>
    <w:rsid w:val="00230BBB"/>
    <w:rsid w:val="0023202C"/>
    <w:rsid w:val="00234253"/>
    <w:rsid w:val="00234619"/>
    <w:rsid w:val="00245043"/>
    <w:rsid w:val="002512AC"/>
    <w:rsid w:val="0025578B"/>
    <w:rsid w:val="002570BD"/>
    <w:rsid w:val="0026028E"/>
    <w:rsid w:val="00267D39"/>
    <w:rsid w:val="00270CF7"/>
    <w:rsid w:val="00272EC4"/>
    <w:rsid w:val="00276717"/>
    <w:rsid w:val="00282118"/>
    <w:rsid w:val="00284FA2"/>
    <w:rsid w:val="00286657"/>
    <w:rsid w:val="00292D36"/>
    <w:rsid w:val="00294A5A"/>
    <w:rsid w:val="00297281"/>
    <w:rsid w:val="00297A47"/>
    <w:rsid w:val="002A2C0A"/>
    <w:rsid w:val="002A4AD5"/>
    <w:rsid w:val="002A5891"/>
    <w:rsid w:val="002B03F1"/>
    <w:rsid w:val="002B5E2B"/>
    <w:rsid w:val="002B6DAA"/>
    <w:rsid w:val="002B7156"/>
    <w:rsid w:val="002D6F3C"/>
    <w:rsid w:val="002D70F7"/>
    <w:rsid w:val="002D711A"/>
    <w:rsid w:val="002D7336"/>
    <w:rsid w:val="002E3396"/>
    <w:rsid w:val="002E7B2B"/>
    <w:rsid w:val="002F2953"/>
    <w:rsid w:val="002F4173"/>
    <w:rsid w:val="00303E66"/>
    <w:rsid w:val="0031149C"/>
    <w:rsid w:val="00315B8F"/>
    <w:rsid w:val="00316FC9"/>
    <w:rsid w:val="00325E21"/>
    <w:rsid w:val="0033072D"/>
    <w:rsid w:val="00345B45"/>
    <w:rsid w:val="00345F0B"/>
    <w:rsid w:val="00350441"/>
    <w:rsid w:val="00354D98"/>
    <w:rsid w:val="0036778F"/>
    <w:rsid w:val="003719AF"/>
    <w:rsid w:val="00372B41"/>
    <w:rsid w:val="00384E2F"/>
    <w:rsid w:val="0038771C"/>
    <w:rsid w:val="003A24F9"/>
    <w:rsid w:val="003A430B"/>
    <w:rsid w:val="003A541A"/>
    <w:rsid w:val="003A6923"/>
    <w:rsid w:val="003B5C01"/>
    <w:rsid w:val="003C2C67"/>
    <w:rsid w:val="003C2D4C"/>
    <w:rsid w:val="003C3B3A"/>
    <w:rsid w:val="003C5BA4"/>
    <w:rsid w:val="003E3E26"/>
    <w:rsid w:val="003F1295"/>
    <w:rsid w:val="003F5102"/>
    <w:rsid w:val="003F76FC"/>
    <w:rsid w:val="004002EB"/>
    <w:rsid w:val="00407A79"/>
    <w:rsid w:val="004108A6"/>
    <w:rsid w:val="00422DDC"/>
    <w:rsid w:val="004231B5"/>
    <w:rsid w:val="004236C8"/>
    <w:rsid w:val="00427681"/>
    <w:rsid w:val="00433DB7"/>
    <w:rsid w:val="0043696B"/>
    <w:rsid w:val="00453750"/>
    <w:rsid w:val="00456941"/>
    <w:rsid w:val="00463C5A"/>
    <w:rsid w:val="004702EA"/>
    <w:rsid w:val="00472DF8"/>
    <w:rsid w:val="004777DB"/>
    <w:rsid w:val="0048259C"/>
    <w:rsid w:val="00482D02"/>
    <w:rsid w:val="00484326"/>
    <w:rsid w:val="00486A13"/>
    <w:rsid w:val="00490369"/>
    <w:rsid w:val="00497EB0"/>
    <w:rsid w:val="004A7519"/>
    <w:rsid w:val="004B64B1"/>
    <w:rsid w:val="004D01AC"/>
    <w:rsid w:val="004D1ADA"/>
    <w:rsid w:val="004D3518"/>
    <w:rsid w:val="004D62D6"/>
    <w:rsid w:val="004D6898"/>
    <w:rsid w:val="004D7778"/>
    <w:rsid w:val="004E0327"/>
    <w:rsid w:val="004F2019"/>
    <w:rsid w:val="004F3F4E"/>
    <w:rsid w:val="004F7830"/>
    <w:rsid w:val="00501DA9"/>
    <w:rsid w:val="005079B2"/>
    <w:rsid w:val="00510167"/>
    <w:rsid w:val="00511E12"/>
    <w:rsid w:val="00513E86"/>
    <w:rsid w:val="00514668"/>
    <w:rsid w:val="00514D56"/>
    <w:rsid w:val="00515958"/>
    <w:rsid w:val="00523E77"/>
    <w:rsid w:val="005306A2"/>
    <w:rsid w:val="0053416C"/>
    <w:rsid w:val="005365C7"/>
    <w:rsid w:val="005416D7"/>
    <w:rsid w:val="00541C2F"/>
    <w:rsid w:val="005450D9"/>
    <w:rsid w:val="00547A71"/>
    <w:rsid w:val="00552DE4"/>
    <w:rsid w:val="005619BB"/>
    <w:rsid w:val="00563527"/>
    <w:rsid w:val="0057407A"/>
    <w:rsid w:val="00576382"/>
    <w:rsid w:val="00576C30"/>
    <w:rsid w:val="0058124E"/>
    <w:rsid w:val="005848A5"/>
    <w:rsid w:val="005875A3"/>
    <w:rsid w:val="0059267A"/>
    <w:rsid w:val="00593A04"/>
    <w:rsid w:val="005953EA"/>
    <w:rsid w:val="005A3416"/>
    <w:rsid w:val="005B15DE"/>
    <w:rsid w:val="005B27FE"/>
    <w:rsid w:val="005B371A"/>
    <w:rsid w:val="005B4A0B"/>
    <w:rsid w:val="005B73C5"/>
    <w:rsid w:val="005B76DF"/>
    <w:rsid w:val="005B79CB"/>
    <w:rsid w:val="005C04F0"/>
    <w:rsid w:val="005C07D3"/>
    <w:rsid w:val="005C12A8"/>
    <w:rsid w:val="005E08D7"/>
    <w:rsid w:val="005E4C16"/>
    <w:rsid w:val="005E57E1"/>
    <w:rsid w:val="005E5947"/>
    <w:rsid w:val="005F19C6"/>
    <w:rsid w:val="005F61DF"/>
    <w:rsid w:val="0060163A"/>
    <w:rsid w:val="006023F9"/>
    <w:rsid w:val="006034F7"/>
    <w:rsid w:val="00610559"/>
    <w:rsid w:val="00614076"/>
    <w:rsid w:val="00616087"/>
    <w:rsid w:val="00617BB5"/>
    <w:rsid w:val="006208C4"/>
    <w:rsid w:val="00627FEB"/>
    <w:rsid w:val="00632F2E"/>
    <w:rsid w:val="006332F6"/>
    <w:rsid w:val="00633C69"/>
    <w:rsid w:val="006413F2"/>
    <w:rsid w:val="00645E9B"/>
    <w:rsid w:val="006534B2"/>
    <w:rsid w:val="0065615D"/>
    <w:rsid w:val="00657011"/>
    <w:rsid w:val="006650B5"/>
    <w:rsid w:val="006651B1"/>
    <w:rsid w:val="00665778"/>
    <w:rsid w:val="006664BB"/>
    <w:rsid w:val="006668EF"/>
    <w:rsid w:val="00676E5F"/>
    <w:rsid w:val="006945CA"/>
    <w:rsid w:val="006A3309"/>
    <w:rsid w:val="006A3A5A"/>
    <w:rsid w:val="006A5B34"/>
    <w:rsid w:val="006B337A"/>
    <w:rsid w:val="006C140F"/>
    <w:rsid w:val="006C77A9"/>
    <w:rsid w:val="006D4720"/>
    <w:rsid w:val="006D5B85"/>
    <w:rsid w:val="006E6CDF"/>
    <w:rsid w:val="006E7C80"/>
    <w:rsid w:val="006F37F2"/>
    <w:rsid w:val="006F6693"/>
    <w:rsid w:val="006F6FC0"/>
    <w:rsid w:val="00704EAC"/>
    <w:rsid w:val="007056BA"/>
    <w:rsid w:val="00707FE8"/>
    <w:rsid w:val="00714AAE"/>
    <w:rsid w:val="00724962"/>
    <w:rsid w:val="00724A0F"/>
    <w:rsid w:val="00726D2F"/>
    <w:rsid w:val="00736732"/>
    <w:rsid w:val="00740019"/>
    <w:rsid w:val="007432F9"/>
    <w:rsid w:val="00746426"/>
    <w:rsid w:val="00750BF9"/>
    <w:rsid w:val="00750CBE"/>
    <w:rsid w:val="007643B0"/>
    <w:rsid w:val="007650D2"/>
    <w:rsid w:val="00766B5A"/>
    <w:rsid w:val="00767B8C"/>
    <w:rsid w:val="00772209"/>
    <w:rsid w:val="00773BDA"/>
    <w:rsid w:val="007770A5"/>
    <w:rsid w:val="007834F2"/>
    <w:rsid w:val="0078432C"/>
    <w:rsid w:val="00791020"/>
    <w:rsid w:val="00796484"/>
    <w:rsid w:val="007A04D2"/>
    <w:rsid w:val="007A5F82"/>
    <w:rsid w:val="007B19B7"/>
    <w:rsid w:val="007B519D"/>
    <w:rsid w:val="007B55C7"/>
    <w:rsid w:val="007D5F9E"/>
    <w:rsid w:val="007D6713"/>
    <w:rsid w:val="007E098F"/>
    <w:rsid w:val="007E3BA2"/>
    <w:rsid w:val="007F1A4C"/>
    <w:rsid w:val="007F723F"/>
    <w:rsid w:val="008022C3"/>
    <w:rsid w:val="008039B1"/>
    <w:rsid w:val="008041E6"/>
    <w:rsid w:val="008065D2"/>
    <w:rsid w:val="00815A8A"/>
    <w:rsid w:val="0082194C"/>
    <w:rsid w:val="008222FF"/>
    <w:rsid w:val="008241FF"/>
    <w:rsid w:val="00827454"/>
    <w:rsid w:val="0083539D"/>
    <w:rsid w:val="00836CC9"/>
    <w:rsid w:val="008411E9"/>
    <w:rsid w:val="008412FD"/>
    <w:rsid w:val="00841617"/>
    <w:rsid w:val="0084200F"/>
    <w:rsid w:val="00843B2C"/>
    <w:rsid w:val="00844F16"/>
    <w:rsid w:val="00847745"/>
    <w:rsid w:val="00853726"/>
    <w:rsid w:val="00855FF9"/>
    <w:rsid w:val="0086277A"/>
    <w:rsid w:val="00863C90"/>
    <w:rsid w:val="00865A5B"/>
    <w:rsid w:val="008668A8"/>
    <w:rsid w:val="008719DF"/>
    <w:rsid w:val="008768AD"/>
    <w:rsid w:val="00880AC4"/>
    <w:rsid w:val="00883AB8"/>
    <w:rsid w:val="00896E1B"/>
    <w:rsid w:val="00897447"/>
    <w:rsid w:val="008A4900"/>
    <w:rsid w:val="008A55FE"/>
    <w:rsid w:val="008B07D2"/>
    <w:rsid w:val="008B146D"/>
    <w:rsid w:val="008B42AD"/>
    <w:rsid w:val="008B5666"/>
    <w:rsid w:val="008D0281"/>
    <w:rsid w:val="008D6AEE"/>
    <w:rsid w:val="008E2348"/>
    <w:rsid w:val="008E347D"/>
    <w:rsid w:val="008E4DFC"/>
    <w:rsid w:val="008E69C2"/>
    <w:rsid w:val="008F04C8"/>
    <w:rsid w:val="008F6D45"/>
    <w:rsid w:val="00903F5A"/>
    <w:rsid w:val="00903F81"/>
    <w:rsid w:val="00905E6A"/>
    <w:rsid w:val="00907FF7"/>
    <w:rsid w:val="00916FB6"/>
    <w:rsid w:val="00920E37"/>
    <w:rsid w:val="00922944"/>
    <w:rsid w:val="00926FDC"/>
    <w:rsid w:val="00931FD9"/>
    <w:rsid w:val="00934C41"/>
    <w:rsid w:val="00936479"/>
    <w:rsid w:val="00937A10"/>
    <w:rsid w:val="009464B0"/>
    <w:rsid w:val="00947A0F"/>
    <w:rsid w:val="009579EA"/>
    <w:rsid w:val="00966115"/>
    <w:rsid w:val="00972812"/>
    <w:rsid w:val="009834C0"/>
    <w:rsid w:val="00986AAC"/>
    <w:rsid w:val="009905FA"/>
    <w:rsid w:val="00995259"/>
    <w:rsid w:val="00995526"/>
    <w:rsid w:val="009A0E50"/>
    <w:rsid w:val="009A1DA2"/>
    <w:rsid w:val="009A35AA"/>
    <w:rsid w:val="009A3704"/>
    <w:rsid w:val="009A4739"/>
    <w:rsid w:val="009A674F"/>
    <w:rsid w:val="009A6D22"/>
    <w:rsid w:val="009B199C"/>
    <w:rsid w:val="009B1EB1"/>
    <w:rsid w:val="009B3849"/>
    <w:rsid w:val="009B5979"/>
    <w:rsid w:val="009B61F1"/>
    <w:rsid w:val="009B62E0"/>
    <w:rsid w:val="009C3D88"/>
    <w:rsid w:val="009E0ECD"/>
    <w:rsid w:val="009E1651"/>
    <w:rsid w:val="009E3858"/>
    <w:rsid w:val="009E467D"/>
    <w:rsid w:val="009E70DD"/>
    <w:rsid w:val="009F2ED9"/>
    <w:rsid w:val="009F3231"/>
    <w:rsid w:val="009F5C58"/>
    <w:rsid w:val="00A023A0"/>
    <w:rsid w:val="00A034F7"/>
    <w:rsid w:val="00A05EBC"/>
    <w:rsid w:val="00A1562B"/>
    <w:rsid w:val="00A170F4"/>
    <w:rsid w:val="00A21408"/>
    <w:rsid w:val="00A21CFD"/>
    <w:rsid w:val="00A23BA4"/>
    <w:rsid w:val="00A25B78"/>
    <w:rsid w:val="00A27B01"/>
    <w:rsid w:val="00A400CC"/>
    <w:rsid w:val="00A40495"/>
    <w:rsid w:val="00A45CB0"/>
    <w:rsid w:val="00A46288"/>
    <w:rsid w:val="00A46BA8"/>
    <w:rsid w:val="00A47634"/>
    <w:rsid w:val="00A5220C"/>
    <w:rsid w:val="00A612FE"/>
    <w:rsid w:val="00A66F4D"/>
    <w:rsid w:val="00A703B3"/>
    <w:rsid w:val="00A70B49"/>
    <w:rsid w:val="00A70DDC"/>
    <w:rsid w:val="00A740D4"/>
    <w:rsid w:val="00A7627B"/>
    <w:rsid w:val="00A8084F"/>
    <w:rsid w:val="00A92D94"/>
    <w:rsid w:val="00AA26B8"/>
    <w:rsid w:val="00AA4288"/>
    <w:rsid w:val="00AA4907"/>
    <w:rsid w:val="00AB1B76"/>
    <w:rsid w:val="00AB24E4"/>
    <w:rsid w:val="00AB3912"/>
    <w:rsid w:val="00AC0B87"/>
    <w:rsid w:val="00AC2624"/>
    <w:rsid w:val="00AC32A8"/>
    <w:rsid w:val="00AD1351"/>
    <w:rsid w:val="00AD4528"/>
    <w:rsid w:val="00AD7E4E"/>
    <w:rsid w:val="00AE271D"/>
    <w:rsid w:val="00AF4D58"/>
    <w:rsid w:val="00AF6666"/>
    <w:rsid w:val="00AF7BC5"/>
    <w:rsid w:val="00AF7CC3"/>
    <w:rsid w:val="00B01B15"/>
    <w:rsid w:val="00B116E3"/>
    <w:rsid w:val="00B15592"/>
    <w:rsid w:val="00B16D2B"/>
    <w:rsid w:val="00B23AE9"/>
    <w:rsid w:val="00B30EBB"/>
    <w:rsid w:val="00B37FF8"/>
    <w:rsid w:val="00B41DEC"/>
    <w:rsid w:val="00B437FA"/>
    <w:rsid w:val="00B515DB"/>
    <w:rsid w:val="00B556E1"/>
    <w:rsid w:val="00B673BB"/>
    <w:rsid w:val="00B73B9C"/>
    <w:rsid w:val="00B81B44"/>
    <w:rsid w:val="00B86B35"/>
    <w:rsid w:val="00B9053B"/>
    <w:rsid w:val="00B9059E"/>
    <w:rsid w:val="00B96317"/>
    <w:rsid w:val="00B9777C"/>
    <w:rsid w:val="00BA0C37"/>
    <w:rsid w:val="00BA3782"/>
    <w:rsid w:val="00BA5BEB"/>
    <w:rsid w:val="00BB4D98"/>
    <w:rsid w:val="00BB4EBF"/>
    <w:rsid w:val="00BB59E0"/>
    <w:rsid w:val="00BB7DF0"/>
    <w:rsid w:val="00BC2F33"/>
    <w:rsid w:val="00BC3422"/>
    <w:rsid w:val="00BC437C"/>
    <w:rsid w:val="00BC6E19"/>
    <w:rsid w:val="00BD05FA"/>
    <w:rsid w:val="00BD0B31"/>
    <w:rsid w:val="00BD4376"/>
    <w:rsid w:val="00BD4FF1"/>
    <w:rsid w:val="00BD5018"/>
    <w:rsid w:val="00BE1608"/>
    <w:rsid w:val="00BE4EDC"/>
    <w:rsid w:val="00BE5ADC"/>
    <w:rsid w:val="00BE7A19"/>
    <w:rsid w:val="00BF4F96"/>
    <w:rsid w:val="00C015B9"/>
    <w:rsid w:val="00C022F9"/>
    <w:rsid w:val="00C032EA"/>
    <w:rsid w:val="00C06EB5"/>
    <w:rsid w:val="00C1145F"/>
    <w:rsid w:val="00C11CD1"/>
    <w:rsid w:val="00C15701"/>
    <w:rsid w:val="00C258F2"/>
    <w:rsid w:val="00C2715F"/>
    <w:rsid w:val="00C32D49"/>
    <w:rsid w:val="00C33AD3"/>
    <w:rsid w:val="00C41B3C"/>
    <w:rsid w:val="00C43F06"/>
    <w:rsid w:val="00C45702"/>
    <w:rsid w:val="00C47503"/>
    <w:rsid w:val="00C50A2B"/>
    <w:rsid w:val="00C51C01"/>
    <w:rsid w:val="00C539DC"/>
    <w:rsid w:val="00C637E1"/>
    <w:rsid w:val="00C67EAC"/>
    <w:rsid w:val="00C70D50"/>
    <w:rsid w:val="00C710CE"/>
    <w:rsid w:val="00C72252"/>
    <w:rsid w:val="00C81050"/>
    <w:rsid w:val="00C907D7"/>
    <w:rsid w:val="00C92338"/>
    <w:rsid w:val="00C95E66"/>
    <w:rsid w:val="00C96051"/>
    <w:rsid w:val="00C97B86"/>
    <w:rsid w:val="00CA05DC"/>
    <w:rsid w:val="00CA7B47"/>
    <w:rsid w:val="00CB1DD6"/>
    <w:rsid w:val="00CB3976"/>
    <w:rsid w:val="00CB441A"/>
    <w:rsid w:val="00CC6087"/>
    <w:rsid w:val="00CD0307"/>
    <w:rsid w:val="00CD3D1B"/>
    <w:rsid w:val="00CD4FAF"/>
    <w:rsid w:val="00CE083F"/>
    <w:rsid w:val="00CF2474"/>
    <w:rsid w:val="00CF6EC4"/>
    <w:rsid w:val="00D02663"/>
    <w:rsid w:val="00D0633E"/>
    <w:rsid w:val="00D12E74"/>
    <w:rsid w:val="00D15955"/>
    <w:rsid w:val="00D20B14"/>
    <w:rsid w:val="00D2312F"/>
    <w:rsid w:val="00D23B04"/>
    <w:rsid w:val="00D269C1"/>
    <w:rsid w:val="00D27944"/>
    <w:rsid w:val="00D40D8B"/>
    <w:rsid w:val="00D41B2F"/>
    <w:rsid w:val="00D44953"/>
    <w:rsid w:val="00D542F3"/>
    <w:rsid w:val="00D54513"/>
    <w:rsid w:val="00D54AAE"/>
    <w:rsid w:val="00D5644B"/>
    <w:rsid w:val="00D56E25"/>
    <w:rsid w:val="00D57E89"/>
    <w:rsid w:val="00D60E1A"/>
    <w:rsid w:val="00D6560D"/>
    <w:rsid w:val="00D65D77"/>
    <w:rsid w:val="00D662E0"/>
    <w:rsid w:val="00D718D7"/>
    <w:rsid w:val="00D814B7"/>
    <w:rsid w:val="00D863EB"/>
    <w:rsid w:val="00D90688"/>
    <w:rsid w:val="00DA3AAD"/>
    <w:rsid w:val="00DA4624"/>
    <w:rsid w:val="00DA6BB5"/>
    <w:rsid w:val="00DB0804"/>
    <w:rsid w:val="00DB312B"/>
    <w:rsid w:val="00DC5654"/>
    <w:rsid w:val="00DC658F"/>
    <w:rsid w:val="00DC674A"/>
    <w:rsid w:val="00DD34D3"/>
    <w:rsid w:val="00DD39FD"/>
    <w:rsid w:val="00DD6383"/>
    <w:rsid w:val="00DD7FAE"/>
    <w:rsid w:val="00DE0E4E"/>
    <w:rsid w:val="00DE136B"/>
    <w:rsid w:val="00DE60CC"/>
    <w:rsid w:val="00DF52CC"/>
    <w:rsid w:val="00E06416"/>
    <w:rsid w:val="00E15365"/>
    <w:rsid w:val="00E22A20"/>
    <w:rsid w:val="00E239E8"/>
    <w:rsid w:val="00E24F69"/>
    <w:rsid w:val="00E26B32"/>
    <w:rsid w:val="00E31CD4"/>
    <w:rsid w:val="00E31E60"/>
    <w:rsid w:val="00E33E08"/>
    <w:rsid w:val="00E407B6"/>
    <w:rsid w:val="00E41EF1"/>
    <w:rsid w:val="00E42942"/>
    <w:rsid w:val="00E45C9C"/>
    <w:rsid w:val="00E543D9"/>
    <w:rsid w:val="00E65A0A"/>
    <w:rsid w:val="00E71BDF"/>
    <w:rsid w:val="00E72E8A"/>
    <w:rsid w:val="00E739E4"/>
    <w:rsid w:val="00E75CCB"/>
    <w:rsid w:val="00E8245B"/>
    <w:rsid w:val="00E82C21"/>
    <w:rsid w:val="00E82F59"/>
    <w:rsid w:val="00E83CA7"/>
    <w:rsid w:val="00E92192"/>
    <w:rsid w:val="00E95A71"/>
    <w:rsid w:val="00EA030C"/>
    <w:rsid w:val="00EA2B81"/>
    <w:rsid w:val="00EA5761"/>
    <w:rsid w:val="00EB363A"/>
    <w:rsid w:val="00EB6068"/>
    <w:rsid w:val="00EB7014"/>
    <w:rsid w:val="00EC439B"/>
    <w:rsid w:val="00EC5CDE"/>
    <w:rsid w:val="00ED3077"/>
    <w:rsid w:val="00ED487E"/>
    <w:rsid w:val="00ED64F1"/>
    <w:rsid w:val="00ED656C"/>
    <w:rsid w:val="00EE33A1"/>
    <w:rsid w:val="00EE7A0D"/>
    <w:rsid w:val="00EF0847"/>
    <w:rsid w:val="00EF295D"/>
    <w:rsid w:val="00EF4286"/>
    <w:rsid w:val="00F0222C"/>
    <w:rsid w:val="00F05AFA"/>
    <w:rsid w:val="00F12312"/>
    <w:rsid w:val="00F177C7"/>
    <w:rsid w:val="00F17CE1"/>
    <w:rsid w:val="00F2115C"/>
    <w:rsid w:val="00F22ABA"/>
    <w:rsid w:val="00F349C9"/>
    <w:rsid w:val="00F36B12"/>
    <w:rsid w:val="00F41EC4"/>
    <w:rsid w:val="00F47C64"/>
    <w:rsid w:val="00F504CA"/>
    <w:rsid w:val="00F60F9F"/>
    <w:rsid w:val="00F635D9"/>
    <w:rsid w:val="00F64CFF"/>
    <w:rsid w:val="00F64F08"/>
    <w:rsid w:val="00F70055"/>
    <w:rsid w:val="00F71150"/>
    <w:rsid w:val="00F71D46"/>
    <w:rsid w:val="00F734F5"/>
    <w:rsid w:val="00F73B5B"/>
    <w:rsid w:val="00F7492A"/>
    <w:rsid w:val="00F77AC6"/>
    <w:rsid w:val="00F90EA5"/>
    <w:rsid w:val="00F91F5A"/>
    <w:rsid w:val="00F95B17"/>
    <w:rsid w:val="00F966B1"/>
    <w:rsid w:val="00F97736"/>
    <w:rsid w:val="00F97D48"/>
    <w:rsid w:val="00FA0311"/>
    <w:rsid w:val="00FA1489"/>
    <w:rsid w:val="00FA39E1"/>
    <w:rsid w:val="00FB2443"/>
    <w:rsid w:val="00FD07EF"/>
    <w:rsid w:val="00FD50F0"/>
    <w:rsid w:val="00FD640F"/>
    <w:rsid w:val="00FD6B4C"/>
    <w:rsid w:val="00FD7069"/>
    <w:rsid w:val="00FE0553"/>
    <w:rsid w:val="00FE25D0"/>
    <w:rsid w:val="00FE6CB3"/>
    <w:rsid w:val="00FF411C"/>
    <w:rsid w:val="00FF4E9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EDA2DE"/>
  <w15:docId w15:val="{49D2C079-15D5-4C88-973D-EB514E198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AU" w:eastAsia="en-AU" w:bidi="ar-SA"/>
      </w:rPr>
    </w:rPrDefault>
    <w:pPrDefault>
      <w:pPr>
        <w:spacing w:before="160" w:after="160" w:line="280" w:lineRule="atLeast"/>
      </w:pPr>
    </w:pPrDefault>
  </w:docDefaults>
  <w:latentStyles w:defLockedState="0" w:defUIPriority="1"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qFormat="1"/>
    <w:lsdException w:name="heading 6" w:semiHidden="1" w:qFormat="1"/>
    <w:lsdException w:name="heading 7" w:semiHidden="1" w:unhideWhenUsed="1" w:qFormat="1"/>
    <w:lsdException w:name="heading 8" w:semiHidden="1" w:unhideWhenUsed="1" w:qFormat="1"/>
    <w:lsdException w:name="heading 9" w:semiHidden="1" w:unhideWhenUsed="1" w:qFormat="1"/>
    <w:lsdException w:name="index 1" w:uiPriority="99" w:unhideWhenUsed="1"/>
    <w:lsdException w:name="index 2" w:uiPriority="99"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semiHidden="1" w:uiPriority="39"/>
    <w:lsdException w:name="toc 5" w:semiHidden="1"/>
    <w:lsdException w:name="toc 6" w:semiHidden="1"/>
    <w:lsdException w:name="toc 7" w:semiHidden="1" w:unhideWhenUsed="1"/>
    <w:lsdException w:name="toc 8" w:semiHidden="1" w:unhideWhenUsed="1"/>
    <w:lsdException w:name="toc 9" w:semiHidden="1" w:unhideWhenUsed="1"/>
    <w:lsdException w:name="Normal Indent" w:semiHidden="1" w:uiPriority="0" w:qFormat="1"/>
    <w:lsdException w:name="footnote text" w:semiHidden="1" w:uiPriority="8" w:unhideWhenUsed="1"/>
    <w:lsdException w:name="annotation text" w:semiHidden="1" w:unhideWhenUsed="1"/>
    <w:lsdException w:name="header" w:uiPriority="99" w:unhideWhenUsed="1"/>
    <w:lsdException w:name="footer" w:uiPriority="99" w:unhideWhenUsed="1"/>
    <w:lsdException w:name="index heading" w:uiPriority="99" w:unhideWhenUsed="1"/>
    <w:lsdException w:name="caption" w:uiPriority="35" w:unhideWhenUsed="1"/>
    <w:lsdException w:name="table of figures" w:semiHidden="1" w:uiPriority="2"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iPriority="99" w:unhideWhenUsed="1"/>
    <w:lsdException w:name="line number" w:semiHidden="1" w:unhideWhenUsed="1"/>
    <w:lsdException w:name="page number" w:uiPriority="49" w:unhideWhenUsed="1"/>
    <w:lsdException w:name="endnote reference" w:semiHidden="1" w:unhideWhenUsed="1"/>
    <w:lsdException w:name="endnote text" w:semiHidden="1" w:unhideWhenUsed="1"/>
    <w:lsdException w:name="table of authorities" w:semiHidden="1" w:uiPriority="2"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39"/>
    <w:lsdException w:name="Table Theme" w:semiHidden="1" w:uiPriority="99" w:unhideWhenUsed="1"/>
    <w:lsdException w:name="Placeholder Text" w:semiHidden="1"/>
    <w:lsdException w:name="No Spacing" w:semiHidden="1"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lsdException w:name="Subtle Reference" w:semiHidden="1" w:qFormat="1"/>
    <w:lsdException w:name="Intense Reference" w:semiHidden="1"/>
    <w:lsdException w:name="Book Title" w:semiHidden="1"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
    <w:rsid w:val="00086DB5"/>
    <w:pPr>
      <w:spacing w:line="280" w:lineRule="auto"/>
    </w:pPr>
  </w:style>
  <w:style w:type="paragraph" w:styleId="Heading1">
    <w:name w:val="heading 1"/>
    <w:basedOn w:val="Normal"/>
    <w:next w:val="SCVbody"/>
    <w:link w:val="Heading1Char"/>
    <w:qFormat/>
    <w:rsid w:val="00086DB5"/>
    <w:pPr>
      <w:keepNext/>
      <w:keepLines/>
      <w:pageBreakBefore/>
      <w:suppressAutoHyphens/>
      <w:spacing w:before="0" w:after="320" w:line="240" w:lineRule="auto"/>
      <w:outlineLvl w:val="0"/>
    </w:pPr>
    <w:rPr>
      <w:rFonts w:asciiTheme="majorHAnsi" w:eastAsiaTheme="majorEastAsia" w:hAnsiTheme="majorHAnsi" w:cstheme="majorBidi"/>
      <w:color w:val="007586" w:themeColor="text2"/>
      <w:sz w:val="44"/>
      <w:szCs w:val="44"/>
    </w:rPr>
  </w:style>
  <w:style w:type="paragraph" w:styleId="Heading2">
    <w:name w:val="heading 2"/>
    <w:basedOn w:val="Normal"/>
    <w:next w:val="SCVbody"/>
    <w:link w:val="Heading2Char"/>
    <w:qFormat/>
    <w:rsid w:val="00086DB5"/>
    <w:pPr>
      <w:keepNext/>
      <w:keepLines/>
      <w:spacing w:before="280" w:after="80" w:line="240" w:lineRule="auto"/>
      <w:outlineLvl w:val="1"/>
    </w:pPr>
    <w:rPr>
      <w:rFonts w:asciiTheme="majorHAnsi" w:eastAsiaTheme="majorEastAsia" w:hAnsiTheme="majorHAnsi" w:cstheme="majorBidi"/>
      <w:sz w:val="24"/>
      <w:szCs w:val="24"/>
    </w:rPr>
  </w:style>
  <w:style w:type="paragraph" w:styleId="Heading3">
    <w:name w:val="heading 3"/>
    <w:basedOn w:val="Normal"/>
    <w:next w:val="SCVbody"/>
    <w:link w:val="Heading3Char"/>
    <w:qFormat/>
    <w:rsid w:val="00086DB5"/>
    <w:pPr>
      <w:keepNext/>
      <w:keepLines/>
      <w:spacing w:before="240" w:after="80" w:line="240" w:lineRule="auto"/>
      <w:outlineLvl w:val="2"/>
    </w:pPr>
    <w:rPr>
      <w:rFonts w:asciiTheme="majorHAnsi" w:eastAsiaTheme="majorEastAsia" w:hAnsiTheme="majorHAnsi" w:cstheme="majorBidi"/>
      <w:color w:val="007586" w:themeColor="text2"/>
      <w:sz w:val="23"/>
      <w:szCs w:val="23"/>
    </w:rPr>
  </w:style>
  <w:style w:type="paragraph" w:styleId="Heading4">
    <w:name w:val="heading 4"/>
    <w:basedOn w:val="Normal"/>
    <w:next w:val="SCVbody"/>
    <w:link w:val="Heading4Char"/>
    <w:qFormat/>
    <w:rsid w:val="00086DB5"/>
    <w:pPr>
      <w:keepNext/>
      <w:keepLines/>
      <w:spacing w:before="320" w:after="70" w:line="240" w:lineRule="auto"/>
      <w:outlineLvl w:val="3"/>
    </w:pPr>
    <w:rPr>
      <w:rFonts w:asciiTheme="majorHAnsi" w:eastAsiaTheme="majorEastAsia" w:hAnsiTheme="majorHAnsi" w:cstheme="majorBidi"/>
      <w:iCs/>
      <w:color w:val="000000" w:themeColor="text1"/>
    </w:rPr>
  </w:style>
  <w:style w:type="paragraph" w:styleId="Heading5">
    <w:name w:val="heading 5"/>
    <w:basedOn w:val="Normal"/>
    <w:next w:val="SCVbody"/>
    <w:link w:val="Heading5Char"/>
    <w:uiPriority w:val="1"/>
    <w:semiHidden/>
    <w:qFormat/>
    <w:rsid w:val="00086DB5"/>
    <w:pPr>
      <w:keepNext/>
      <w:keepLines/>
      <w:spacing w:before="280" w:after="80" w:line="264" w:lineRule="auto"/>
      <w:outlineLvl w:val="4"/>
    </w:pPr>
    <w:rPr>
      <w:rFonts w:asciiTheme="majorHAnsi" w:eastAsiaTheme="majorEastAsia" w:hAnsiTheme="majorHAnsi" w:cstheme="majorBidi"/>
      <w:color w:val="141A1F"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ghtShading">
    <w:name w:val="Light Shading"/>
    <w:basedOn w:val="TableNormal"/>
    <w:uiPriority w:val="60"/>
    <w:semiHidden/>
    <w:rsid w:val="00086DB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39"/>
    <w:rsid w:val="00086DB5"/>
    <w:pPr>
      <w:spacing w:before="0" w:after="0" w:line="240" w:lineRule="auto"/>
    </w:pPr>
    <w:rPr>
      <w:rFonts w:eastAsiaTheme="minorHAnsi"/>
      <w:sz w:val="22"/>
      <w:szCs w:val="22"/>
      <w:lang w:eastAsia="en-US"/>
    </w:rPr>
    <w:tblPr>
      <w:tblBorders>
        <w:top w:val="single" w:sz="2" w:space="0" w:color="80808B"/>
        <w:bottom w:val="single" w:sz="2" w:space="0" w:color="80808B"/>
        <w:insideH w:val="single" w:sz="2" w:space="0" w:color="80808B"/>
      </w:tblBorders>
    </w:tblPr>
    <w:tblStylePr w:type="firstRow">
      <w:tblPr/>
      <w:tcPr>
        <w:tcBorders>
          <w:top w:val="nil"/>
          <w:left w:val="nil"/>
          <w:bottom w:val="single" w:sz="24" w:space="0" w:color="CCCCD0"/>
          <w:right w:val="nil"/>
          <w:insideH w:val="nil"/>
          <w:insideV w:val="nil"/>
          <w:tl2br w:val="nil"/>
          <w:tr2bl w:val="nil"/>
        </w:tcBorders>
        <w:shd w:val="clear" w:color="auto" w:fill="EDF5F7" w:themeFill="background2"/>
      </w:tcPr>
    </w:tblStylePr>
  </w:style>
  <w:style w:type="table" w:styleId="LightList-Accent4">
    <w:name w:val="Light List Accent 4"/>
    <w:basedOn w:val="TableNormal"/>
    <w:uiPriority w:val="61"/>
    <w:semiHidden/>
    <w:rsid w:val="00086DB5"/>
    <w:pPr>
      <w:spacing w:after="0" w:line="240" w:lineRule="auto"/>
    </w:pPr>
    <w:tblPr>
      <w:tblStyleRowBandSize w:val="1"/>
      <w:tblStyleColBandSize w:val="1"/>
      <w:tblBorders>
        <w:top w:val="single" w:sz="8" w:space="0" w:color="004C97" w:themeColor="accent4"/>
        <w:left w:val="single" w:sz="8" w:space="0" w:color="004C97" w:themeColor="accent4"/>
        <w:bottom w:val="single" w:sz="8" w:space="0" w:color="004C97" w:themeColor="accent4"/>
        <w:right w:val="single" w:sz="8" w:space="0" w:color="004C97" w:themeColor="accent4"/>
      </w:tblBorders>
    </w:tblPr>
    <w:tblStylePr w:type="firstRow">
      <w:pPr>
        <w:spacing w:before="0" w:after="0" w:line="240" w:lineRule="auto"/>
      </w:pPr>
      <w:rPr>
        <w:b/>
        <w:bCs/>
        <w:color w:val="FFFFFF" w:themeColor="background1"/>
      </w:rPr>
      <w:tblPr/>
      <w:tcPr>
        <w:shd w:val="clear" w:color="auto" w:fill="004C97" w:themeFill="accent4"/>
      </w:tcPr>
    </w:tblStylePr>
    <w:tblStylePr w:type="lastRow">
      <w:pPr>
        <w:spacing w:before="0" w:after="0" w:line="240" w:lineRule="auto"/>
      </w:pPr>
      <w:rPr>
        <w:b/>
        <w:bCs/>
      </w:rPr>
      <w:tblPr/>
      <w:tcPr>
        <w:tcBorders>
          <w:top w:val="double" w:sz="6" w:space="0" w:color="004C97" w:themeColor="accent4"/>
          <w:left w:val="single" w:sz="8" w:space="0" w:color="004C97" w:themeColor="accent4"/>
          <w:bottom w:val="single" w:sz="8" w:space="0" w:color="004C97" w:themeColor="accent4"/>
          <w:right w:val="single" w:sz="8" w:space="0" w:color="004C97" w:themeColor="accent4"/>
        </w:tcBorders>
      </w:tcPr>
    </w:tblStylePr>
    <w:tblStylePr w:type="firstCol">
      <w:rPr>
        <w:b/>
        <w:bCs/>
      </w:rPr>
    </w:tblStylePr>
    <w:tblStylePr w:type="lastCol">
      <w:rPr>
        <w:b/>
        <w:bCs/>
      </w:rPr>
    </w:tblStylePr>
    <w:tblStylePr w:type="band1Vert">
      <w:tblPr/>
      <w:tcPr>
        <w:tcBorders>
          <w:top w:val="single" w:sz="8" w:space="0" w:color="004C97" w:themeColor="accent4"/>
          <w:left w:val="single" w:sz="8" w:space="0" w:color="004C97" w:themeColor="accent4"/>
          <w:bottom w:val="single" w:sz="8" w:space="0" w:color="004C97" w:themeColor="accent4"/>
          <w:right w:val="single" w:sz="8" w:space="0" w:color="004C97" w:themeColor="accent4"/>
        </w:tcBorders>
      </w:tcPr>
    </w:tblStylePr>
    <w:tblStylePr w:type="band1Horz">
      <w:tblPr/>
      <w:tcPr>
        <w:tcBorders>
          <w:top w:val="single" w:sz="8" w:space="0" w:color="004C97" w:themeColor="accent4"/>
          <w:left w:val="single" w:sz="8" w:space="0" w:color="004C97" w:themeColor="accent4"/>
          <w:bottom w:val="single" w:sz="8" w:space="0" w:color="004C97" w:themeColor="accent4"/>
          <w:right w:val="single" w:sz="8" w:space="0" w:color="004C97" w:themeColor="accent4"/>
        </w:tcBorders>
      </w:tcPr>
    </w:tblStylePr>
  </w:style>
  <w:style w:type="table" w:styleId="LightList-Accent1">
    <w:name w:val="Light List Accent 1"/>
    <w:basedOn w:val="TableNormal"/>
    <w:uiPriority w:val="61"/>
    <w:semiHidden/>
    <w:rsid w:val="00086DB5"/>
    <w:pPr>
      <w:spacing w:after="0" w:line="240" w:lineRule="auto"/>
    </w:pPr>
    <w:tblPr>
      <w:tblStyleRowBandSize w:val="1"/>
      <w:tblStyleColBandSize w:val="1"/>
      <w:tblBorders>
        <w:top w:val="single" w:sz="8" w:space="0" w:color="1B242A" w:themeColor="accent1"/>
        <w:left w:val="single" w:sz="8" w:space="0" w:color="1B242A" w:themeColor="accent1"/>
        <w:bottom w:val="single" w:sz="8" w:space="0" w:color="1B242A" w:themeColor="accent1"/>
        <w:right w:val="single" w:sz="8" w:space="0" w:color="1B242A" w:themeColor="accent1"/>
      </w:tblBorders>
    </w:tblPr>
    <w:tblStylePr w:type="firstRow">
      <w:pPr>
        <w:spacing w:before="0" w:after="0" w:line="240" w:lineRule="auto"/>
      </w:pPr>
      <w:rPr>
        <w:b/>
        <w:bCs/>
        <w:color w:val="FFFFFF" w:themeColor="background1"/>
      </w:rPr>
      <w:tblPr/>
      <w:tcPr>
        <w:shd w:val="clear" w:color="auto" w:fill="1B242A" w:themeFill="accent1"/>
      </w:tcPr>
    </w:tblStylePr>
    <w:tblStylePr w:type="lastRow">
      <w:pPr>
        <w:spacing w:before="0" w:after="0" w:line="240" w:lineRule="auto"/>
      </w:pPr>
      <w:rPr>
        <w:b/>
        <w:bCs/>
      </w:rPr>
      <w:tblPr/>
      <w:tcPr>
        <w:tcBorders>
          <w:top w:val="double" w:sz="6" w:space="0" w:color="1B242A" w:themeColor="accent1"/>
          <w:left w:val="single" w:sz="8" w:space="0" w:color="1B242A" w:themeColor="accent1"/>
          <w:bottom w:val="single" w:sz="8" w:space="0" w:color="1B242A" w:themeColor="accent1"/>
          <w:right w:val="single" w:sz="8" w:space="0" w:color="1B242A" w:themeColor="accent1"/>
        </w:tcBorders>
      </w:tcPr>
    </w:tblStylePr>
    <w:tblStylePr w:type="firstCol">
      <w:rPr>
        <w:b/>
        <w:bCs/>
      </w:rPr>
    </w:tblStylePr>
    <w:tblStylePr w:type="lastCol">
      <w:rPr>
        <w:b/>
        <w:bCs/>
      </w:rPr>
    </w:tblStylePr>
    <w:tblStylePr w:type="band1Vert">
      <w:tblPr/>
      <w:tcPr>
        <w:tcBorders>
          <w:top w:val="single" w:sz="8" w:space="0" w:color="1B242A" w:themeColor="accent1"/>
          <w:left w:val="single" w:sz="8" w:space="0" w:color="1B242A" w:themeColor="accent1"/>
          <w:bottom w:val="single" w:sz="8" w:space="0" w:color="1B242A" w:themeColor="accent1"/>
          <w:right w:val="single" w:sz="8" w:space="0" w:color="1B242A" w:themeColor="accent1"/>
        </w:tcBorders>
      </w:tcPr>
    </w:tblStylePr>
    <w:tblStylePr w:type="band1Horz">
      <w:tblPr/>
      <w:tcPr>
        <w:tcBorders>
          <w:top w:val="single" w:sz="8" w:space="0" w:color="1B242A" w:themeColor="accent1"/>
          <w:left w:val="single" w:sz="8" w:space="0" w:color="1B242A" w:themeColor="accent1"/>
          <w:bottom w:val="single" w:sz="8" w:space="0" w:color="1B242A" w:themeColor="accent1"/>
          <w:right w:val="single" w:sz="8" w:space="0" w:color="1B242A" w:themeColor="accent1"/>
        </w:tcBorders>
      </w:tcPr>
    </w:tblStylePr>
  </w:style>
  <w:style w:type="paragraph" w:styleId="TOC1">
    <w:name w:val="toc 1"/>
    <w:basedOn w:val="Normal"/>
    <w:next w:val="Normal"/>
    <w:uiPriority w:val="39"/>
    <w:rsid w:val="00086DB5"/>
    <w:pPr>
      <w:keepNext/>
      <w:keepLines/>
      <w:pBdr>
        <w:bottom w:val="single" w:sz="2" w:space="1" w:color="000016"/>
        <w:between w:val="single" w:sz="2" w:space="1" w:color="000000" w:themeColor="text1"/>
      </w:pBdr>
      <w:tabs>
        <w:tab w:val="right" w:pos="10206"/>
      </w:tabs>
      <w:spacing w:before="120" w:after="0" w:line="280" w:lineRule="atLeast"/>
      <w:ind w:right="57"/>
    </w:pPr>
    <w:rPr>
      <w:rFonts w:asciiTheme="majorHAnsi" w:hAnsiTheme="majorHAnsi"/>
      <w:bCs/>
      <w:noProof/>
      <w:lang w:eastAsia="en-US"/>
    </w:rPr>
  </w:style>
  <w:style w:type="paragraph" w:styleId="TOC2">
    <w:name w:val="toc 2"/>
    <w:basedOn w:val="Normal"/>
    <w:next w:val="Normal"/>
    <w:uiPriority w:val="39"/>
    <w:rsid w:val="00086DB5"/>
    <w:pPr>
      <w:keepLines/>
      <w:pBdr>
        <w:bottom w:val="single" w:sz="2" w:space="1" w:color="000000" w:themeColor="text1"/>
        <w:between w:val="single" w:sz="2" w:space="1" w:color="000000" w:themeColor="text1"/>
      </w:pBdr>
      <w:tabs>
        <w:tab w:val="left" w:pos="340"/>
        <w:tab w:val="right" w:pos="10206"/>
      </w:tabs>
      <w:spacing w:before="40" w:after="0" w:line="240" w:lineRule="auto"/>
      <w:ind w:right="57"/>
    </w:pPr>
    <w:rPr>
      <w:rFonts w:asciiTheme="majorHAnsi" w:hAnsiTheme="majorHAnsi"/>
      <w:bCs/>
      <w:noProof/>
      <w:color w:val="007586" w:themeColor="text2"/>
    </w:rPr>
  </w:style>
  <w:style w:type="paragraph" w:styleId="TOC3">
    <w:name w:val="toc 3"/>
    <w:basedOn w:val="TOC2"/>
    <w:next w:val="Normal"/>
    <w:uiPriority w:val="39"/>
    <w:rsid w:val="00086DB5"/>
    <w:pPr>
      <w:spacing w:before="0" w:line="280" w:lineRule="atLeast"/>
    </w:pPr>
    <w:rPr>
      <w:b/>
      <w:bCs w:val="0"/>
      <w:color w:val="000000" w:themeColor="text1"/>
    </w:rPr>
  </w:style>
  <w:style w:type="paragraph" w:styleId="Index1">
    <w:name w:val="index 1"/>
    <w:basedOn w:val="Normal"/>
    <w:next w:val="Normal"/>
    <w:uiPriority w:val="1"/>
    <w:semiHidden/>
    <w:rsid w:val="00086DB5"/>
    <w:pPr>
      <w:spacing w:after="60" w:line="240" w:lineRule="auto"/>
    </w:pPr>
    <w:rPr>
      <w:sz w:val="16"/>
    </w:rPr>
  </w:style>
  <w:style w:type="paragraph" w:styleId="Index2">
    <w:name w:val="index 2"/>
    <w:basedOn w:val="Normal"/>
    <w:next w:val="Normal"/>
    <w:uiPriority w:val="1"/>
    <w:semiHidden/>
    <w:rsid w:val="00086DB5"/>
    <w:pPr>
      <w:spacing w:after="0" w:line="240" w:lineRule="auto"/>
      <w:ind w:left="216"/>
    </w:pPr>
    <w:rPr>
      <w:sz w:val="16"/>
      <w:szCs w:val="16"/>
    </w:rPr>
  </w:style>
  <w:style w:type="character" w:styleId="Hyperlink">
    <w:name w:val="Hyperlink"/>
    <w:basedOn w:val="DefaultParagraphFont"/>
    <w:uiPriority w:val="99"/>
    <w:rsid w:val="00086DB5"/>
    <w:rPr>
      <w:color w:val="004C97"/>
      <w:u w:val="single"/>
    </w:rPr>
  </w:style>
  <w:style w:type="character" w:customStyle="1" w:styleId="Heading1Char">
    <w:name w:val="Heading 1 Char"/>
    <w:basedOn w:val="DefaultParagraphFont"/>
    <w:link w:val="Heading1"/>
    <w:rsid w:val="00086DB5"/>
    <w:rPr>
      <w:rFonts w:asciiTheme="majorHAnsi" w:eastAsiaTheme="majorEastAsia" w:hAnsiTheme="majorHAnsi" w:cstheme="majorBidi"/>
      <w:color w:val="007586" w:themeColor="text2"/>
      <w:sz w:val="44"/>
      <w:szCs w:val="44"/>
    </w:rPr>
  </w:style>
  <w:style w:type="character" w:customStyle="1" w:styleId="Heading2Char">
    <w:name w:val="Heading 2 Char"/>
    <w:basedOn w:val="DefaultParagraphFont"/>
    <w:link w:val="Heading2"/>
    <w:rsid w:val="00086DB5"/>
    <w:rPr>
      <w:rFonts w:asciiTheme="majorHAnsi" w:eastAsiaTheme="majorEastAsia" w:hAnsiTheme="majorHAnsi" w:cstheme="majorBidi"/>
      <w:sz w:val="24"/>
      <w:szCs w:val="24"/>
    </w:rPr>
  </w:style>
  <w:style w:type="paragraph" w:customStyle="1" w:styleId="SCVbullet1">
    <w:name w:val="SCV bullet 1"/>
    <w:basedOn w:val="SCVbody"/>
    <w:uiPriority w:val="9"/>
    <w:qFormat/>
    <w:rsid w:val="00086DB5"/>
    <w:pPr>
      <w:numPr>
        <w:numId w:val="8"/>
      </w:numPr>
      <w:spacing w:before="60" w:after="60"/>
    </w:pPr>
  </w:style>
  <w:style w:type="paragraph" w:customStyle="1" w:styleId="SCVbullet2">
    <w:name w:val="SCV bullet 2"/>
    <w:basedOn w:val="SCVbullet1"/>
    <w:uiPriority w:val="9"/>
    <w:qFormat/>
    <w:rsid w:val="00086DB5"/>
    <w:pPr>
      <w:numPr>
        <w:ilvl w:val="1"/>
      </w:numPr>
    </w:pPr>
  </w:style>
  <w:style w:type="paragraph" w:styleId="Quote">
    <w:name w:val="Quote"/>
    <w:basedOn w:val="Normal"/>
    <w:next w:val="Normal"/>
    <w:link w:val="QuoteChar"/>
    <w:uiPriority w:val="1"/>
    <w:qFormat/>
    <w:rsid w:val="00086DB5"/>
    <w:pPr>
      <w:ind w:left="567" w:right="567"/>
      <w:jc w:val="center"/>
    </w:pPr>
    <w:rPr>
      <w:i/>
      <w:iCs/>
      <w:color w:val="000000" w:themeColor="text1"/>
    </w:rPr>
  </w:style>
  <w:style w:type="paragraph" w:customStyle="1" w:styleId="SCVbody">
    <w:name w:val="SCV body"/>
    <w:basedOn w:val="Normal"/>
    <w:link w:val="SCVbodyChar"/>
    <w:qFormat/>
    <w:rsid w:val="00086DB5"/>
    <w:pPr>
      <w:spacing w:line="280" w:lineRule="atLeast"/>
    </w:pPr>
    <w:rPr>
      <w:sz w:val="19"/>
      <w:szCs w:val="19"/>
    </w:rPr>
  </w:style>
  <w:style w:type="paragraph" w:customStyle="1" w:styleId="SCVfigurecaption">
    <w:name w:val="SCV figure caption"/>
    <w:basedOn w:val="SCVtablecaption"/>
    <w:uiPriority w:val="14"/>
    <w:qFormat/>
    <w:rsid w:val="00086DB5"/>
    <w:pPr>
      <w:spacing w:before="300"/>
    </w:pPr>
  </w:style>
  <w:style w:type="paragraph" w:customStyle="1" w:styleId="SCVbodyafterheading">
    <w:name w:val="SCV body after heading"/>
    <w:basedOn w:val="SCVbody"/>
    <w:qFormat/>
    <w:rsid w:val="00086DB5"/>
    <w:pPr>
      <w:spacing w:before="0"/>
    </w:pPr>
  </w:style>
  <w:style w:type="character" w:customStyle="1" w:styleId="Heading3Char">
    <w:name w:val="Heading 3 Char"/>
    <w:basedOn w:val="DefaultParagraphFont"/>
    <w:link w:val="Heading3"/>
    <w:rsid w:val="00086DB5"/>
    <w:rPr>
      <w:rFonts w:asciiTheme="majorHAnsi" w:eastAsiaTheme="majorEastAsia" w:hAnsiTheme="majorHAnsi" w:cstheme="majorBidi"/>
      <w:color w:val="007586" w:themeColor="text2"/>
      <w:sz w:val="23"/>
      <w:szCs w:val="23"/>
    </w:rPr>
  </w:style>
  <w:style w:type="numbering" w:customStyle="1" w:styleId="ZZBullets">
    <w:name w:val="ZZ Bullets"/>
    <w:basedOn w:val="NoList"/>
    <w:uiPriority w:val="99"/>
    <w:rsid w:val="00086DB5"/>
    <w:pPr>
      <w:numPr>
        <w:numId w:val="1"/>
      </w:numPr>
    </w:pPr>
  </w:style>
  <w:style w:type="character" w:customStyle="1" w:styleId="Heading4Char">
    <w:name w:val="Heading 4 Char"/>
    <w:basedOn w:val="DefaultParagraphFont"/>
    <w:link w:val="Heading4"/>
    <w:rsid w:val="00086DB5"/>
    <w:rPr>
      <w:rFonts w:asciiTheme="majorHAnsi" w:eastAsiaTheme="majorEastAsia" w:hAnsiTheme="majorHAnsi" w:cstheme="majorBidi"/>
      <w:iCs/>
      <w:color w:val="000000" w:themeColor="text1"/>
    </w:rPr>
  </w:style>
  <w:style w:type="paragraph" w:customStyle="1" w:styleId="SCVreporttitle">
    <w:name w:val="SCV report title"/>
    <w:uiPriority w:val="29"/>
    <w:rsid w:val="00BE7A19"/>
    <w:pPr>
      <w:keepLines/>
      <w:pBdr>
        <w:top w:val="single" w:sz="24" w:space="24" w:color="CCCCD0"/>
      </w:pBdr>
      <w:suppressAutoHyphens/>
      <w:spacing w:before="480" w:line="216" w:lineRule="auto"/>
    </w:pPr>
    <w:rPr>
      <w:rFonts w:asciiTheme="majorHAnsi" w:eastAsia="Times New Roman" w:hAnsiTheme="majorHAnsi" w:cstheme="majorHAnsi"/>
      <w:bCs/>
      <w:color w:val="007586" w:themeColor="text2"/>
      <w:spacing w:val="-2"/>
      <w:sz w:val="72"/>
      <w:szCs w:val="72"/>
    </w:rPr>
  </w:style>
  <w:style w:type="paragraph" w:customStyle="1" w:styleId="SCVtablefigurenote">
    <w:name w:val="SCV table/figure note"/>
    <w:basedOn w:val="Normal"/>
    <w:uiPriority w:val="29"/>
    <w:rsid w:val="00086DB5"/>
    <w:pPr>
      <w:spacing w:before="80" w:after="80" w:line="264" w:lineRule="auto"/>
    </w:pPr>
    <w:rPr>
      <w:sz w:val="17"/>
      <w:szCs w:val="17"/>
    </w:rPr>
  </w:style>
  <w:style w:type="paragraph" w:customStyle="1" w:styleId="Spacer">
    <w:name w:val="Spacer"/>
    <w:basedOn w:val="Normal"/>
    <w:uiPriority w:val="1"/>
    <w:semiHidden/>
    <w:qFormat/>
    <w:rsid w:val="00086DB5"/>
    <w:pPr>
      <w:spacing w:before="0" w:after="0" w:line="120" w:lineRule="atLeast"/>
    </w:pPr>
    <w:rPr>
      <w:rFonts w:eastAsia="Times New Roman" w:cs="Calibri"/>
      <w:sz w:val="10"/>
      <w:szCs w:val="22"/>
    </w:rPr>
  </w:style>
  <w:style w:type="paragraph" w:styleId="Subtitle">
    <w:name w:val="Subtitle"/>
    <w:next w:val="Normal"/>
    <w:link w:val="SubtitleChar"/>
    <w:uiPriority w:val="99"/>
    <w:rsid w:val="00086DB5"/>
    <w:pPr>
      <w:framePr w:hSpace="181" w:wrap="around" w:vAnchor="page" w:hAnchor="margin" w:y="11965"/>
      <w:spacing w:before="0" w:after="0" w:line="240" w:lineRule="auto"/>
      <w:suppressOverlap/>
    </w:pPr>
    <w:rPr>
      <w:rFonts w:asciiTheme="majorHAnsi" w:eastAsia="Times New Roman" w:hAnsiTheme="majorHAnsi" w:cstheme="majorHAnsi"/>
      <w:color w:val="000000" w:themeColor="text1"/>
      <w:spacing w:val="-2"/>
      <w:sz w:val="50"/>
      <w:szCs w:val="24"/>
    </w:rPr>
  </w:style>
  <w:style w:type="character" w:customStyle="1" w:styleId="SubtitleChar">
    <w:name w:val="Subtitle Char"/>
    <w:basedOn w:val="DefaultParagraphFont"/>
    <w:link w:val="Subtitle"/>
    <w:uiPriority w:val="99"/>
    <w:rsid w:val="00086DB5"/>
    <w:rPr>
      <w:rFonts w:asciiTheme="majorHAnsi" w:eastAsia="Times New Roman" w:hAnsiTheme="majorHAnsi" w:cstheme="majorHAnsi"/>
      <w:color w:val="000000" w:themeColor="text1"/>
      <w:spacing w:val="-2"/>
      <w:sz w:val="50"/>
      <w:szCs w:val="24"/>
    </w:rPr>
  </w:style>
  <w:style w:type="paragraph" w:styleId="TOC4">
    <w:name w:val="toc 4"/>
    <w:basedOn w:val="Normal"/>
    <w:next w:val="Normal"/>
    <w:autoRedefine/>
    <w:uiPriority w:val="99"/>
    <w:rsid w:val="00086DB5"/>
    <w:pPr>
      <w:spacing w:after="100"/>
      <w:ind w:left="600"/>
    </w:pPr>
  </w:style>
  <w:style w:type="paragraph" w:styleId="Title">
    <w:name w:val="Title"/>
    <w:next w:val="Subtitle"/>
    <w:link w:val="TitleChar"/>
    <w:uiPriority w:val="99"/>
    <w:rsid w:val="00086DB5"/>
    <w:pPr>
      <w:framePr w:hSpace="181" w:wrap="around" w:vAnchor="page" w:hAnchor="page" w:x="455" w:y="12021"/>
      <w:spacing w:before="0" w:after="40" w:line="240" w:lineRule="auto"/>
      <w:ind w:right="284"/>
      <w:contextualSpacing/>
      <w:suppressOverlap/>
    </w:pPr>
    <w:rPr>
      <w:rFonts w:asciiTheme="majorHAnsi" w:eastAsia="Times New Roman" w:hAnsiTheme="majorHAnsi" w:cstheme="majorHAnsi"/>
      <w:b/>
      <w:color w:val="007586" w:themeColor="text2"/>
      <w:spacing w:val="-2"/>
      <w:sz w:val="76"/>
      <w:szCs w:val="22"/>
    </w:rPr>
  </w:style>
  <w:style w:type="character" w:customStyle="1" w:styleId="TitleChar">
    <w:name w:val="Title Char"/>
    <w:basedOn w:val="DefaultParagraphFont"/>
    <w:link w:val="Title"/>
    <w:uiPriority w:val="99"/>
    <w:rsid w:val="00086DB5"/>
    <w:rPr>
      <w:rFonts w:asciiTheme="majorHAnsi" w:eastAsia="Times New Roman" w:hAnsiTheme="majorHAnsi" w:cstheme="majorHAnsi"/>
      <w:b/>
      <w:color w:val="007586" w:themeColor="text2"/>
      <w:spacing w:val="-2"/>
      <w:sz w:val="76"/>
      <w:szCs w:val="22"/>
    </w:rPr>
  </w:style>
  <w:style w:type="paragraph" w:styleId="BalloonText">
    <w:name w:val="Balloon Text"/>
    <w:basedOn w:val="Normal"/>
    <w:link w:val="BalloonTextChar"/>
    <w:uiPriority w:val="1"/>
    <w:semiHidden/>
    <w:rsid w:val="00086D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1"/>
    <w:semiHidden/>
    <w:rsid w:val="00086DB5"/>
    <w:rPr>
      <w:rFonts w:ascii="Tahoma" w:hAnsi="Tahoma" w:cs="Tahoma"/>
      <w:sz w:val="16"/>
      <w:szCs w:val="16"/>
    </w:rPr>
  </w:style>
  <w:style w:type="character" w:customStyle="1" w:styleId="QuoteChar">
    <w:name w:val="Quote Char"/>
    <w:basedOn w:val="DefaultParagraphFont"/>
    <w:link w:val="Quote"/>
    <w:uiPriority w:val="1"/>
    <w:rsid w:val="00086DB5"/>
    <w:rPr>
      <w:i/>
      <w:iCs/>
      <w:color w:val="000000" w:themeColor="text1"/>
    </w:rPr>
  </w:style>
  <w:style w:type="paragraph" w:styleId="IndexHeading">
    <w:name w:val="index heading"/>
    <w:basedOn w:val="Normal"/>
    <w:next w:val="Index1"/>
    <w:uiPriority w:val="1"/>
    <w:semiHidden/>
    <w:rsid w:val="00086DB5"/>
    <w:rPr>
      <w:rFonts w:asciiTheme="majorHAnsi" w:eastAsiaTheme="majorEastAsia" w:hAnsiTheme="majorHAnsi" w:cstheme="majorBidi"/>
      <w:b/>
      <w:bCs/>
    </w:rPr>
  </w:style>
  <w:style w:type="paragraph" w:styleId="Header">
    <w:name w:val="header"/>
    <w:basedOn w:val="Normal"/>
    <w:link w:val="HeaderChar"/>
    <w:uiPriority w:val="99"/>
    <w:rsid w:val="00086DB5"/>
    <w:pPr>
      <w:tabs>
        <w:tab w:val="center" w:pos="4513"/>
        <w:tab w:val="right" w:pos="9026"/>
      </w:tabs>
      <w:spacing w:before="0" w:line="240" w:lineRule="auto"/>
    </w:pPr>
  </w:style>
  <w:style w:type="character" w:customStyle="1" w:styleId="HeaderChar">
    <w:name w:val="Header Char"/>
    <w:basedOn w:val="DefaultParagraphFont"/>
    <w:link w:val="Header"/>
    <w:uiPriority w:val="99"/>
    <w:rsid w:val="00086DB5"/>
  </w:style>
  <w:style w:type="paragraph" w:styleId="Footer">
    <w:name w:val="footer"/>
    <w:basedOn w:val="Normal"/>
    <w:link w:val="FooterChar"/>
    <w:uiPriority w:val="99"/>
    <w:rsid w:val="00086DB5"/>
    <w:pPr>
      <w:tabs>
        <w:tab w:val="left" w:pos="1304"/>
      </w:tabs>
      <w:spacing w:before="0" w:after="0" w:line="156" w:lineRule="exact"/>
    </w:pPr>
    <w:rPr>
      <w:noProof/>
      <w:sz w:val="13"/>
      <w:szCs w:val="18"/>
    </w:rPr>
  </w:style>
  <w:style w:type="character" w:customStyle="1" w:styleId="FooterChar">
    <w:name w:val="Footer Char"/>
    <w:basedOn w:val="DefaultParagraphFont"/>
    <w:link w:val="Footer"/>
    <w:uiPriority w:val="99"/>
    <w:rsid w:val="00086DB5"/>
    <w:rPr>
      <w:noProof/>
      <w:sz w:val="13"/>
      <w:szCs w:val="18"/>
    </w:rPr>
  </w:style>
  <w:style w:type="character" w:styleId="PageNumber">
    <w:name w:val="page number"/>
    <w:uiPriority w:val="1"/>
    <w:semiHidden/>
    <w:rsid w:val="00086DB5"/>
    <w:rPr>
      <w:rFonts w:asciiTheme="minorHAnsi" w:hAnsiTheme="minorHAnsi"/>
      <w:b w:val="0"/>
      <w:color w:val="000000" w:themeColor="text1"/>
    </w:rPr>
  </w:style>
  <w:style w:type="paragraph" w:styleId="TOCHeading">
    <w:name w:val="TOC Heading"/>
    <w:basedOn w:val="Heading1"/>
    <w:next w:val="Normal"/>
    <w:uiPriority w:val="39"/>
    <w:qFormat/>
    <w:rsid w:val="00086DB5"/>
    <w:pPr>
      <w:outlineLvl w:val="9"/>
    </w:pPr>
    <w:rPr>
      <w:spacing w:val="2"/>
    </w:rPr>
  </w:style>
  <w:style w:type="paragraph" w:customStyle="1" w:styleId="NormalTight">
    <w:name w:val="Normal Tight"/>
    <w:uiPriority w:val="1"/>
    <w:semiHidden/>
    <w:rsid w:val="00086DB5"/>
    <w:pPr>
      <w:spacing w:after="0" w:line="240" w:lineRule="auto"/>
      <w:ind w:right="2366"/>
    </w:pPr>
    <w:rPr>
      <w:rFonts w:eastAsia="Times New Roman" w:cs="Calibri"/>
      <w:sz w:val="18"/>
      <w:szCs w:val="19"/>
      <w:lang w:eastAsia="en-US"/>
    </w:rPr>
  </w:style>
  <w:style w:type="paragraph" w:styleId="BodyText">
    <w:name w:val="Body Text"/>
    <w:basedOn w:val="Normal"/>
    <w:link w:val="BodyTextChar"/>
    <w:uiPriority w:val="1"/>
    <w:semiHidden/>
    <w:rsid w:val="00086DB5"/>
    <w:pPr>
      <w:spacing w:before="100" w:line="240" w:lineRule="auto"/>
      <w:ind w:left="794"/>
    </w:pPr>
    <w:rPr>
      <w:rFonts w:ascii="Calibri" w:eastAsia="Times New Roman" w:hAnsi="Calibri" w:cs="Calibri"/>
      <w:sz w:val="22"/>
      <w:szCs w:val="22"/>
    </w:rPr>
  </w:style>
  <w:style w:type="character" w:customStyle="1" w:styleId="BodyTextChar">
    <w:name w:val="Body Text Char"/>
    <w:basedOn w:val="DefaultParagraphFont"/>
    <w:link w:val="BodyText"/>
    <w:uiPriority w:val="1"/>
    <w:semiHidden/>
    <w:rsid w:val="00086DB5"/>
    <w:rPr>
      <w:rFonts w:ascii="Calibri" w:eastAsia="Times New Roman" w:hAnsi="Calibri" w:cs="Calibri"/>
      <w:sz w:val="22"/>
      <w:szCs w:val="22"/>
    </w:rPr>
  </w:style>
  <w:style w:type="paragraph" w:customStyle="1" w:styleId="Insidecoverspacer">
    <w:name w:val="Inside cover spacer"/>
    <w:basedOn w:val="NormalTight"/>
    <w:uiPriority w:val="1"/>
    <w:semiHidden/>
    <w:qFormat/>
    <w:rsid w:val="00086DB5"/>
    <w:pPr>
      <w:spacing w:before="5800"/>
      <w:ind w:right="1382"/>
    </w:pPr>
  </w:style>
  <w:style w:type="table" w:styleId="ColourfulGrid">
    <w:name w:val="Colorful Grid"/>
    <w:basedOn w:val="TableNormal"/>
    <w:uiPriority w:val="73"/>
    <w:semiHidden/>
    <w:rsid w:val="00086DB5"/>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rsid w:val="00086DB5"/>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9D4DC" w:themeFill="accent1" w:themeFillTint="33"/>
    </w:tcPr>
    <w:tblStylePr w:type="firstRow">
      <w:rPr>
        <w:b/>
        <w:bCs/>
      </w:rPr>
      <w:tblPr/>
      <w:tcPr>
        <w:shd w:val="clear" w:color="auto" w:fill="93AABA" w:themeFill="accent1" w:themeFillTint="66"/>
      </w:tcPr>
    </w:tblStylePr>
    <w:tblStylePr w:type="lastRow">
      <w:rPr>
        <w:b/>
        <w:bCs/>
        <w:color w:val="000000" w:themeColor="text1"/>
      </w:rPr>
      <w:tblPr/>
      <w:tcPr>
        <w:shd w:val="clear" w:color="auto" w:fill="93AABA" w:themeFill="accent1" w:themeFillTint="66"/>
      </w:tcPr>
    </w:tblStylePr>
    <w:tblStylePr w:type="firstCol">
      <w:rPr>
        <w:color w:val="FFFFFF" w:themeColor="background1"/>
      </w:rPr>
      <w:tblPr/>
      <w:tcPr>
        <w:shd w:val="clear" w:color="auto" w:fill="141A1F" w:themeFill="accent1" w:themeFillShade="BF"/>
      </w:tcPr>
    </w:tblStylePr>
    <w:tblStylePr w:type="lastCol">
      <w:rPr>
        <w:color w:val="FFFFFF" w:themeColor="background1"/>
      </w:rPr>
      <w:tblPr/>
      <w:tcPr>
        <w:shd w:val="clear" w:color="auto" w:fill="141A1F" w:themeFill="accent1" w:themeFillShade="BF"/>
      </w:tcPr>
    </w:tblStylePr>
    <w:tblStylePr w:type="band1Vert">
      <w:tblPr/>
      <w:tcPr>
        <w:shd w:val="clear" w:color="auto" w:fill="7995A9" w:themeFill="accent1" w:themeFillTint="7F"/>
      </w:tcPr>
    </w:tblStylePr>
    <w:tblStylePr w:type="band1Horz">
      <w:tblPr/>
      <w:tcPr>
        <w:shd w:val="clear" w:color="auto" w:fill="7995A9" w:themeFill="accent1" w:themeFillTint="7F"/>
      </w:tcPr>
    </w:tblStylePr>
  </w:style>
  <w:style w:type="paragraph" w:customStyle="1" w:styleId="SCVreportsubtitle">
    <w:name w:val="SCV report subtitle"/>
    <w:uiPriority w:val="29"/>
    <w:rsid w:val="00086DB5"/>
    <w:pPr>
      <w:keepLines/>
      <w:spacing w:before="0" w:line="240" w:lineRule="auto"/>
    </w:pPr>
    <w:rPr>
      <w:rFonts w:eastAsia="Times New Roman" w:cstheme="majorHAnsi"/>
      <w:color w:val="000000" w:themeColor="text1"/>
      <w:sz w:val="48"/>
      <w:szCs w:val="48"/>
    </w:rPr>
  </w:style>
  <w:style w:type="paragraph" w:customStyle="1" w:styleId="SCVfooterempty">
    <w:name w:val="SCV footer empty"/>
    <w:basedOn w:val="SCVfooter"/>
    <w:uiPriority w:val="98"/>
    <w:rsid w:val="00086DB5"/>
    <w:pPr>
      <w:pBdr>
        <w:top w:val="none" w:sz="0" w:space="0" w:color="auto"/>
      </w:pBdr>
    </w:pPr>
    <w:rPr>
      <w:noProof w:val="0"/>
    </w:rPr>
  </w:style>
  <w:style w:type="paragraph" w:customStyle="1" w:styleId="SCVheaderempty">
    <w:name w:val="SCV header empty"/>
    <w:basedOn w:val="SCVfooterempty"/>
    <w:uiPriority w:val="1"/>
    <w:rsid w:val="00086DB5"/>
  </w:style>
  <w:style w:type="paragraph" w:styleId="ListParagraph">
    <w:name w:val="List Paragraph"/>
    <w:basedOn w:val="Normal"/>
    <w:uiPriority w:val="34"/>
    <w:qFormat/>
    <w:rsid w:val="00086DB5"/>
    <w:pPr>
      <w:ind w:left="720"/>
      <w:contextualSpacing/>
    </w:pPr>
  </w:style>
  <w:style w:type="paragraph" w:styleId="FootnoteText">
    <w:name w:val="footnote text"/>
    <w:basedOn w:val="Normal"/>
    <w:link w:val="FootnoteTextChar"/>
    <w:uiPriority w:val="8"/>
    <w:rsid w:val="00086DB5"/>
    <w:pPr>
      <w:spacing w:before="0" w:after="60" w:line="288" w:lineRule="auto"/>
    </w:pPr>
    <w:rPr>
      <w:sz w:val="17"/>
      <w:szCs w:val="17"/>
    </w:rPr>
  </w:style>
  <w:style w:type="character" w:customStyle="1" w:styleId="FootnoteTextChar">
    <w:name w:val="Footnote Text Char"/>
    <w:basedOn w:val="DefaultParagraphFont"/>
    <w:link w:val="FootnoteText"/>
    <w:uiPriority w:val="8"/>
    <w:rsid w:val="00086DB5"/>
    <w:rPr>
      <w:sz w:val="17"/>
      <w:szCs w:val="17"/>
    </w:rPr>
  </w:style>
  <w:style w:type="character" w:styleId="FootnoteReference">
    <w:name w:val="footnote reference"/>
    <w:basedOn w:val="DefaultParagraphFont"/>
    <w:uiPriority w:val="8"/>
    <w:rsid w:val="00086DB5"/>
    <w:rPr>
      <w:vertAlign w:val="superscript"/>
    </w:rPr>
  </w:style>
  <w:style w:type="table" w:styleId="ColourfulGridAccent2">
    <w:name w:val="Colorful Grid Accent 2"/>
    <w:basedOn w:val="TableNormal"/>
    <w:uiPriority w:val="73"/>
    <w:semiHidden/>
    <w:rsid w:val="00086DB5"/>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3F5FF" w:themeFill="accent2" w:themeFillTint="33"/>
    </w:tcPr>
    <w:tblStylePr w:type="firstRow">
      <w:rPr>
        <w:b/>
        <w:bCs/>
      </w:rPr>
      <w:tblPr/>
      <w:tcPr>
        <w:shd w:val="clear" w:color="auto" w:fill="68EBFF" w:themeFill="accent2" w:themeFillTint="66"/>
      </w:tcPr>
    </w:tblStylePr>
    <w:tblStylePr w:type="lastRow">
      <w:rPr>
        <w:b/>
        <w:bCs/>
        <w:color w:val="000000" w:themeColor="text1"/>
      </w:rPr>
      <w:tblPr/>
      <w:tcPr>
        <w:shd w:val="clear" w:color="auto" w:fill="68EBFF" w:themeFill="accent2" w:themeFillTint="66"/>
      </w:tcPr>
    </w:tblStylePr>
    <w:tblStylePr w:type="firstCol">
      <w:rPr>
        <w:color w:val="FFFFFF" w:themeColor="background1"/>
      </w:rPr>
      <w:tblPr/>
      <w:tcPr>
        <w:shd w:val="clear" w:color="auto" w:fill="005764" w:themeFill="accent2" w:themeFillShade="BF"/>
      </w:tcPr>
    </w:tblStylePr>
    <w:tblStylePr w:type="lastCol">
      <w:rPr>
        <w:color w:val="FFFFFF" w:themeColor="background1"/>
      </w:rPr>
      <w:tblPr/>
      <w:tcPr>
        <w:shd w:val="clear" w:color="auto" w:fill="005764" w:themeFill="accent2" w:themeFillShade="BF"/>
      </w:tcPr>
    </w:tblStylePr>
    <w:tblStylePr w:type="band1Vert">
      <w:tblPr/>
      <w:tcPr>
        <w:shd w:val="clear" w:color="auto" w:fill="43E6FF" w:themeFill="accent2" w:themeFillTint="7F"/>
      </w:tcPr>
    </w:tblStylePr>
    <w:tblStylePr w:type="band1Horz">
      <w:tblPr/>
      <w:tcPr>
        <w:shd w:val="clear" w:color="auto" w:fill="43E6FF" w:themeFill="accent2" w:themeFillTint="7F"/>
      </w:tcPr>
    </w:tblStylePr>
  </w:style>
  <w:style w:type="table" w:styleId="ColourfulGridAccent3">
    <w:name w:val="Colorful Grid Accent 3"/>
    <w:basedOn w:val="TableNormal"/>
    <w:uiPriority w:val="73"/>
    <w:semiHidden/>
    <w:rsid w:val="00086DB5"/>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F0FB" w:themeFill="accent3" w:themeFillTint="33"/>
    </w:tcPr>
    <w:tblStylePr w:type="firstRow">
      <w:rPr>
        <w:b/>
        <w:bCs/>
      </w:rPr>
      <w:tblPr/>
      <w:tcPr>
        <w:shd w:val="clear" w:color="auto" w:fill="BDE2F7" w:themeFill="accent3" w:themeFillTint="66"/>
      </w:tcPr>
    </w:tblStylePr>
    <w:tblStylePr w:type="lastRow">
      <w:rPr>
        <w:b/>
        <w:bCs/>
        <w:color w:val="000000" w:themeColor="text1"/>
      </w:rPr>
      <w:tblPr/>
      <w:tcPr>
        <w:shd w:val="clear" w:color="auto" w:fill="BDE2F7" w:themeFill="accent3" w:themeFillTint="66"/>
      </w:tcPr>
    </w:tblStylePr>
    <w:tblStylePr w:type="firstCol">
      <w:rPr>
        <w:color w:val="FFFFFF" w:themeColor="background1"/>
      </w:rPr>
      <w:tblPr/>
      <w:tcPr>
        <w:shd w:val="clear" w:color="auto" w:fill="1A97D9" w:themeFill="accent3" w:themeFillShade="BF"/>
      </w:tcPr>
    </w:tblStylePr>
    <w:tblStylePr w:type="lastCol">
      <w:rPr>
        <w:color w:val="FFFFFF" w:themeColor="background1"/>
      </w:rPr>
      <w:tblPr/>
      <w:tcPr>
        <w:shd w:val="clear" w:color="auto" w:fill="1A97D9" w:themeFill="accent3" w:themeFillShade="BF"/>
      </w:tcPr>
    </w:tblStylePr>
    <w:tblStylePr w:type="band1Vert">
      <w:tblPr/>
      <w:tcPr>
        <w:shd w:val="clear" w:color="auto" w:fill="ACDCF5" w:themeFill="accent3" w:themeFillTint="7F"/>
      </w:tcPr>
    </w:tblStylePr>
    <w:tblStylePr w:type="band1Horz">
      <w:tblPr/>
      <w:tcPr>
        <w:shd w:val="clear" w:color="auto" w:fill="ACDCF5" w:themeFill="accent3" w:themeFillTint="7F"/>
      </w:tcPr>
    </w:tblStylePr>
  </w:style>
  <w:style w:type="paragraph" w:styleId="Caption">
    <w:name w:val="caption"/>
    <w:basedOn w:val="Normal"/>
    <w:next w:val="Normal"/>
    <w:uiPriority w:val="1"/>
    <w:semiHidden/>
    <w:rsid w:val="00086DB5"/>
    <w:pPr>
      <w:spacing w:before="280" w:after="210" w:line="260" w:lineRule="atLeast"/>
    </w:pPr>
    <w:rPr>
      <w:b/>
      <w:bCs/>
      <w:color w:val="007586" w:themeColor="text2"/>
      <w:szCs w:val="18"/>
    </w:rPr>
  </w:style>
  <w:style w:type="paragraph" w:customStyle="1" w:styleId="SCVtablecaption">
    <w:name w:val="SCV table caption"/>
    <w:next w:val="SCVbody"/>
    <w:uiPriority w:val="20"/>
    <w:qFormat/>
    <w:rsid w:val="00086DB5"/>
    <w:pPr>
      <w:keepNext/>
      <w:tabs>
        <w:tab w:val="left" w:pos="1080"/>
      </w:tabs>
      <w:spacing w:before="280" w:after="120" w:line="264" w:lineRule="auto"/>
    </w:pPr>
    <w:rPr>
      <w:rFonts w:asciiTheme="majorHAnsi" w:hAnsiTheme="majorHAnsi"/>
      <w:color w:val="007586" w:themeColor="text2"/>
      <w:spacing w:val="2"/>
      <w:szCs w:val="18"/>
    </w:rPr>
  </w:style>
  <w:style w:type="character" w:styleId="PlaceholderText">
    <w:name w:val="Placeholder Text"/>
    <w:basedOn w:val="DefaultParagraphFont"/>
    <w:uiPriority w:val="1"/>
    <w:semiHidden/>
    <w:rsid w:val="00086DB5"/>
    <w:rPr>
      <w:color w:val="808080"/>
    </w:rPr>
  </w:style>
  <w:style w:type="paragraph" w:customStyle="1" w:styleId="SCVfooterodd">
    <w:name w:val="SCV footer odd"/>
    <w:basedOn w:val="SCVfootereven"/>
    <w:uiPriority w:val="99"/>
    <w:rsid w:val="00086DB5"/>
    <w:pPr>
      <w:jc w:val="right"/>
    </w:pPr>
  </w:style>
  <w:style w:type="paragraph" w:customStyle="1" w:styleId="SCVfootereven">
    <w:name w:val="SCV footer even"/>
    <w:basedOn w:val="Footer"/>
    <w:uiPriority w:val="99"/>
    <w:rsid w:val="00086DB5"/>
    <w:pPr>
      <w:pBdr>
        <w:top w:val="single" w:sz="8" w:space="6" w:color="CCCCD0"/>
      </w:pBdr>
      <w:spacing w:line="240" w:lineRule="auto"/>
    </w:pPr>
    <w:rPr>
      <w:sz w:val="18"/>
    </w:rPr>
  </w:style>
  <w:style w:type="paragraph" w:customStyle="1" w:styleId="SCVintroductorytext">
    <w:name w:val="SCV introductory text"/>
    <w:basedOn w:val="Normal"/>
    <w:uiPriority w:val="1"/>
    <w:qFormat/>
    <w:rsid w:val="00086DB5"/>
    <w:pPr>
      <w:spacing w:before="400" w:after="240" w:line="280" w:lineRule="atLeast"/>
    </w:pPr>
    <w:rPr>
      <w:rFonts w:asciiTheme="majorHAnsi" w:hAnsiTheme="majorHAnsi"/>
      <w:bCs/>
      <w:color w:val="007586" w:themeColor="text2"/>
    </w:rPr>
  </w:style>
  <w:style w:type="paragraph" w:styleId="NoSpacing">
    <w:name w:val="No Spacing"/>
    <w:uiPriority w:val="1"/>
    <w:qFormat/>
    <w:rsid w:val="00086DB5"/>
    <w:pPr>
      <w:spacing w:before="0" w:after="0" w:line="240" w:lineRule="auto"/>
    </w:pPr>
  </w:style>
  <w:style w:type="table" w:styleId="ColourfulGridAccent4">
    <w:name w:val="Colorful Grid Accent 4"/>
    <w:basedOn w:val="TableNormal"/>
    <w:uiPriority w:val="73"/>
    <w:semiHidden/>
    <w:rsid w:val="00086DB5"/>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7DBFF" w:themeFill="accent4" w:themeFillTint="33"/>
    </w:tcPr>
    <w:tblStylePr w:type="firstRow">
      <w:rPr>
        <w:b/>
        <w:bCs/>
      </w:rPr>
      <w:tblPr/>
      <w:tcPr>
        <w:shd w:val="clear" w:color="auto" w:fill="6FB7FF" w:themeFill="accent4" w:themeFillTint="66"/>
      </w:tcPr>
    </w:tblStylePr>
    <w:tblStylePr w:type="lastRow">
      <w:rPr>
        <w:b/>
        <w:bCs/>
        <w:color w:val="000000" w:themeColor="text1"/>
      </w:rPr>
      <w:tblPr/>
      <w:tcPr>
        <w:shd w:val="clear" w:color="auto" w:fill="6FB7FF" w:themeFill="accent4" w:themeFillTint="66"/>
      </w:tcPr>
    </w:tblStylePr>
    <w:tblStylePr w:type="firstCol">
      <w:rPr>
        <w:color w:val="FFFFFF" w:themeColor="background1"/>
      </w:rPr>
      <w:tblPr/>
      <w:tcPr>
        <w:shd w:val="clear" w:color="auto" w:fill="003871" w:themeFill="accent4" w:themeFillShade="BF"/>
      </w:tcPr>
    </w:tblStylePr>
    <w:tblStylePr w:type="lastCol">
      <w:rPr>
        <w:color w:val="FFFFFF" w:themeColor="background1"/>
      </w:rPr>
      <w:tblPr/>
      <w:tcPr>
        <w:shd w:val="clear" w:color="auto" w:fill="003871" w:themeFill="accent4" w:themeFillShade="BF"/>
      </w:tcPr>
    </w:tblStylePr>
    <w:tblStylePr w:type="band1Vert">
      <w:tblPr/>
      <w:tcPr>
        <w:shd w:val="clear" w:color="auto" w:fill="4CA5FF" w:themeFill="accent4" w:themeFillTint="7F"/>
      </w:tcPr>
    </w:tblStylePr>
    <w:tblStylePr w:type="band1Horz">
      <w:tblPr/>
      <w:tcPr>
        <w:shd w:val="clear" w:color="auto" w:fill="4CA5FF" w:themeFill="accent4" w:themeFillTint="7F"/>
      </w:tcPr>
    </w:tblStylePr>
  </w:style>
  <w:style w:type="table" w:styleId="ColourfulGridAccent5">
    <w:name w:val="Colorful Grid Accent 5"/>
    <w:basedOn w:val="TableNormal"/>
    <w:uiPriority w:val="73"/>
    <w:semiHidden/>
    <w:rsid w:val="00086DB5"/>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EDF" w:themeFill="accent5" w:themeFillTint="33"/>
    </w:tcPr>
    <w:tblStylePr w:type="firstRow">
      <w:rPr>
        <w:b/>
        <w:bCs/>
      </w:rPr>
      <w:tblPr/>
      <w:tcPr>
        <w:shd w:val="clear" w:color="auto" w:fill="BDDDC0" w:themeFill="accent5" w:themeFillTint="66"/>
      </w:tcPr>
    </w:tblStylePr>
    <w:tblStylePr w:type="lastRow">
      <w:rPr>
        <w:b/>
        <w:bCs/>
        <w:color w:val="000000" w:themeColor="text1"/>
      </w:rPr>
      <w:tblPr/>
      <w:tcPr>
        <w:shd w:val="clear" w:color="auto" w:fill="BDDDC0" w:themeFill="accent5" w:themeFillTint="66"/>
      </w:tcPr>
    </w:tblStylePr>
    <w:tblStylePr w:type="firstCol">
      <w:rPr>
        <w:color w:val="FFFFFF" w:themeColor="background1"/>
      </w:rPr>
      <w:tblPr/>
      <w:tcPr>
        <w:shd w:val="clear" w:color="auto" w:fill="428049" w:themeFill="accent5" w:themeFillShade="BF"/>
      </w:tcPr>
    </w:tblStylePr>
    <w:tblStylePr w:type="lastCol">
      <w:rPr>
        <w:color w:val="FFFFFF" w:themeColor="background1"/>
      </w:rPr>
      <w:tblPr/>
      <w:tcPr>
        <w:shd w:val="clear" w:color="auto" w:fill="428049" w:themeFill="accent5" w:themeFillShade="BF"/>
      </w:tcPr>
    </w:tblStylePr>
    <w:tblStylePr w:type="band1Vert">
      <w:tblPr/>
      <w:tcPr>
        <w:shd w:val="clear" w:color="auto" w:fill="ACD4B1" w:themeFill="accent5" w:themeFillTint="7F"/>
      </w:tcPr>
    </w:tblStylePr>
    <w:tblStylePr w:type="band1Horz">
      <w:tblPr/>
      <w:tcPr>
        <w:shd w:val="clear" w:color="auto" w:fill="ACD4B1" w:themeFill="accent5" w:themeFillTint="7F"/>
      </w:tcPr>
    </w:tblStylePr>
  </w:style>
  <w:style w:type="table" w:styleId="ColourfulGridAccent6">
    <w:name w:val="Colorful Grid Accent 6"/>
    <w:basedOn w:val="TableNormal"/>
    <w:uiPriority w:val="73"/>
    <w:semiHidden/>
    <w:rsid w:val="00086DB5"/>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0D8" w:themeFill="accent6" w:themeFillTint="33"/>
    </w:tcPr>
    <w:tblStylePr w:type="firstRow">
      <w:rPr>
        <w:b/>
        <w:bCs/>
      </w:rPr>
      <w:tblPr/>
      <w:tcPr>
        <w:shd w:val="clear" w:color="auto" w:fill="F5C1B1" w:themeFill="accent6" w:themeFillTint="66"/>
      </w:tcPr>
    </w:tblStylePr>
    <w:tblStylePr w:type="lastRow">
      <w:rPr>
        <w:b/>
        <w:bCs/>
        <w:color w:val="000000" w:themeColor="text1"/>
      </w:rPr>
      <w:tblPr/>
      <w:tcPr>
        <w:shd w:val="clear" w:color="auto" w:fill="F5C1B1" w:themeFill="accent6" w:themeFillTint="66"/>
      </w:tcPr>
    </w:tblStylePr>
    <w:tblStylePr w:type="firstCol">
      <w:rPr>
        <w:color w:val="FFFFFF" w:themeColor="background1"/>
      </w:rPr>
      <w:tblPr/>
      <w:tcPr>
        <w:shd w:val="clear" w:color="auto" w:fill="C04018" w:themeFill="accent6" w:themeFillShade="BF"/>
      </w:tcPr>
    </w:tblStylePr>
    <w:tblStylePr w:type="lastCol">
      <w:rPr>
        <w:color w:val="FFFFFF" w:themeColor="background1"/>
      </w:rPr>
      <w:tblPr/>
      <w:tcPr>
        <w:shd w:val="clear" w:color="auto" w:fill="C04018" w:themeFill="accent6" w:themeFillShade="BF"/>
      </w:tcPr>
    </w:tblStylePr>
    <w:tblStylePr w:type="band1Vert">
      <w:tblPr/>
      <w:tcPr>
        <w:shd w:val="clear" w:color="auto" w:fill="F2B19D" w:themeFill="accent6" w:themeFillTint="7F"/>
      </w:tcPr>
    </w:tblStylePr>
    <w:tblStylePr w:type="band1Horz">
      <w:tblPr/>
      <w:tcPr>
        <w:shd w:val="clear" w:color="auto" w:fill="F2B19D" w:themeFill="accent6" w:themeFillTint="7F"/>
      </w:tcPr>
    </w:tblStylePr>
  </w:style>
  <w:style w:type="table" w:styleId="ColourfulList">
    <w:name w:val="Colorful List"/>
    <w:basedOn w:val="TableNormal"/>
    <w:uiPriority w:val="72"/>
    <w:semiHidden/>
    <w:rsid w:val="00086DB5"/>
    <w:pPr>
      <w:spacing w:before="0"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5D6B" w:themeFill="accent2" w:themeFillShade="CC"/>
      </w:tcPr>
    </w:tblStylePr>
    <w:tblStylePr w:type="lastRow">
      <w:rPr>
        <w:b/>
        <w:bCs/>
        <w:color w:val="005D6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rsid w:val="00086DB5"/>
    <w:pPr>
      <w:spacing w:before="0" w:after="0" w:line="240" w:lineRule="auto"/>
    </w:pPr>
    <w:rPr>
      <w:color w:val="000000" w:themeColor="text1"/>
    </w:rPr>
    <w:tblPr>
      <w:tblStyleRowBandSize w:val="1"/>
      <w:tblStyleColBandSize w:val="1"/>
    </w:tblPr>
    <w:tcPr>
      <w:shd w:val="clear" w:color="auto" w:fill="E4EAEE" w:themeFill="accent1" w:themeFillTint="19"/>
    </w:tcPr>
    <w:tblStylePr w:type="firstRow">
      <w:rPr>
        <w:b/>
        <w:bCs/>
        <w:color w:val="FFFFFF" w:themeColor="background1"/>
      </w:rPr>
      <w:tblPr/>
      <w:tcPr>
        <w:tcBorders>
          <w:bottom w:val="single" w:sz="12" w:space="0" w:color="FFFFFF" w:themeColor="background1"/>
        </w:tcBorders>
        <w:shd w:val="clear" w:color="auto" w:fill="005D6B" w:themeFill="accent2" w:themeFillShade="CC"/>
      </w:tcPr>
    </w:tblStylePr>
    <w:tblStylePr w:type="lastRow">
      <w:rPr>
        <w:b/>
        <w:bCs/>
        <w:color w:val="005D6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CCAD4" w:themeFill="accent1" w:themeFillTint="3F"/>
      </w:tcPr>
    </w:tblStylePr>
    <w:tblStylePr w:type="band1Horz">
      <w:tblPr/>
      <w:tcPr>
        <w:shd w:val="clear" w:color="auto" w:fill="C9D4DC" w:themeFill="accent1" w:themeFillTint="33"/>
      </w:tcPr>
    </w:tblStylePr>
  </w:style>
  <w:style w:type="table" w:styleId="ColourfulListAccent2">
    <w:name w:val="Colorful List Accent 2"/>
    <w:basedOn w:val="TableNormal"/>
    <w:uiPriority w:val="72"/>
    <w:semiHidden/>
    <w:rsid w:val="00086DB5"/>
    <w:pPr>
      <w:spacing w:before="0" w:after="0" w:line="240" w:lineRule="auto"/>
    </w:pPr>
    <w:rPr>
      <w:color w:val="000000" w:themeColor="text1"/>
    </w:rPr>
    <w:tblPr>
      <w:tblStyleRowBandSize w:val="1"/>
      <w:tblStyleColBandSize w:val="1"/>
    </w:tblPr>
    <w:tcPr>
      <w:shd w:val="clear" w:color="auto" w:fill="DAFAFF" w:themeFill="accent2" w:themeFillTint="19"/>
    </w:tcPr>
    <w:tblStylePr w:type="firstRow">
      <w:rPr>
        <w:b/>
        <w:bCs/>
        <w:color w:val="FFFFFF" w:themeColor="background1"/>
      </w:rPr>
      <w:tblPr/>
      <w:tcPr>
        <w:tcBorders>
          <w:bottom w:val="single" w:sz="12" w:space="0" w:color="FFFFFF" w:themeColor="background1"/>
        </w:tcBorders>
        <w:shd w:val="clear" w:color="auto" w:fill="005D6B" w:themeFill="accent2" w:themeFillShade="CC"/>
      </w:tcPr>
    </w:tblStylePr>
    <w:tblStylePr w:type="lastRow">
      <w:rPr>
        <w:b/>
        <w:bCs/>
        <w:color w:val="005D6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2F2FF" w:themeFill="accent2" w:themeFillTint="3F"/>
      </w:tcPr>
    </w:tblStylePr>
    <w:tblStylePr w:type="band1Horz">
      <w:tblPr/>
      <w:tcPr>
        <w:shd w:val="clear" w:color="auto" w:fill="B3F5FF" w:themeFill="accent2" w:themeFillTint="33"/>
      </w:tcPr>
    </w:tblStylePr>
  </w:style>
  <w:style w:type="table" w:styleId="ColourfulListAccent3">
    <w:name w:val="Colorful List Accent 3"/>
    <w:basedOn w:val="TableNormal"/>
    <w:uiPriority w:val="72"/>
    <w:semiHidden/>
    <w:rsid w:val="00086DB5"/>
    <w:pPr>
      <w:spacing w:before="0" w:after="0" w:line="240" w:lineRule="auto"/>
    </w:pPr>
    <w:rPr>
      <w:color w:val="000000" w:themeColor="text1"/>
    </w:rPr>
    <w:tblPr>
      <w:tblStyleRowBandSize w:val="1"/>
      <w:tblStyleColBandSize w:val="1"/>
    </w:tblPr>
    <w:tcPr>
      <w:shd w:val="clear" w:color="auto" w:fill="EEF8FD" w:themeFill="accent3" w:themeFillTint="19"/>
    </w:tcPr>
    <w:tblStylePr w:type="firstRow">
      <w:rPr>
        <w:b/>
        <w:bCs/>
        <w:color w:val="FFFFFF" w:themeColor="background1"/>
      </w:rPr>
      <w:tblPr/>
      <w:tcPr>
        <w:tcBorders>
          <w:bottom w:val="single" w:sz="12" w:space="0" w:color="FFFFFF" w:themeColor="background1"/>
        </w:tcBorders>
        <w:shd w:val="clear" w:color="auto" w:fill="003C78" w:themeFill="accent4" w:themeFillShade="CC"/>
      </w:tcPr>
    </w:tblStylePr>
    <w:tblStylePr w:type="lastRow">
      <w:rPr>
        <w:b/>
        <w:bCs/>
        <w:color w:val="003C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EDFA" w:themeFill="accent3" w:themeFillTint="3F"/>
      </w:tcPr>
    </w:tblStylePr>
    <w:tblStylePr w:type="band1Horz">
      <w:tblPr/>
      <w:tcPr>
        <w:shd w:val="clear" w:color="auto" w:fill="DEF0FB" w:themeFill="accent3" w:themeFillTint="33"/>
      </w:tcPr>
    </w:tblStylePr>
  </w:style>
  <w:style w:type="table" w:styleId="ColourfulListAccent4">
    <w:name w:val="Colorful List Accent 4"/>
    <w:basedOn w:val="TableNormal"/>
    <w:uiPriority w:val="72"/>
    <w:semiHidden/>
    <w:rsid w:val="00086DB5"/>
    <w:pPr>
      <w:spacing w:before="0" w:after="0" w:line="240" w:lineRule="auto"/>
    </w:pPr>
    <w:rPr>
      <w:color w:val="000000" w:themeColor="text1"/>
    </w:rPr>
    <w:tblPr>
      <w:tblStyleRowBandSize w:val="1"/>
      <w:tblStyleColBandSize w:val="1"/>
    </w:tblPr>
    <w:tcPr>
      <w:shd w:val="clear" w:color="auto" w:fill="DBEDFF" w:themeFill="accent4" w:themeFillTint="19"/>
    </w:tcPr>
    <w:tblStylePr w:type="firstRow">
      <w:rPr>
        <w:b/>
        <w:bCs/>
        <w:color w:val="FFFFFF" w:themeColor="background1"/>
      </w:rPr>
      <w:tblPr/>
      <w:tcPr>
        <w:tcBorders>
          <w:bottom w:val="single" w:sz="12" w:space="0" w:color="FFFFFF" w:themeColor="background1"/>
        </w:tcBorders>
        <w:shd w:val="clear" w:color="auto" w:fill="20A0E4" w:themeFill="accent3" w:themeFillShade="CC"/>
      </w:tcPr>
    </w:tblStylePr>
    <w:tblStylePr w:type="lastRow">
      <w:rPr>
        <w:b/>
        <w:bCs/>
        <w:color w:val="20A0E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4" w:themeFillTint="3F"/>
      </w:tcPr>
    </w:tblStylePr>
    <w:tblStylePr w:type="band1Horz">
      <w:tblPr/>
      <w:tcPr>
        <w:shd w:val="clear" w:color="auto" w:fill="B7DBFF" w:themeFill="accent4" w:themeFillTint="33"/>
      </w:tcPr>
    </w:tblStylePr>
  </w:style>
  <w:style w:type="table" w:styleId="ColourfulListAccent5">
    <w:name w:val="Colorful List Accent 5"/>
    <w:basedOn w:val="TableNormal"/>
    <w:uiPriority w:val="72"/>
    <w:semiHidden/>
    <w:rsid w:val="00086DB5"/>
    <w:pPr>
      <w:spacing w:before="0" w:after="0" w:line="240" w:lineRule="auto"/>
    </w:pPr>
    <w:rPr>
      <w:color w:val="000000" w:themeColor="text1"/>
    </w:rPr>
    <w:tblPr>
      <w:tblStyleRowBandSize w:val="1"/>
      <w:tblStyleColBandSize w:val="1"/>
    </w:tblPr>
    <w:tcPr>
      <w:shd w:val="clear" w:color="auto" w:fill="EEF6EF" w:themeFill="accent5" w:themeFillTint="19"/>
    </w:tcPr>
    <w:tblStylePr w:type="firstRow">
      <w:rPr>
        <w:b/>
        <w:bCs/>
        <w:color w:val="FFFFFF" w:themeColor="background1"/>
      </w:rPr>
      <w:tblPr/>
      <w:tcPr>
        <w:tcBorders>
          <w:bottom w:val="single" w:sz="12" w:space="0" w:color="FFFFFF" w:themeColor="background1"/>
        </w:tcBorders>
        <w:shd w:val="clear" w:color="auto" w:fill="CD441A" w:themeFill="accent6" w:themeFillShade="CC"/>
      </w:tcPr>
    </w:tblStylePr>
    <w:tblStylePr w:type="lastRow">
      <w:rPr>
        <w:b/>
        <w:bCs/>
        <w:color w:val="CD441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AD8" w:themeFill="accent5" w:themeFillTint="3F"/>
      </w:tcPr>
    </w:tblStylePr>
    <w:tblStylePr w:type="band1Horz">
      <w:tblPr/>
      <w:tcPr>
        <w:shd w:val="clear" w:color="auto" w:fill="DEEEDF" w:themeFill="accent5" w:themeFillTint="33"/>
      </w:tcPr>
    </w:tblStylePr>
  </w:style>
  <w:style w:type="table" w:styleId="ColourfulListAccent6">
    <w:name w:val="Colorful List Accent 6"/>
    <w:basedOn w:val="TableNormal"/>
    <w:uiPriority w:val="72"/>
    <w:semiHidden/>
    <w:rsid w:val="00086DB5"/>
    <w:pPr>
      <w:spacing w:before="0" w:after="0" w:line="240" w:lineRule="auto"/>
    </w:pPr>
    <w:rPr>
      <w:color w:val="000000" w:themeColor="text1"/>
    </w:rPr>
    <w:tblPr>
      <w:tblStyleRowBandSize w:val="1"/>
      <w:tblStyleColBandSize w:val="1"/>
    </w:tblPr>
    <w:tcPr>
      <w:shd w:val="clear" w:color="auto" w:fill="FCEFEB" w:themeFill="accent6" w:themeFillTint="19"/>
    </w:tcPr>
    <w:tblStylePr w:type="firstRow">
      <w:rPr>
        <w:b/>
        <w:bCs/>
        <w:color w:val="FFFFFF" w:themeColor="background1"/>
      </w:rPr>
      <w:tblPr/>
      <w:tcPr>
        <w:tcBorders>
          <w:bottom w:val="single" w:sz="12" w:space="0" w:color="FFFFFF" w:themeColor="background1"/>
        </w:tcBorders>
        <w:shd w:val="clear" w:color="auto" w:fill="46894E" w:themeFill="accent5" w:themeFillShade="CC"/>
      </w:tcPr>
    </w:tblStylePr>
    <w:tblStylePr w:type="lastRow">
      <w:rPr>
        <w:b/>
        <w:bCs/>
        <w:color w:val="46894E"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D8CE" w:themeFill="accent6" w:themeFillTint="3F"/>
      </w:tcPr>
    </w:tblStylePr>
    <w:tblStylePr w:type="band1Horz">
      <w:tblPr/>
      <w:tcPr>
        <w:shd w:val="clear" w:color="auto" w:fill="FAE0D8" w:themeFill="accent6" w:themeFillTint="33"/>
      </w:tcPr>
    </w:tblStylePr>
  </w:style>
  <w:style w:type="table" w:styleId="ColourfulShading">
    <w:name w:val="Colorful Shading"/>
    <w:basedOn w:val="TableNormal"/>
    <w:uiPriority w:val="71"/>
    <w:semiHidden/>
    <w:rsid w:val="00086DB5"/>
    <w:pPr>
      <w:spacing w:before="0" w:after="0" w:line="240" w:lineRule="auto"/>
    </w:pPr>
    <w:rPr>
      <w:color w:val="000000" w:themeColor="text1"/>
    </w:rPr>
    <w:tblPr>
      <w:tblStyleRowBandSize w:val="1"/>
      <w:tblStyleColBandSize w:val="1"/>
      <w:tblBorders>
        <w:top w:val="single" w:sz="24" w:space="0" w:color="007586"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758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rsid w:val="00086DB5"/>
    <w:pPr>
      <w:spacing w:before="0" w:after="0" w:line="240" w:lineRule="auto"/>
    </w:pPr>
    <w:rPr>
      <w:color w:val="000000" w:themeColor="text1"/>
    </w:rPr>
    <w:tblPr>
      <w:tblStyleRowBandSize w:val="1"/>
      <w:tblStyleColBandSize w:val="1"/>
      <w:tblBorders>
        <w:top w:val="single" w:sz="24" w:space="0" w:color="007586" w:themeColor="accent2"/>
        <w:left w:val="single" w:sz="4" w:space="0" w:color="1B242A" w:themeColor="accent1"/>
        <w:bottom w:val="single" w:sz="4" w:space="0" w:color="1B242A" w:themeColor="accent1"/>
        <w:right w:val="single" w:sz="4" w:space="0" w:color="1B242A" w:themeColor="accent1"/>
        <w:insideH w:val="single" w:sz="4" w:space="0" w:color="FFFFFF" w:themeColor="background1"/>
        <w:insideV w:val="single" w:sz="4" w:space="0" w:color="FFFFFF" w:themeColor="background1"/>
      </w:tblBorders>
    </w:tblPr>
    <w:tcPr>
      <w:shd w:val="clear" w:color="auto" w:fill="E4EAEE" w:themeFill="accent1" w:themeFillTint="19"/>
    </w:tcPr>
    <w:tblStylePr w:type="firstRow">
      <w:rPr>
        <w:b/>
        <w:bCs/>
      </w:rPr>
      <w:tblPr/>
      <w:tcPr>
        <w:tcBorders>
          <w:top w:val="nil"/>
          <w:left w:val="nil"/>
          <w:bottom w:val="single" w:sz="24" w:space="0" w:color="00758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01519" w:themeFill="accent1" w:themeFillShade="99"/>
      </w:tcPr>
    </w:tblStylePr>
    <w:tblStylePr w:type="firstCol">
      <w:rPr>
        <w:color w:val="FFFFFF" w:themeColor="background1"/>
      </w:rPr>
      <w:tblPr/>
      <w:tcPr>
        <w:tcBorders>
          <w:top w:val="nil"/>
          <w:left w:val="nil"/>
          <w:bottom w:val="nil"/>
          <w:right w:val="nil"/>
          <w:insideH w:val="single" w:sz="4" w:space="0" w:color="101519" w:themeColor="accent1" w:themeShade="99"/>
          <w:insideV w:val="nil"/>
        </w:tcBorders>
        <w:shd w:val="clear" w:color="auto" w:fill="101519"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01519" w:themeFill="accent1" w:themeFillShade="99"/>
      </w:tcPr>
    </w:tblStylePr>
    <w:tblStylePr w:type="band1Vert">
      <w:tblPr/>
      <w:tcPr>
        <w:shd w:val="clear" w:color="auto" w:fill="93AABA" w:themeFill="accent1" w:themeFillTint="66"/>
      </w:tcPr>
    </w:tblStylePr>
    <w:tblStylePr w:type="band1Horz">
      <w:tblPr/>
      <w:tcPr>
        <w:shd w:val="clear" w:color="auto" w:fill="7995A9"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rsid w:val="00086DB5"/>
    <w:pPr>
      <w:spacing w:before="0" w:after="0" w:line="240" w:lineRule="auto"/>
    </w:pPr>
    <w:rPr>
      <w:color w:val="000000" w:themeColor="text1"/>
    </w:rPr>
    <w:tblPr>
      <w:tblStyleRowBandSize w:val="1"/>
      <w:tblStyleColBandSize w:val="1"/>
      <w:tblBorders>
        <w:top w:val="single" w:sz="24" w:space="0" w:color="007586" w:themeColor="accent2"/>
        <w:left w:val="single" w:sz="4" w:space="0" w:color="007586" w:themeColor="accent2"/>
        <w:bottom w:val="single" w:sz="4" w:space="0" w:color="007586" w:themeColor="accent2"/>
        <w:right w:val="single" w:sz="4" w:space="0" w:color="007586" w:themeColor="accent2"/>
        <w:insideH w:val="single" w:sz="4" w:space="0" w:color="FFFFFF" w:themeColor="background1"/>
        <w:insideV w:val="single" w:sz="4" w:space="0" w:color="FFFFFF" w:themeColor="background1"/>
      </w:tblBorders>
    </w:tblPr>
    <w:tcPr>
      <w:shd w:val="clear" w:color="auto" w:fill="DAFAFF" w:themeFill="accent2" w:themeFillTint="19"/>
    </w:tcPr>
    <w:tblStylePr w:type="firstRow">
      <w:rPr>
        <w:b/>
        <w:bCs/>
      </w:rPr>
      <w:tblPr/>
      <w:tcPr>
        <w:tcBorders>
          <w:top w:val="nil"/>
          <w:left w:val="nil"/>
          <w:bottom w:val="single" w:sz="24" w:space="0" w:color="00758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550" w:themeFill="accent2" w:themeFillShade="99"/>
      </w:tcPr>
    </w:tblStylePr>
    <w:tblStylePr w:type="firstCol">
      <w:rPr>
        <w:color w:val="FFFFFF" w:themeColor="background1"/>
      </w:rPr>
      <w:tblPr/>
      <w:tcPr>
        <w:tcBorders>
          <w:top w:val="nil"/>
          <w:left w:val="nil"/>
          <w:bottom w:val="nil"/>
          <w:right w:val="nil"/>
          <w:insideH w:val="single" w:sz="4" w:space="0" w:color="004550" w:themeColor="accent2" w:themeShade="99"/>
          <w:insideV w:val="nil"/>
        </w:tcBorders>
        <w:shd w:val="clear" w:color="auto" w:fill="00455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4550" w:themeFill="accent2" w:themeFillShade="99"/>
      </w:tcPr>
    </w:tblStylePr>
    <w:tblStylePr w:type="band1Vert">
      <w:tblPr/>
      <w:tcPr>
        <w:shd w:val="clear" w:color="auto" w:fill="68EBFF" w:themeFill="accent2" w:themeFillTint="66"/>
      </w:tcPr>
    </w:tblStylePr>
    <w:tblStylePr w:type="band1Horz">
      <w:tblPr/>
      <w:tcPr>
        <w:shd w:val="clear" w:color="auto" w:fill="43E6FF"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rsid w:val="00086DB5"/>
    <w:pPr>
      <w:spacing w:before="0" w:after="0" w:line="240" w:lineRule="auto"/>
    </w:pPr>
    <w:rPr>
      <w:color w:val="000000" w:themeColor="text1"/>
    </w:rPr>
    <w:tblPr>
      <w:tblStyleRowBandSize w:val="1"/>
      <w:tblStyleColBandSize w:val="1"/>
      <w:tblBorders>
        <w:top w:val="single" w:sz="24" w:space="0" w:color="004C97" w:themeColor="accent4"/>
        <w:left w:val="single" w:sz="4" w:space="0" w:color="5AB9EB" w:themeColor="accent3"/>
        <w:bottom w:val="single" w:sz="4" w:space="0" w:color="5AB9EB" w:themeColor="accent3"/>
        <w:right w:val="single" w:sz="4" w:space="0" w:color="5AB9EB" w:themeColor="accent3"/>
        <w:insideH w:val="single" w:sz="4" w:space="0" w:color="FFFFFF" w:themeColor="background1"/>
        <w:insideV w:val="single" w:sz="4" w:space="0" w:color="FFFFFF" w:themeColor="background1"/>
      </w:tblBorders>
    </w:tblPr>
    <w:tcPr>
      <w:shd w:val="clear" w:color="auto" w:fill="EEF8FD" w:themeFill="accent3" w:themeFillTint="19"/>
    </w:tcPr>
    <w:tblStylePr w:type="firstRow">
      <w:rPr>
        <w:b/>
        <w:bCs/>
      </w:rPr>
      <w:tblPr/>
      <w:tcPr>
        <w:tcBorders>
          <w:top w:val="nil"/>
          <w:left w:val="nil"/>
          <w:bottom w:val="single" w:sz="24" w:space="0" w:color="004C9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579AD" w:themeFill="accent3" w:themeFillShade="99"/>
      </w:tcPr>
    </w:tblStylePr>
    <w:tblStylePr w:type="firstCol">
      <w:rPr>
        <w:color w:val="FFFFFF" w:themeColor="background1"/>
      </w:rPr>
      <w:tblPr/>
      <w:tcPr>
        <w:tcBorders>
          <w:top w:val="nil"/>
          <w:left w:val="nil"/>
          <w:bottom w:val="nil"/>
          <w:right w:val="nil"/>
          <w:insideH w:val="single" w:sz="4" w:space="0" w:color="1579AD" w:themeColor="accent3" w:themeShade="99"/>
          <w:insideV w:val="nil"/>
        </w:tcBorders>
        <w:shd w:val="clear" w:color="auto" w:fill="1579A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579AD" w:themeFill="accent3" w:themeFillShade="99"/>
      </w:tcPr>
    </w:tblStylePr>
    <w:tblStylePr w:type="band1Vert">
      <w:tblPr/>
      <w:tcPr>
        <w:shd w:val="clear" w:color="auto" w:fill="BDE2F7" w:themeFill="accent3" w:themeFillTint="66"/>
      </w:tcPr>
    </w:tblStylePr>
    <w:tblStylePr w:type="band1Horz">
      <w:tblPr/>
      <w:tcPr>
        <w:shd w:val="clear" w:color="auto" w:fill="ACDCF5" w:themeFill="accent3" w:themeFillTint="7F"/>
      </w:tcPr>
    </w:tblStylePr>
  </w:style>
  <w:style w:type="table" w:styleId="ColourfulShadingAccent4">
    <w:name w:val="Colorful Shading Accent 4"/>
    <w:basedOn w:val="TableNormal"/>
    <w:uiPriority w:val="71"/>
    <w:semiHidden/>
    <w:rsid w:val="00086DB5"/>
    <w:pPr>
      <w:spacing w:before="0" w:after="0" w:line="240" w:lineRule="auto"/>
    </w:pPr>
    <w:rPr>
      <w:color w:val="000000" w:themeColor="text1"/>
    </w:rPr>
    <w:tblPr>
      <w:tblStyleRowBandSize w:val="1"/>
      <w:tblStyleColBandSize w:val="1"/>
      <w:tblBorders>
        <w:top w:val="single" w:sz="24" w:space="0" w:color="5AB9EB" w:themeColor="accent3"/>
        <w:left w:val="single" w:sz="4" w:space="0" w:color="004C97" w:themeColor="accent4"/>
        <w:bottom w:val="single" w:sz="4" w:space="0" w:color="004C97" w:themeColor="accent4"/>
        <w:right w:val="single" w:sz="4" w:space="0" w:color="004C97" w:themeColor="accent4"/>
        <w:insideH w:val="single" w:sz="4" w:space="0" w:color="FFFFFF" w:themeColor="background1"/>
        <w:insideV w:val="single" w:sz="4" w:space="0" w:color="FFFFFF" w:themeColor="background1"/>
      </w:tblBorders>
    </w:tblPr>
    <w:tcPr>
      <w:shd w:val="clear" w:color="auto" w:fill="DBEDFF" w:themeFill="accent4" w:themeFillTint="19"/>
    </w:tcPr>
    <w:tblStylePr w:type="firstRow">
      <w:rPr>
        <w:b/>
        <w:bCs/>
      </w:rPr>
      <w:tblPr/>
      <w:tcPr>
        <w:tcBorders>
          <w:top w:val="nil"/>
          <w:left w:val="nil"/>
          <w:bottom w:val="single" w:sz="24" w:space="0" w:color="5AB9EB"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4" w:themeFillShade="99"/>
      </w:tcPr>
    </w:tblStylePr>
    <w:tblStylePr w:type="firstCol">
      <w:rPr>
        <w:color w:val="FFFFFF" w:themeColor="background1"/>
      </w:rPr>
      <w:tblPr/>
      <w:tcPr>
        <w:tcBorders>
          <w:top w:val="nil"/>
          <w:left w:val="nil"/>
          <w:bottom w:val="nil"/>
          <w:right w:val="nil"/>
          <w:insideH w:val="single" w:sz="4" w:space="0" w:color="002D5A" w:themeColor="accent4" w:themeShade="99"/>
          <w:insideV w:val="nil"/>
        </w:tcBorders>
        <w:shd w:val="clear" w:color="auto" w:fill="002D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4" w:themeFillShade="99"/>
      </w:tcPr>
    </w:tblStylePr>
    <w:tblStylePr w:type="band1Vert">
      <w:tblPr/>
      <w:tcPr>
        <w:shd w:val="clear" w:color="auto" w:fill="6FB7FF" w:themeFill="accent4" w:themeFillTint="66"/>
      </w:tcPr>
    </w:tblStylePr>
    <w:tblStylePr w:type="band1Horz">
      <w:tblPr/>
      <w:tcPr>
        <w:shd w:val="clear" w:color="auto" w:fill="4CA5FF"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rsid w:val="00086DB5"/>
    <w:pPr>
      <w:spacing w:before="0" w:after="0" w:line="240" w:lineRule="auto"/>
    </w:pPr>
    <w:rPr>
      <w:color w:val="000000" w:themeColor="text1"/>
    </w:rPr>
    <w:tblPr>
      <w:tblStyleRowBandSize w:val="1"/>
      <w:tblStyleColBandSize w:val="1"/>
      <w:tblBorders>
        <w:top w:val="single" w:sz="24" w:space="0" w:color="E6643C" w:themeColor="accent6"/>
        <w:left w:val="single" w:sz="4" w:space="0" w:color="5AAA64" w:themeColor="accent5"/>
        <w:bottom w:val="single" w:sz="4" w:space="0" w:color="5AAA64" w:themeColor="accent5"/>
        <w:right w:val="single" w:sz="4" w:space="0" w:color="5AAA64" w:themeColor="accent5"/>
        <w:insideH w:val="single" w:sz="4" w:space="0" w:color="FFFFFF" w:themeColor="background1"/>
        <w:insideV w:val="single" w:sz="4" w:space="0" w:color="FFFFFF" w:themeColor="background1"/>
      </w:tblBorders>
    </w:tblPr>
    <w:tcPr>
      <w:shd w:val="clear" w:color="auto" w:fill="EEF6EF" w:themeFill="accent5" w:themeFillTint="19"/>
    </w:tcPr>
    <w:tblStylePr w:type="firstRow">
      <w:rPr>
        <w:b/>
        <w:bCs/>
      </w:rPr>
      <w:tblPr/>
      <w:tcPr>
        <w:tcBorders>
          <w:top w:val="nil"/>
          <w:left w:val="nil"/>
          <w:bottom w:val="single" w:sz="24" w:space="0" w:color="E6643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663B" w:themeFill="accent5" w:themeFillShade="99"/>
      </w:tcPr>
    </w:tblStylePr>
    <w:tblStylePr w:type="firstCol">
      <w:rPr>
        <w:color w:val="FFFFFF" w:themeColor="background1"/>
      </w:rPr>
      <w:tblPr/>
      <w:tcPr>
        <w:tcBorders>
          <w:top w:val="nil"/>
          <w:left w:val="nil"/>
          <w:bottom w:val="nil"/>
          <w:right w:val="nil"/>
          <w:insideH w:val="single" w:sz="4" w:space="0" w:color="35663B" w:themeColor="accent5" w:themeShade="99"/>
          <w:insideV w:val="nil"/>
        </w:tcBorders>
        <w:shd w:val="clear" w:color="auto" w:fill="35663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5663B" w:themeFill="accent5" w:themeFillShade="99"/>
      </w:tcPr>
    </w:tblStylePr>
    <w:tblStylePr w:type="band1Vert">
      <w:tblPr/>
      <w:tcPr>
        <w:shd w:val="clear" w:color="auto" w:fill="BDDDC0" w:themeFill="accent5" w:themeFillTint="66"/>
      </w:tcPr>
    </w:tblStylePr>
    <w:tblStylePr w:type="band1Horz">
      <w:tblPr/>
      <w:tcPr>
        <w:shd w:val="clear" w:color="auto" w:fill="ACD4B1"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rsid w:val="00086DB5"/>
    <w:pPr>
      <w:spacing w:before="0" w:after="0" w:line="240" w:lineRule="auto"/>
    </w:pPr>
    <w:rPr>
      <w:color w:val="000000" w:themeColor="text1"/>
    </w:rPr>
    <w:tblPr>
      <w:tblStyleRowBandSize w:val="1"/>
      <w:tblStyleColBandSize w:val="1"/>
      <w:tblBorders>
        <w:top w:val="single" w:sz="24" w:space="0" w:color="5AAA64" w:themeColor="accent5"/>
        <w:left w:val="single" w:sz="4" w:space="0" w:color="E6643C" w:themeColor="accent6"/>
        <w:bottom w:val="single" w:sz="4" w:space="0" w:color="E6643C" w:themeColor="accent6"/>
        <w:right w:val="single" w:sz="4" w:space="0" w:color="E6643C" w:themeColor="accent6"/>
        <w:insideH w:val="single" w:sz="4" w:space="0" w:color="FFFFFF" w:themeColor="background1"/>
        <w:insideV w:val="single" w:sz="4" w:space="0" w:color="FFFFFF" w:themeColor="background1"/>
      </w:tblBorders>
    </w:tblPr>
    <w:tcPr>
      <w:shd w:val="clear" w:color="auto" w:fill="FCEFEB" w:themeFill="accent6" w:themeFillTint="19"/>
    </w:tcPr>
    <w:tblStylePr w:type="firstRow">
      <w:rPr>
        <w:b/>
        <w:bCs/>
      </w:rPr>
      <w:tblPr/>
      <w:tcPr>
        <w:tcBorders>
          <w:top w:val="nil"/>
          <w:left w:val="nil"/>
          <w:bottom w:val="single" w:sz="24" w:space="0" w:color="5AAA6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A3313" w:themeFill="accent6" w:themeFillShade="99"/>
      </w:tcPr>
    </w:tblStylePr>
    <w:tblStylePr w:type="firstCol">
      <w:rPr>
        <w:color w:val="FFFFFF" w:themeColor="background1"/>
      </w:rPr>
      <w:tblPr/>
      <w:tcPr>
        <w:tcBorders>
          <w:top w:val="nil"/>
          <w:left w:val="nil"/>
          <w:bottom w:val="nil"/>
          <w:right w:val="nil"/>
          <w:insideH w:val="single" w:sz="4" w:space="0" w:color="9A3313" w:themeColor="accent6" w:themeShade="99"/>
          <w:insideV w:val="nil"/>
        </w:tcBorders>
        <w:shd w:val="clear" w:color="auto" w:fill="9A331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A3313" w:themeFill="accent6" w:themeFillShade="99"/>
      </w:tcPr>
    </w:tblStylePr>
    <w:tblStylePr w:type="band1Vert">
      <w:tblPr/>
      <w:tcPr>
        <w:shd w:val="clear" w:color="auto" w:fill="F5C1B1" w:themeFill="accent6" w:themeFillTint="66"/>
      </w:tcPr>
    </w:tblStylePr>
    <w:tblStylePr w:type="band1Horz">
      <w:tblPr/>
      <w:tcPr>
        <w:shd w:val="clear" w:color="auto" w:fill="F2B19D"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086DB5"/>
    <w:pPr>
      <w:spacing w:before="0"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086DB5"/>
    <w:pPr>
      <w:spacing w:before="0" w:after="0" w:line="240" w:lineRule="auto"/>
    </w:pPr>
    <w:rPr>
      <w:color w:val="FFFFFF" w:themeColor="background1"/>
    </w:rPr>
    <w:tblPr>
      <w:tblStyleRowBandSize w:val="1"/>
      <w:tblStyleColBandSize w:val="1"/>
    </w:tblPr>
    <w:tcPr>
      <w:shd w:val="clear" w:color="auto" w:fill="1B242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D1114"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41A1F"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41A1F" w:themeFill="accent1" w:themeFillShade="BF"/>
      </w:tcPr>
    </w:tblStylePr>
    <w:tblStylePr w:type="band1Vert">
      <w:tblPr/>
      <w:tcPr>
        <w:tcBorders>
          <w:top w:val="nil"/>
          <w:left w:val="nil"/>
          <w:bottom w:val="nil"/>
          <w:right w:val="nil"/>
          <w:insideH w:val="nil"/>
          <w:insideV w:val="nil"/>
        </w:tcBorders>
        <w:shd w:val="clear" w:color="auto" w:fill="141A1F" w:themeFill="accent1" w:themeFillShade="BF"/>
      </w:tcPr>
    </w:tblStylePr>
    <w:tblStylePr w:type="band1Horz">
      <w:tblPr/>
      <w:tcPr>
        <w:tcBorders>
          <w:top w:val="nil"/>
          <w:left w:val="nil"/>
          <w:bottom w:val="nil"/>
          <w:right w:val="nil"/>
          <w:insideH w:val="nil"/>
          <w:insideV w:val="nil"/>
        </w:tcBorders>
        <w:shd w:val="clear" w:color="auto" w:fill="141A1F" w:themeFill="accent1" w:themeFillShade="BF"/>
      </w:tcPr>
    </w:tblStylePr>
  </w:style>
  <w:style w:type="table" w:styleId="DarkList-Accent2">
    <w:name w:val="Dark List Accent 2"/>
    <w:basedOn w:val="TableNormal"/>
    <w:uiPriority w:val="70"/>
    <w:semiHidden/>
    <w:rsid w:val="00086DB5"/>
    <w:pPr>
      <w:spacing w:before="0" w:after="0" w:line="240" w:lineRule="auto"/>
    </w:pPr>
    <w:rPr>
      <w:color w:val="FFFFFF" w:themeColor="background1"/>
    </w:rPr>
    <w:tblPr>
      <w:tblStyleRowBandSize w:val="1"/>
      <w:tblStyleColBandSize w:val="1"/>
    </w:tblPr>
    <w:tcPr>
      <w:shd w:val="clear" w:color="auto" w:fill="007586"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A42"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576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5764" w:themeFill="accent2" w:themeFillShade="BF"/>
      </w:tcPr>
    </w:tblStylePr>
    <w:tblStylePr w:type="band1Vert">
      <w:tblPr/>
      <w:tcPr>
        <w:tcBorders>
          <w:top w:val="nil"/>
          <w:left w:val="nil"/>
          <w:bottom w:val="nil"/>
          <w:right w:val="nil"/>
          <w:insideH w:val="nil"/>
          <w:insideV w:val="nil"/>
        </w:tcBorders>
        <w:shd w:val="clear" w:color="auto" w:fill="005764" w:themeFill="accent2" w:themeFillShade="BF"/>
      </w:tcPr>
    </w:tblStylePr>
    <w:tblStylePr w:type="band1Horz">
      <w:tblPr/>
      <w:tcPr>
        <w:tcBorders>
          <w:top w:val="nil"/>
          <w:left w:val="nil"/>
          <w:bottom w:val="nil"/>
          <w:right w:val="nil"/>
          <w:insideH w:val="nil"/>
          <w:insideV w:val="nil"/>
        </w:tcBorders>
        <w:shd w:val="clear" w:color="auto" w:fill="005764" w:themeFill="accent2" w:themeFillShade="BF"/>
      </w:tcPr>
    </w:tblStylePr>
  </w:style>
  <w:style w:type="table" w:styleId="DarkList-Accent3">
    <w:name w:val="Dark List Accent 3"/>
    <w:basedOn w:val="TableNormal"/>
    <w:uiPriority w:val="70"/>
    <w:semiHidden/>
    <w:rsid w:val="00086DB5"/>
    <w:pPr>
      <w:spacing w:before="0" w:after="0" w:line="240" w:lineRule="auto"/>
    </w:pPr>
    <w:rPr>
      <w:color w:val="FFFFFF" w:themeColor="background1"/>
    </w:rPr>
    <w:tblPr>
      <w:tblStyleRowBandSize w:val="1"/>
      <w:tblStyleColBandSize w:val="1"/>
    </w:tblPr>
    <w:tcPr>
      <w:shd w:val="clear" w:color="auto" w:fill="5AB9EB"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1649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A97D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A97D9" w:themeFill="accent3" w:themeFillShade="BF"/>
      </w:tcPr>
    </w:tblStylePr>
    <w:tblStylePr w:type="band1Vert">
      <w:tblPr/>
      <w:tcPr>
        <w:tcBorders>
          <w:top w:val="nil"/>
          <w:left w:val="nil"/>
          <w:bottom w:val="nil"/>
          <w:right w:val="nil"/>
          <w:insideH w:val="nil"/>
          <w:insideV w:val="nil"/>
        </w:tcBorders>
        <w:shd w:val="clear" w:color="auto" w:fill="1A97D9" w:themeFill="accent3" w:themeFillShade="BF"/>
      </w:tcPr>
    </w:tblStylePr>
    <w:tblStylePr w:type="band1Horz">
      <w:tblPr/>
      <w:tcPr>
        <w:tcBorders>
          <w:top w:val="nil"/>
          <w:left w:val="nil"/>
          <w:bottom w:val="nil"/>
          <w:right w:val="nil"/>
          <w:insideH w:val="nil"/>
          <w:insideV w:val="nil"/>
        </w:tcBorders>
        <w:shd w:val="clear" w:color="auto" w:fill="1A97D9" w:themeFill="accent3" w:themeFillShade="BF"/>
      </w:tcPr>
    </w:tblStylePr>
  </w:style>
  <w:style w:type="table" w:styleId="DarkList-Accent4">
    <w:name w:val="Dark List Accent 4"/>
    <w:basedOn w:val="TableNormal"/>
    <w:uiPriority w:val="70"/>
    <w:semiHidden/>
    <w:rsid w:val="00086DB5"/>
    <w:pPr>
      <w:spacing w:before="0" w:after="0" w:line="240" w:lineRule="auto"/>
    </w:pPr>
    <w:rPr>
      <w:color w:val="FFFFFF" w:themeColor="background1"/>
    </w:rPr>
    <w:tblPr>
      <w:tblStyleRowBandSize w:val="1"/>
      <w:tblStyleColBandSize w:val="1"/>
    </w:tblPr>
    <w:tcPr>
      <w:shd w:val="clear" w:color="auto" w:fill="004C9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4" w:themeFillShade="BF"/>
      </w:tcPr>
    </w:tblStylePr>
    <w:tblStylePr w:type="band1Vert">
      <w:tblPr/>
      <w:tcPr>
        <w:tcBorders>
          <w:top w:val="nil"/>
          <w:left w:val="nil"/>
          <w:bottom w:val="nil"/>
          <w:right w:val="nil"/>
          <w:insideH w:val="nil"/>
          <w:insideV w:val="nil"/>
        </w:tcBorders>
        <w:shd w:val="clear" w:color="auto" w:fill="003871" w:themeFill="accent4" w:themeFillShade="BF"/>
      </w:tcPr>
    </w:tblStylePr>
    <w:tblStylePr w:type="band1Horz">
      <w:tblPr/>
      <w:tcPr>
        <w:tcBorders>
          <w:top w:val="nil"/>
          <w:left w:val="nil"/>
          <w:bottom w:val="nil"/>
          <w:right w:val="nil"/>
          <w:insideH w:val="nil"/>
          <w:insideV w:val="nil"/>
        </w:tcBorders>
        <w:shd w:val="clear" w:color="auto" w:fill="003871" w:themeFill="accent4" w:themeFillShade="BF"/>
      </w:tcPr>
    </w:tblStylePr>
  </w:style>
  <w:style w:type="table" w:styleId="DarkList-Accent5">
    <w:name w:val="Dark List Accent 5"/>
    <w:basedOn w:val="TableNormal"/>
    <w:uiPriority w:val="70"/>
    <w:semiHidden/>
    <w:rsid w:val="00086DB5"/>
    <w:pPr>
      <w:spacing w:before="0" w:after="0" w:line="240" w:lineRule="auto"/>
    </w:pPr>
    <w:rPr>
      <w:color w:val="FFFFFF" w:themeColor="background1"/>
    </w:rPr>
    <w:tblPr>
      <w:tblStyleRowBandSize w:val="1"/>
      <w:tblStyleColBandSize w:val="1"/>
    </w:tblPr>
    <w:tcPr>
      <w:shd w:val="clear" w:color="auto" w:fill="5AAA6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553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28049"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28049" w:themeFill="accent5" w:themeFillShade="BF"/>
      </w:tcPr>
    </w:tblStylePr>
    <w:tblStylePr w:type="band1Vert">
      <w:tblPr/>
      <w:tcPr>
        <w:tcBorders>
          <w:top w:val="nil"/>
          <w:left w:val="nil"/>
          <w:bottom w:val="nil"/>
          <w:right w:val="nil"/>
          <w:insideH w:val="nil"/>
          <w:insideV w:val="nil"/>
        </w:tcBorders>
        <w:shd w:val="clear" w:color="auto" w:fill="428049" w:themeFill="accent5" w:themeFillShade="BF"/>
      </w:tcPr>
    </w:tblStylePr>
    <w:tblStylePr w:type="band1Horz">
      <w:tblPr/>
      <w:tcPr>
        <w:tcBorders>
          <w:top w:val="nil"/>
          <w:left w:val="nil"/>
          <w:bottom w:val="nil"/>
          <w:right w:val="nil"/>
          <w:insideH w:val="nil"/>
          <w:insideV w:val="nil"/>
        </w:tcBorders>
        <w:shd w:val="clear" w:color="auto" w:fill="428049" w:themeFill="accent5" w:themeFillShade="BF"/>
      </w:tcPr>
    </w:tblStylePr>
  </w:style>
  <w:style w:type="table" w:styleId="DarkList-Accent6">
    <w:name w:val="Dark List Accent 6"/>
    <w:basedOn w:val="TableNormal"/>
    <w:uiPriority w:val="70"/>
    <w:semiHidden/>
    <w:rsid w:val="00086DB5"/>
    <w:pPr>
      <w:spacing w:before="0" w:after="0" w:line="240" w:lineRule="auto"/>
    </w:pPr>
    <w:rPr>
      <w:color w:val="FFFFFF" w:themeColor="background1"/>
    </w:rPr>
    <w:tblPr>
      <w:tblStyleRowBandSize w:val="1"/>
      <w:tblStyleColBandSize w:val="1"/>
    </w:tblPr>
    <w:tcPr>
      <w:shd w:val="clear" w:color="auto" w:fill="E6643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2A1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C04018"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C04018" w:themeFill="accent6" w:themeFillShade="BF"/>
      </w:tcPr>
    </w:tblStylePr>
    <w:tblStylePr w:type="band1Vert">
      <w:tblPr/>
      <w:tcPr>
        <w:tcBorders>
          <w:top w:val="nil"/>
          <w:left w:val="nil"/>
          <w:bottom w:val="nil"/>
          <w:right w:val="nil"/>
          <w:insideH w:val="nil"/>
          <w:insideV w:val="nil"/>
        </w:tcBorders>
        <w:shd w:val="clear" w:color="auto" w:fill="C04018" w:themeFill="accent6" w:themeFillShade="BF"/>
      </w:tcPr>
    </w:tblStylePr>
    <w:tblStylePr w:type="band1Horz">
      <w:tblPr/>
      <w:tcPr>
        <w:tcBorders>
          <w:top w:val="nil"/>
          <w:left w:val="nil"/>
          <w:bottom w:val="nil"/>
          <w:right w:val="nil"/>
          <w:insideH w:val="nil"/>
          <w:insideV w:val="nil"/>
        </w:tcBorders>
        <w:shd w:val="clear" w:color="auto" w:fill="C04018" w:themeFill="accent6" w:themeFillShade="BF"/>
      </w:tcPr>
    </w:tblStylePr>
  </w:style>
  <w:style w:type="table" w:styleId="GridTable1Light">
    <w:name w:val="Grid Table 1 Light"/>
    <w:basedOn w:val="TableNormal"/>
    <w:uiPriority w:val="46"/>
    <w:rsid w:val="00086DB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86DB5"/>
    <w:pPr>
      <w:spacing w:after="0" w:line="240" w:lineRule="auto"/>
    </w:pPr>
    <w:tblPr>
      <w:tblStyleRowBandSize w:val="1"/>
      <w:tblStyleColBandSize w:val="1"/>
      <w:tblBorders>
        <w:top w:val="single" w:sz="4" w:space="0" w:color="93AABA" w:themeColor="accent1" w:themeTint="66"/>
        <w:left w:val="single" w:sz="4" w:space="0" w:color="93AABA" w:themeColor="accent1" w:themeTint="66"/>
        <w:bottom w:val="single" w:sz="4" w:space="0" w:color="93AABA" w:themeColor="accent1" w:themeTint="66"/>
        <w:right w:val="single" w:sz="4" w:space="0" w:color="93AABA" w:themeColor="accent1" w:themeTint="66"/>
        <w:insideH w:val="single" w:sz="4" w:space="0" w:color="93AABA" w:themeColor="accent1" w:themeTint="66"/>
        <w:insideV w:val="single" w:sz="4" w:space="0" w:color="93AABA" w:themeColor="accent1" w:themeTint="66"/>
      </w:tblBorders>
    </w:tblPr>
    <w:tblStylePr w:type="firstRow">
      <w:rPr>
        <w:b/>
        <w:bCs/>
      </w:rPr>
      <w:tblPr/>
      <w:tcPr>
        <w:tcBorders>
          <w:bottom w:val="single" w:sz="12" w:space="0" w:color="607F95" w:themeColor="accent1" w:themeTint="99"/>
        </w:tcBorders>
      </w:tcPr>
    </w:tblStylePr>
    <w:tblStylePr w:type="lastRow">
      <w:rPr>
        <w:b/>
        <w:bCs/>
      </w:rPr>
      <w:tblPr/>
      <w:tcPr>
        <w:tcBorders>
          <w:top w:val="double" w:sz="2" w:space="0" w:color="607F9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86DB5"/>
    <w:pPr>
      <w:spacing w:after="0" w:line="240" w:lineRule="auto"/>
    </w:pPr>
    <w:tblPr>
      <w:tblStyleRowBandSize w:val="1"/>
      <w:tblStyleColBandSize w:val="1"/>
      <w:tblBorders>
        <w:top w:val="single" w:sz="4" w:space="0" w:color="68EBFF" w:themeColor="accent2" w:themeTint="66"/>
        <w:left w:val="single" w:sz="4" w:space="0" w:color="68EBFF" w:themeColor="accent2" w:themeTint="66"/>
        <w:bottom w:val="single" w:sz="4" w:space="0" w:color="68EBFF" w:themeColor="accent2" w:themeTint="66"/>
        <w:right w:val="single" w:sz="4" w:space="0" w:color="68EBFF" w:themeColor="accent2" w:themeTint="66"/>
        <w:insideH w:val="single" w:sz="4" w:space="0" w:color="68EBFF" w:themeColor="accent2" w:themeTint="66"/>
        <w:insideV w:val="single" w:sz="4" w:space="0" w:color="68EBFF" w:themeColor="accent2" w:themeTint="66"/>
      </w:tblBorders>
    </w:tblPr>
    <w:tblStylePr w:type="firstRow">
      <w:rPr>
        <w:b/>
        <w:bCs/>
      </w:rPr>
      <w:tblPr/>
      <w:tcPr>
        <w:tcBorders>
          <w:bottom w:val="single" w:sz="12" w:space="0" w:color="1DE1FF" w:themeColor="accent2" w:themeTint="99"/>
        </w:tcBorders>
      </w:tcPr>
    </w:tblStylePr>
    <w:tblStylePr w:type="lastRow">
      <w:rPr>
        <w:b/>
        <w:bCs/>
      </w:rPr>
      <w:tblPr/>
      <w:tcPr>
        <w:tcBorders>
          <w:top w:val="double" w:sz="2" w:space="0" w:color="1DE1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86DB5"/>
    <w:pPr>
      <w:spacing w:after="0" w:line="240" w:lineRule="auto"/>
    </w:pPr>
    <w:tblPr>
      <w:tblStyleRowBandSize w:val="1"/>
      <w:tblStyleColBandSize w:val="1"/>
      <w:tblBorders>
        <w:top w:val="single" w:sz="4" w:space="0" w:color="BDE2F7" w:themeColor="accent3" w:themeTint="66"/>
        <w:left w:val="single" w:sz="4" w:space="0" w:color="BDE2F7" w:themeColor="accent3" w:themeTint="66"/>
        <w:bottom w:val="single" w:sz="4" w:space="0" w:color="BDE2F7" w:themeColor="accent3" w:themeTint="66"/>
        <w:right w:val="single" w:sz="4" w:space="0" w:color="BDE2F7" w:themeColor="accent3" w:themeTint="66"/>
        <w:insideH w:val="single" w:sz="4" w:space="0" w:color="BDE2F7" w:themeColor="accent3" w:themeTint="66"/>
        <w:insideV w:val="single" w:sz="4" w:space="0" w:color="BDE2F7" w:themeColor="accent3" w:themeTint="66"/>
      </w:tblBorders>
    </w:tblPr>
    <w:tblStylePr w:type="firstRow">
      <w:rPr>
        <w:b/>
        <w:bCs/>
      </w:rPr>
      <w:tblPr/>
      <w:tcPr>
        <w:tcBorders>
          <w:bottom w:val="single" w:sz="12" w:space="0" w:color="9CD4F3" w:themeColor="accent3" w:themeTint="99"/>
        </w:tcBorders>
      </w:tcPr>
    </w:tblStylePr>
    <w:tblStylePr w:type="lastRow">
      <w:rPr>
        <w:b/>
        <w:bCs/>
      </w:rPr>
      <w:tblPr/>
      <w:tcPr>
        <w:tcBorders>
          <w:top w:val="double" w:sz="2" w:space="0" w:color="9CD4F3"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86DB5"/>
    <w:pPr>
      <w:spacing w:after="0" w:line="240" w:lineRule="auto"/>
    </w:pPr>
    <w:tblPr>
      <w:tblStyleRowBandSize w:val="1"/>
      <w:tblStyleColBandSize w:val="1"/>
      <w:tblBorders>
        <w:top w:val="single" w:sz="4" w:space="0" w:color="6FB7FF" w:themeColor="accent4" w:themeTint="66"/>
        <w:left w:val="single" w:sz="4" w:space="0" w:color="6FB7FF" w:themeColor="accent4" w:themeTint="66"/>
        <w:bottom w:val="single" w:sz="4" w:space="0" w:color="6FB7FF" w:themeColor="accent4" w:themeTint="66"/>
        <w:right w:val="single" w:sz="4" w:space="0" w:color="6FB7FF" w:themeColor="accent4" w:themeTint="66"/>
        <w:insideH w:val="single" w:sz="4" w:space="0" w:color="6FB7FF" w:themeColor="accent4" w:themeTint="66"/>
        <w:insideV w:val="single" w:sz="4" w:space="0" w:color="6FB7FF" w:themeColor="accent4" w:themeTint="66"/>
      </w:tblBorders>
    </w:tblPr>
    <w:tblStylePr w:type="firstRow">
      <w:rPr>
        <w:b/>
        <w:bCs/>
      </w:rPr>
      <w:tblPr/>
      <w:tcPr>
        <w:tcBorders>
          <w:bottom w:val="single" w:sz="12" w:space="0" w:color="2793FF" w:themeColor="accent4" w:themeTint="99"/>
        </w:tcBorders>
      </w:tcPr>
    </w:tblStylePr>
    <w:tblStylePr w:type="lastRow">
      <w:rPr>
        <w:b/>
        <w:bCs/>
      </w:rPr>
      <w:tblPr/>
      <w:tcPr>
        <w:tcBorders>
          <w:top w:val="double" w:sz="2" w:space="0" w:color="2793FF"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86DB5"/>
    <w:pPr>
      <w:spacing w:after="0" w:line="240" w:lineRule="auto"/>
    </w:pPr>
    <w:tblPr>
      <w:tblStyleRowBandSize w:val="1"/>
      <w:tblStyleColBandSize w:val="1"/>
      <w:tblBorders>
        <w:top w:val="single" w:sz="4" w:space="0" w:color="BDDDC0" w:themeColor="accent5" w:themeTint="66"/>
        <w:left w:val="single" w:sz="4" w:space="0" w:color="BDDDC0" w:themeColor="accent5" w:themeTint="66"/>
        <w:bottom w:val="single" w:sz="4" w:space="0" w:color="BDDDC0" w:themeColor="accent5" w:themeTint="66"/>
        <w:right w:val="single" w:sz="4" w:space="0" w:color="BDDDC0" w:themeColor="accent5" w:themeTint="66"/>
        <w:insideH w:val="single" w:sz="4" w:space="0" w:color="BDDDC0" w:themeColor="accent5" w:themeTint="66"/>
        <w:insideV w:val="single" w:sz="4" w:space="0" w:color="BDDDC0" w:themeColor="accent5" w:themeTint="66"/>
      </w:tblBorders>
    </w:tblPr>
    <w:tblStylePr w:type="firstRow">
      <w:rPr>
        <w:b/>
        <w:bCs/>
      </w:rPr>
      <w:tblPr/>
      <w:tcPr>
        <w:tcBorders>
          <w:bottom w:val="single" w:sz="12" w:space="0" w:color="9CCCA1" w:themeColor="accent5" w:themeTint="99"/>
        </w:tcBorders>
      </w:tcPr>
    </w:tblStylePr>
    <w:tblStylePr w:type="lastRow">
      <w:rPr>
        <w:b/>
        <w:bCs/>
      </w:rPr>
      <w:tblPr/>
      <w:tcPr>
        <w:tcBorders>
          <w:top w:val="double" w:sz="2" w:space="0" w:color="9CCCA1"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86DB5"/>
    <w:pPr>
      <w:spacing w:after="0" w:line="240" w:lineRule="auto"/>
    </w:pPr>
    <w:tblPr>
      <w:tblStyleRowBandSize w:val="1"/>
      <w:tblStyleColBandSize w:val="1"/>
      <w:tblBorders>
        <w:top w:val="single" w:sz="4" w:space="0" w:color="F5C1B1" w:themeColor="accent6" w:themeTint="66"/>
        <w:left w:val="single" w:sz="4" w:space="0" w:color="F5C1B1" w:themeColor="accent6" w:themeTint="66"/>
        <w:bottom w:val="single" w:sz="4" w:space="0" w:color="F5C1B1" w:themeColor="accent6" w:themeTint="66"/>
        <w:right w:val="single" w:sz="4" w:space="0" w:color="F5C1B1" w:themeColor="accent6" w:themeTint="66"/>
        <w:insideH w:val="single" w:sz="4" w:space="0" w:color="F5C1B1" w:themeColor="accent6" w:themeTint="66"/>
        <w:insideV w:val="single" w:sz="4" w:space="0" w:color="F5C1B1" w:themeColor="accent6" w:themeTint="66"/>
      </w:tblBorders>
    </w:tblPr>
    <w:tblStylePr w:type="firstRow">
      <w:rPr>
        <w:b/>
        <w:bCs/>
      </w:rPr>
      <w:tblPr/>
      <w:tcPr>
        <w:tcBorders>
          <w:bottom w:val="single" w:sz="12" w:space="0" w:color="F0A28A" w:themeColor="accent6" w:themeTint="99"/>
        </w:tcBorders>
      </w:tcPr>
    </w:tblStylePr>
    <w:tblStylePr w:type="lastRow">
      <w:rPr>
        <w:b/>
        <w:bCs/>
      </w:rPr>
      <w:tblPr/>
      <w:tcPr>
        <w:tcBorders>
          <w:top w:val="double" w:sz="2" w:space="0" w:color="F0A28A"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86DB5"/>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86DB5"/>
    <w:pPr>
      <w:spacing w:after="0" w:line="240" w:lineRule="auto"/>
    </w:pPr>
    <w:tblPr>
      <w:tblStyleRowBandSize w:val="1"/>
      <w:tblStyleColBandSize w:val="1"/>
      <w:tblBorders>
        <w:top w:val="single" w:sz="2" w:space="0" w:color="607F95" w:themeColor="accent1" w:themeTint="99"/>
        <w:bottom w:val="single" w:sz="2" w:space="0" w:color="607F95" w:themeColor="accent1" w:themeTint="99"/>
        <w:insideH w:val="single" w:sz="2" w:space="0" w:color="607F95" w:themeColor="accent1" w:themeTint="99"/>
        <w:insideV w:val="single" w:sz="2" w:space="0" w:color="607F95" w:themeColor="accent1" w:themeTint="99"/>
      </w:tblBorders>
    </w:tblPr>
    <w:tblStylePr w:type="firstRow">
      <w:rPr>
        <w:b/>
        <w:bCs/>
      </w:rPr>
      <w:tblPr/>
      <w:tcPr>
        <w:tcBorders>
          <w:top w:val="nil"/>
          <w:bottom w:val="single" w:sz="12" w:space="0" w:color="607F95" w:themeColor="accent1" w:themeTint="99"/>
          <w:insideH w:val="nil"/>
          <w:insideV w:val="nil"/>
        </w:tcBorders>
        <w:shd w:val="clear" w:color="auto" w:fill="FFFFFF" w:themeFill="background1"/>
      </w:tcPr>
    </w:tblStylePr>
    <w:tblStylePr w:type="lastRow">
      <w:rPr>
        <w:b/>
        <w:bCs/>
      </w:rPr>
      <w:tblPr/>
      <w:tcPr>
        <w:tcBorders>
          <w:top w:val="double" w:sz="2" w:space="0" w:color="607F9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9D4DC" w:themeFill="accent1" w:themeFillTint="33"/>
      </w:tcPr>
    </w:tblStylePr>
    <w:tblStylePr w:type="band1Horz">
      <w:tblPr/>
      <w:tcPr>
        <w:shd w:val="clear" w:color="auto" w:fill="C9D4DC" w:themeFill="accent1" w:themeFillTint="33"/>
      </w:tcPr>
    </w:tblStylePr>
  </w:style>
  <w:style w:type="table" w:styleId="GridTable2-Accent2">
    <w:name w:val="Grid Table 2 Accent 2"/>
    <w:basedOn w:val="TableNormal"/>
    <w:uiPriority w:val="47"/>
    <w:rsid w:val="00086DB5"/>
    <w:pPr>
      <w:spacing w:after="0" w:line="240" w:lineRule="auto"/>
    </w:pPr>
    <w:tblPr>
      <w:tblStyleRowBandSize w:val="1"/>
      <w:tblStyleColBandSize w:val="1"/>
      <w:tblBorders>
        <w:top w:val="single" w:sz="2" w:space="0" w:color="1DE1FF" w:themeColor="accent2" w:themeTint="99"/>
        <w:bottom w:val="single" w:sz="2" w:space="0" w:color="1DE1FF" w:themeColor="accent2" w:themeTint="99"/>
        <w:insideH w:val="single" w:sz="2" w:space="0" w:color="1DE1FF" w:themeColor="accent2" w:themeTint="99"/>
        <w:insideV w:val="single" w:sz="2" w:space="0" w:color="1DE1FF" w:themeColor="accent2" w:themeTint="99"/>
      </w:tblBorders>
    </w:tblPr>
    <w:tblStylePr w:type="firstRow">
      <w:rPr>
        <w:b/>
        <w:bCs/>
      </w:rPr>
      <w:tblPr/>
      <w:tcPr>
        <w:tcBorders>
          <w:top w:val="nil"/>
          <w:bottom w:val="single" w:sz="12" w:space="0" w:color="1DE1FF" w:themeColor="accent2" w:themeTint="99"/>
          <w:insideH w:val="nil"/>
          <w:insideV w:val="nil"/>
        </w:tcBorders>
        <w:shd w:val="clear" w:color="auto" w:fill="FFFFFF" w:themeFill="background1"/>
      </w:tcPr>
    </w:tblStylePr>
    <w:tblStylePr w:type="lastRow">
      <w:rPr>
        <w:b/>
        <w:bCs/>
      </w:rPr>
      <w:tblPr/>
      <w:tcPr>
        <w:tcBorders>
          <w:top w:val="double" w:sz="2" w:space="0" w:color="1DE1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3F5FF" w:themeFill="accent2" w:themeFillTint="33"/>
      </w:tcPr>
    </w:tblStylePr>
    <w:tblStylePr w:type="band1Horz">
      <w:tblPr/>
      <w:tcPr>
        <w:shd w:val="clear" w:color="auto" w:fill="B3F5FF" w:themeFill="accent2" w:themeFillTint="33"/>
      </w:tcPr>
    </w:tblStylePr>
  </w:style>
  <w:style w:type="table" w:styleId="GridTable2-Accent3">
    <w:name w:val="Grid Table 2 Accent 3"/>
    <w:basedOn w:val="TableNormal"/>
    <w:uiPriority w:val="47"/>
    <w:rsid w:val="00086DB5"/>
    <w:pPr>
      <w:spacing w:after="0" w:line="240" w:lineRule="auto"/>
    </w:pPr>
    <w:tblPr>
      <w:tblStyleRowBandSize w:val="1"/>
      <w:tblStyleColBandSize w:val="1"/>
      <w:tblBorders>
        <w:top w:val="single" w:sz="2" w:space="0" w:color="9CD4F3" w:themeColor="accent3" w:themeTint="99"/>
        <w:bottom w:val="single" w:sz="2" w:space="0" w:color="9CD4F3" w:themeColor="accent3" w:themeTint="99"/>
        <w:insideH w:val="single" w:sz="2" w:space="0" w:color="9CD4F3" w:themeColor="accent3" w:themeTint="99"/>
        <w:insideV w:val="single" w:sz="2" w:space="0" w:color="9CD4F3" w:themeColor="accent3" w:themeTint="99"/>
      </w:tblBorders>
    </w:tblPr>
    <w:tblStylePr w:type="firstRow">
      <w:rPr>
        <w:b/>
        <w:bCs/>
      </w:rPr>
      <w:tblPr/>
      <w:tcPr>
        <w:tcBorders>
          <w:top w:val="nil"/>
          <w:bottom w:val="single" w:sz="12" w:space="0" w:color="9CD4F3" w:themeColor="accent3" w:themeTint="99"/>
          <w:insideH w:val="nil"/>
          <w:insideV w:val="nil"/>
        </w:tcBorders>
        <w:shd w:val="clear" w:color="auto" w:fill="FFFFFF" w:themeFill="background1"/>
      </w:tcPr>
    </w:tblStylePr>
    <w:tblStylePr w:type="lastRow">
      <w:rPr>
        <w:b/>
        <w:bCs/>
      </w:rPr>
      <w:tblPr/>
      <w:tcPr>
        <w:tcBorders>
          <w:top w:val="double" w:sz="2" w:space="0" w:color="9CD4F3"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F0FB" w:themeFill="accent3" w:themeFillTint="33"/>
      </w:tcPr>
    </w:tblStylePr>
    <w:tblStylePr w:type="band1Horz">
      <w:tblPr/>
      <w:tcPr>
        <w:shd w:val="clear" w:color="auto" w:fill="DEF0FB" w:themeFill="accent3" w:themeFillTint="33"/>
      </w:tcPr>
    </w:tblStylePr>
  </w:style>
  <w:style w:type="table" w:styleId="GridTable2-Accent4">
    <w:name w:val="Grid Table 2 Accent 4"/>
    <w:basedOn w:val="TableNormal"/>
    <w:uiPriority w:val="47"/>
    <w:rsid w:val="00086DB5"/>
    <w:pPr>
      <w:spacing w:after="0" w:line="240" w:lineRule="auto"/>
    </w:pPr>
    <w:tblPr>
      <w:tblStyleRowBandSize w:val="1"/>
      <w:tblStyleColBandSize w:val="1"/>
      <w:tblBorders>
        <w:top w:val="single" w:sz="2" w:space="0" w:color="2793FF" w:themeColor="accent4" w:themeTint="99"/>
        <w:bottom w:val="single" w:sz="2" w:space="0" w:color="2793FF" w:themeColor="accent4" w:themeTint="99"/>
        <w:insideH w:val="single" w:sz="2" w:space="0" w:color="2793FF" w:themeColor="accent4" w:themeTint="99"/>
        <w:insideV w:val="single" w:sz="2" w:space="0" w:color="2793FF" w:themeColor="accent4" w:themeTint="99"/>
      </w:tblBorders>
    </w:tblPr>
    <w:tblStylePr w:type="firstRow">
      <w:rPr>
        <w:b/>
        <w:bCs/>
      </w:rPr>
      <w:tblPr/>
      <w:tcPr>
        <w:tcBorders>
          <w:top w:val="nil"/>
          <w:bottom w:val="single" w:sz="12" w:space="0" w:color="2793FF" w:themeColor="accent4" w:themeTint="99"/>
          <w:insideH w:val="nil"/>
          <w:insideV w:val="nil"/>
        </w:tcBorders>
        <w:shd w:val="clear" w:color="auto" w:fill="FFFFFF" w:themeFill="background1"/>
      </w:tcPr>
    </w:tblStylePr>
    <w:tblStylePr w:type="lastRow">
      <w:rPr>
        <w:b/>
        <w:bCs/>
      </w:rPr>
      <w:tblPr/>
      <w:tcPr>
        <w:tcBorders>
          <w:top w:val="double" w:sz="2" w:space="0" w:color="2793F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4" w:themeFillTint="33"/>
      </w:tcPr>
    </w:tblStylePr>
    <w:tblStylePr w:type="band1Horz">
      <w:tblPr/>
      <w:tcPr>
        <w:shd w:val="clear" w:color="auto" w:fill="B7DBFF" w:themeFill="accent4" w:themeFillTint="33"/>
      </w:tcPr>
    </w:tblStylePr>
  </w:style>
  <w:style w:type="table" w:styleId="GridTable2-Accent5">
    <w:name w:val="Grid Table 2 Accent 5"/>
    <w:basedOn w:val="TableNormal"/>
    <w:uiPriority w:val="47"/>
    <w:rsid w:val="00086DB5"/>
    <w:pPr>
      <w:spacing w:after="0" w:line="240" w:lineRule="auto"/>
    </w:pPr>
    <w:tblPr>
      <w:tblStyleRowBandSize w:val="1"/>
      <w:tblStyleColBandSize w:val="1"/>
      <w:tblBorders>
        <w:top w:val="single" w:sz="2" w:space="0" w:color="9CCCA1" w:themeColor="accent5" w:themeTint="99"/>
        <w:bottom w:val="single" w:sz="2" w:space="0" w:color="9CCCA1" w:themeColor="accent5" w:themeTint="99"/>
        <w:insideH w:val="single" w:sz="2" w:space="0" w:color="9CCCA1" w:themeColor="accent5" w:themeTint="99"/>
        <w:insideV w:val="single" w:sz="2" w:space="0" w:color="9CCCA1" w:themeColor="accent5" w:themeTint="99"/>
      </w:tblBorders>
    </w:tblPr>
    <w:tblStylePr w:type="firstRow">
      <w:rPr>
        <w:b/>
        <w:bCs/>
      </w:rPr>
      <w:tblPr/>
      <w:tcPr>
        <w:tcBorders>
          <w:top w:val="nil"/>
          <w:bottom w:val="single" w:sz="12" w:space="0" w:color="9CCCA1" w:themeColor="accent5" w:themeTint="99"/>
          <w:insideH w:val="nil"/>
          <w:insideV w:val="nil"/>
        </w:tcBorders>
        <w:shd w:val="clear" w:color="auto" w:fill="FFFFFF" w:themeFill="background1"/>
      </w:tcPr>
    </w:tblStylePr>
    <w:tblStylePr w:type="lastRow">
      <w:rPr>
        <w:b/>
        <w:bCs/>
      </w:rPr>
      <w:tblPr/>
      <w:tcPr>
        <w:tcBorders>
          <w:top w:val="double" w:sz="2" w:space="0" w:color="9CCCA1"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EDF" w:themeFill="accent5" w:themeFillTint="33"/>
      </w:tcPr>
    </w:tblStylePr>
    <w:tblStylePr w:type="band1Horz">
      <w:tblPr/>
      <w:tcPr>
        <w:shd w:val="clear" w:color="auto" w:fill="DEEEDF" w:themeFill="accent5" w:themeFillTint="33"/>
      </w:tcPr>
    </w:tblStylePr>
  </w:style>
  <w:style w:type="table" w:styleId="GridTable2-Accent6">
    <w:name w:val="Grid Table 2 Accent 6"/>
    <w:basedOn w:val="TableNormal"/>
    <w:uiPriority w:val="47"/>
    <w:rsid w:val="00086DB5"/>
    <w:pPr>
      <w:spacing w:after="0" w:line="240" w:lineRule="auto"/>
    </w:pPr>
    <w:tblPr>
      <w:tblStyleRowBandSize w:val="1"/>
      <w:tblStyleColBandSize w:val="1"/>
      <w:tblBorders>
        <w:top w:val="single" w:sz="2" w:space="0" w:color="F0A28A" w:themeColor="accent6" w:themeTint="99"/>
        <w:bottom w:val="single" w:sz="2" w:space="0" w:color="F0A28A" w:themeColor="accent6" w:themeTint="99"/>
        <w:insideH w:val="single" w:sz="2" w:space="0" w:color="F0A28A" w:themeColor="accent6" w:themeTint="99"/>
        <w:insideV w:val="single" w:sz="2" w:space="0" w:color="F0A28A" w:themeColor="accent6" w:themeTint="99"/>
      </w:tblBorders>
    </w:tblPr>
    <w:tblStylePr w:type="firstRow">
      <w:rPr>
        <w:b/>
        <w:bCs/>
      </w:rPr>
      <w:tblPr/>
      <w:tcPr>
        <w:tcBorders>
          <w:top w:val="nil"/>
          <w:bottom w:val="single" w:sz="12" w:space="0" w:color="F0A28A" w:themeColor="accent6" w:themeTint="99"/>
          <w:insideH w:val="nil"/>
          <w:insideV w:val="nil"/>
        </w:tcBorders>
        <w:shd w:val="clear" w:color="auto" w:fill="FFFFFF" w:themeFill="background1"/>
      </w:tcPr>
    </w:tblStylePr>
    <w:tblStylePr w:type="lastRow">
      <w:rPr>
        <w:b/>
        <w:bCs/>
      </w:rPr>
      <w:tblPr/>
      <w:tcPr>
        <w:tcBorders>
          <w:top w:val="double" w:sz="2" w:space="0" w:color="F0A28A"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0D8" w:themeFill="accent6" w:themeFillTint="33"/>
      </w:tcPr>
    </w:tblStylePr>
    <w:tblStylePr w:type="band1Horz">
      <w:tblPr/>
      <w:tcPr>
        <w:shd w:val="clear" w:color="auto" w:fill="FAE0D8" w:themeFill="accent6" w:themeFillTint="33"/>
      </w:tcPr>
    </w:tblStylePr>
  </w:style>
  <w:style w:type="table" w:styleId="GridTable3">
    <w:name w:val="Grid Table 3"/>
    <w:basedOn w:val="TableNormal"/>
    <w:uiPriority w:val="48"/>
    <w:rsid w:val="00086DB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86DB5"/>
    <w:pPr>
      <w:spacing w:after="0" w:line="240" w:lineRule="auto"/>
    </w:pPr>
    <w:tblPr>
      <w:tblStyleRowBandSize w:val="1"/>
      <w:tblStyleColBandSize w:val="1"/>
      <w:tblBorders>
        <w:top w:val="single" w:sz="4" w:space="0" w:color="607F95" w:themeColor="accent1" w:themeTint="99"/>
        <w:left w:val="single" w:sz="4" w:space="0" w:color="607F95" w:themeColor="accent1" w:themeTint="99"/>
        <w:bottom w:val="single" w:sz="4" w:space="0" w:color="607F95" w:themeColor="accent1" w:themeTint="99"/>
        <w:right w:val="single" w:sz="4" w:space="0" w:color="607F95" w:themeColor="accent1" w:themeTint="99"/>
        <w:insideH w:val="single" w:sz="4" w:space="0" w:color="607F95" w:themeColor="accent1" w:themeTint="99"/>
        <w:insideV w:val="single" w:sz="4" w:space="0" w:color="607F9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9D4DC" w:themeFill="accent1" w:themeFillTint="33"/>
      </w:tcPr>
    </w:tblStylePr>
    <w:tblStylePr w:type="band1Horz">
      <w:tblPr/>
      <w:tcPr>
        <w:shd w:val="clear" w:color="auto" w:fill="C9D4DC" w:themeFill="accent1" w:themeFillTint="33"/>
      </w:tcPr>
    </w:tblStylePr>
    <w:tblStylePr w:type="neCell">
      <w:tblPr/>
      <w:tcPr>
        <w:tcBorders>
          <w:bottom w:val="single" w:sz="4" w:space="0" w:color="607F95" w:themeColor="accent1" w:themeTint="99"/>
        </w:tcBorders>
      </w:tcPr>
    </w:tblStylePr>
    <w:tblStylePr w:type="nwCell">
      <w:tblPr/>
      <w:tcPr>
        <w:tcBorders>
          <w:bottom w:val="single" w:sz="4" w:space="0" w:color="607F95" w:themeColor="accent1" w:themeTint="99"/>
        </w:tcBorders>
      </w:tcPr>
    </w:tblStylePr>
    <w:tblStylePr w:type="seCell">
      <w:tblPr/>
      <w:tcPr>
        <w:tcBorders>
          <w:top w:val="single" w:sz="4" w:space="0" w:color="607F95" w:themeColor="accent1" w:themeTint="99"/>
        </w:tcBorders>
      </w:tcPr>
    </w:tblStylePr>
    <w:tblStylePr w:type="swCell">
      <w:tblPr/>
      <w:tcPr>
        <w:tcBorders>
          <w:top w:val="single" w:sz="4" w:space="0" w:color="607F95" w:themeColor="accent1" w:themeTint="99"/>
        </w:tcBorders>
      </w:tcPr>
    </w:tblStylePr>
  </w:style>
  <w:style w:type="table" w:styleId="GridTable3-Accent2">
    <w:name w:val="Grid Table 3 Accent 2"/>
    <w:basedOn w:val="TableNormal"/>
    <w:uiPriority w:val="48"/>
    <w:rsid w:val="00086DB5"/>
    <w:pPr>
      <w:spacing w:after="0" w:line="240" w:lineRule="auto"/>
    </w:pPr>
    <w:tblPr>
      <w:tblStyleRowBandSize w:val="1"/>
      <w:tblStyleColBandSize w:val="1"/>
      <w:tblBorders>
        <w:top w:val="single" w:sz="4" w:space="0" w:color="1DE1FF" w:themeColor="accent2" w:themeTint="99"/>
        <w:left w:val="single" w:sz="4" w:space="0" w:color="1DE1FF" w:themeColor="accent2" w:themeTint="99"/>
        <w:bottom w:val="single" w:sz="4" w:space="0" w:color="1DE1FF" w:themeColor="accent2" w:themeTint="99"/>
        <w:right w:val="single" w:sz="4" w:space="0" w:color="1DE1FF" w:themeColor="accent2" w:themeTint="99"/>
        <w:insideH w:val="single" w:sz="4" w:space="0" w:color="1DE1FF" w:themeColor="accent2" w:themeTint="99"/>
        <w:insideV w:val="single" w:sz="4" w:space="0" w:color="1DE1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3F5FF" w:themeFill="accent2" w:themeFillTint="33"/>
      </w:tcPr>
    </w:tblStylePr>
    <w:tblStylePr w:type="band1Horz">
      <w:tblPr/>
      <w:tcPr>
        <w:shd w:val="clear" w:color="auto" w:fill="B3F5FF" w:themeFill="accent2" w:themeFillTint="33"/>
      </w:tcPr>
    </w:tblStylePr>
    <w:tblStylePr w:type="neCell">
      <w:tblPr/>
      <w:tcPr>
        <w:tcBorders>
          <w:bottom w:val="single" w:sz="4" w:space="0" w:color="1DE1FF" w:themeColor="accent2" w:themeTint="99"/>
        </w:tcBorders>
      </w:tcPr>
    </w:tblStylePr>
    <w:tblStylePr w:type="nwCell">
      <w:tblPr/>
      <w:tcPr>
        <w:tcBorders>
          <w:bottom w:val="single" w:sz="4" w:space="0" w:color="1DE1FF" w:themeColor="accent2" w:themeTint="99"/>
        </w:tcBorders>
      </w:tcPr>
    </w:tblStylePr>
    <w:tblStylePr w:type="seCell">
      <w:tblPr/>
      <w:tcPr>
        <w:tcBorders>
          <w:top w:val="single" w:sz="4" w:space="0" w:color="1DE1FF" w:themeColor="accent2" w:themeTint="99"/>
        </w:tcBorders>
      </w:tcPr>
    </w:tblStylePr>
    <w:tblStylePr w:type="swCell">
      <w:tblPr/>
      <w:tcPr>
        <w:tcBorders>
          <w:top w:val="single" w:sz="4" w:space="0" w:color="1DE1FF" w:themeColor="accent2" w:themeTint="99"/>
        </w:tcBorders>
      </w:tcPr>
    </w:tblStylePr>
  </w:style>
  <w:style w:type="table" w:styleId="GridTable3-Accent3">
    <w:name w:val="Grid Table 3 Accent 3"/>
    <w:basedOn w:val="TableNormal"/>
    <w:uiPriority w:val="48"/>
    <w:rsid w:val="00086DB5"/>
    <w:pPr>
      <w:spacing w:after="0" w:line="240" w:lineRule="auto"/>
    </w:pPr>
    <w:tblPr>
      <w:tblStyleRowBandSize w:val="1"/>
      <w:tblStyleColBandSize w:val="1"/>
      <w:tblBorders>
        <w:top w:val="single" w:sz="4" w:space="0" w:color="9CD4F3" w:themeColor="accent3" w:themeTint="99"/>
        <w:left w:val="single" w:sz="4" w:space="0" w:color="9CD4F3" w:themeColor="accent3" w:themeTint="99"/>
        <w:bottom w:val="single" w:sz="4" w:space="0" w:color="9CD4F3" w:themeColor="accent3" w:themeTint="99"/>
        <w:right w:val="single" w:sz="4" w:space="0" w:color="9CD4F3" w:themeColor="accent3" w:themeTint="99"/>
        <w:insideH w:val="single" w:sz="4" w:space="0" w:color="9CD4F3" w:themeColor="accent3" w:themeTint="99"/>
        <w:insideV w:val="single" w:sz="4" w:space="0" w:color="9CD4F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F0FB" w:themeFill="accent3" w:themeFillTint="33"/>
      </w:tcPr>
    </w:tblStylePr>
    <w:tblStylePr w:type="band1Horz">
      <w:tblPr/>
      <w:tcPr>
        <w:shd w:val="clear" w:color="auto" w:fill="DEF0FB" w:themeFill="accent3" w:themeFillTint="33"/>
      </w:tcPr>
    </w:tblStylePr>
    <w:tblStylePr w:type="neCell">
      <w:tblPr/>
      <w:tcPr>
        <w:tcBorders>
          <w:bottom w:val="single" w:sz="4" w:space="0" w:color="9CD4F3" w:themeColor="accent3" w:themeTint="99"/>
        </w:tcBorders>
      </w:tcPr>
    </w:tblStylePr>
    <w:tblStylePr w:type="nwCell">
      <w:tblPr/>
      <w:tcPr>
        <w:tcBorders>
          <w:bottom w:val="single" w:sz="4" w:space="0" w:color="9CD4F3" w:themeColor="accent3" w:themeTint="99"/>
        </w:tcBorders>
      </w:tcPr>
    </w:tblStylePr>
    <w:tblStylePr w:type="seCell">
      <w:tblPr/>
      <w:tcPr>
        <w:tcBorders>
          <w:top w:val="single" w:sz="4" w:space="0" w:color="9CD4F3" w:themeColor="accent3" w:themeTint="99"/>
        </w:tcBorders>
      </w:tcPr>
    </w:tblStylePr>
    <w:tblStylePr w:type="swCell">
      <w:tblPr/>
      <w:tcPr>
        <w:tcBorders>
          <w:top w:val="single" w:sz="4" w:space="0" w:color="9CD4F3" w:themeColor="accent3" w:themeTint="99"/>
        </w:tcBorders>
      </w:tcPr>
    </w:tblStylePr>
  </w:style>
  <w:style w:type="table" w:styleId="GridTable3-Accent4">
    <w:name w:val="Grid Table 3 Accent 4"/>
    <w:basedOn w:val="TableNormal"/>
    <w:uiPriority w:val="48"/>
    <w:rsid w:val="00086DB5"/>
    <w:pPr>
      <w:spacing w:after="0" w:line="240" w:lineRule="auto"/>
    </w:pPr>
    <w:tblPr>
      <w:tblStyleRowBandSize w:val="1"/>
      <w:tblStyleColBandSize w:val="1"/>
      <w:tblBorders>
        <w:top w:val="single" w:sz="4" w:space="0" w:color="2793FF" w:themeColor="accent4" w:themeTint="99"/>
        <w:left w:val="single" w:sz="4" w:space="0" w:color="2793FF" w:themeColor="accent4" w:themeTint="99"/>
        <w:bottom w:val="single" w:sz="4" w:space="0" w:color="2793FF" w:themeColor="accent4" w:themeTint="99"/>
        <w:right w:val="single" w:sz="4" w:space="0" w:color="2793FF" w:themeColor="accent4" w:themeTint="99"/>
        <w:insideH w:val="single" w:sz="4" w:space="0" w:color="2793FF" w:themeColor="accent4" w:themeTint="99"/>
        <w:insideV w:val="single" w:sz="4" w:space="0" w:color="2793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4" w:themeFillTint="33"/>
      </w:tcPr>
    </w:tblStylePr>
    <w:tblStylePr w:type="band1Horz">
      <w:tblPr/>
      <w:tcPr>
        <w:shd w:val="clear" w:color="auto" w:fill="B7DBFF" w:themeFill="accent4" w:themeFillTint="33"/>
      </w:tcPr>
    </w:tblStylePr>
    <w:tblStylePr w:type="neCell">
      <w:tblPr/>
      <w:tcPr>
        <w:tcBorders>
          <w:bottom w:val="single" w:sz="4" w:space="0" w:color="2793FF" w:themeColor="accent4" w:themeTint="99"/>
        </w:tcBorders>
      </w:tcPr>
    </w:tblStylePr>
    <w:tblStylePr w:type="nwCell">
      <w:tblPr/>
      <w:tcPr>
        <w:tcBorders>
          <w:bottom w:val="single" w:sz="4" w:space="0" w:color="2793FF" w:themeColor="accent4" w:themeTint="99"/>
        </w:tcBorders>
      </w:tcPr>
    </w:tblStylePr>
    <w:tblStylePr w:type="seCell">
      <w:tblPr/>
      <w:tcPr>
        <w:tcBorders>
          <w:top w:val="single" w:sz="4" w:space="0" w:color="2793FF" w:themeColor="accent4" w:themeTint="99"/>
        </w:tcBorders>
      </w:tcPr>
    </w:tblStylePr>
    <w:tblStylePr w:type="swCell">
      <w:tblPr/>
      <w:tcPr>
        <w:tcBorders>
          <w:top w:val="single" w:sz="4" w:space="0" w:color="2793FF" w:themeColor="accent4" w:themeTint="99"/>
        </w:tcBorders>
      </w:tcPr>
    </w:tblStylePr>
  </w:style>
  <w:style w:type="table" w:styleId="GridTable3-Accent5">
    <w:name w:val="Grid Table 3 Accent 5"/>
    <w:basedOn w:val="TableNormal"/>
    <w:uiPriority w:val="48"/>
    <w:rsid w:val="00086DB5"/>
    <w:pPr>
      <w:spacing w:after="0" w:line="240" w:lineRule="auto"/>
    </w:pPr>
    <w:tblPr>
      <w:tblStyleRowBandSize w:val="1"/>
      <w:tblStyleColBandSize w:val="1"/>
      <w:tblBorders>
        <w:top w:val="single" w:sz="4" w:space="0" w:color="9CCCA1" w:themeColor="accent5" w:themeTint="99"/>
        <w:left w:val="single" w:sz="4" w:space="0" w:color="9CCCA1" w:themeColor="accent5" w:themeTint="99"/>
        <w:bottom w:val="single" w:sz="4" w:space="0" w:color="9CCCA1" w:themeColor="accent5" w:themeTint="99"/>
        <w:right w:val="single" w:sz="4" w:space="0" w:color="9CCCA1" w:themeColor="accent5" w:themeTint="99"/>
        <w:insideH w:val="single" w:sz="4" w:space="0" w:color="9CCCA1" w:themeColor="accent5" w:themeTint="99"/>
        <w:insideV w:val="single" w:sz="4" w:space="0" w:color="9CCCA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EDF" w:themeFill="accent5" w:themeFillTint="33"/>
      </w:tcPr>
    </w:tblStylePr>
    <w:tblStylePr w:type="band1Horz">
      <w:tblPr/>
      <w:tcPr>
        <w:shd w:val="clear" w:color="auto" w:fill="DEEEDF" w:themeFill="accent5" w:themeFillTint="33"/>
      </w:tcPr>
    </w:tblStylePr>
    <w:tblStylePr w:type="neCell">
      <w:tblPr/>
      <w:tcPr>
        <w:tcBorders>
          <w:bottom w:val="single" w:sz="4" w:space="0" w:color="9CCCA1" w:themeColor="accent5" w:themeTint="99"/>
        </w:tcBorders>
      </w:tcPr>
    </w:tblStylePr>
    <w:tblStylePr w:type="nwCell">
      <w:tblPr/>
      <w:tcPr>
        <w:tcBorders>
          <w:bottom w:val="single" w:sz="4" w:space="0" w:color="9CCCA1" w:themeColor="accent5" w:themeTint="99"/>
        </w:tcBorders>
      </w:tcPr>
    </w:tblStylePr>
    <w:tblStylePr w:type="seCell">
      <w:tblPr/>
      <w:tcPr>
        <w:tcBorders>
          <w:top w:val="single" w:sz="4" w:space="0" w:color="9CCCA1" w:themeColor="accent5" w:themeTint="99"/>
        </w:tcBorders>
      </w:tcPr>
    </w:tblStylePr>
    <w:tblStylePr w:type="swCell">
      <w:tblPr/>
      <w:tcPr>
        <w:tcBorders>
          <w:top w:val="single" w:sz="4" w:space="0" w:color="9CCCA1" w:themeColor="accent5" w:themeTint="99"/>
        </w:tcBorders>
      </w:tcPr>
    </w:tblStylePr>
  </w:style>
  <w:style w:type="table" w:styleId="GridTable3-Accent6">
    <w:name w:val="Grid Table 3 Accent 6"/>
    <w:basedOn w:val="TableNormal"/>
    <w:uiPriority w:val="48"/>
    <w:rsid w:val="00086DB5"/>
    <w:pPr>
      <w:spacing w:after="0" w:line="240" w:lineRule="auto"/>
    </w:pPr>
    <w:tblPr>
      <w:tblStyleRowBandSize w:val="1"/>
      <w:tblStyleColBandSize w:val="1"/>
      <w:tblBorders>
        <w:top w:val="single" w:sz="4" w:space="0" w:color="F0A28A" w:themeColor="accent6" w:themeTint="99"/>
        <w:left w:val="single" w:sz="4" w:space="0" w:color="F0A28A" w:themeColor="accent6" w:themeTint="99"/>
        <w:bottom w:val="single" w:sz="4" w:space="0" w:color="F0A28A" w:themeColor="accent6" w:themeTint="99"/>
        <w:right w:val="single" w:sz="4" w:space="0" w:color="F0A28A" w:themeColor="accent6" w:themeTint="99"/>
        <w:insideH w:val="single" w:sz="4" w:space="0" w:color="F0A28A" w:themeColor="accent6" w:themeTint="99"/>
        <w:insideV w:val="single" w:sz="4" w:space="0" w:color="F0A28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0D8" w:themeFill="accent6" w:themeFillTint="33"/>
      </w:tcPr>
    </w:tblStylePr>
    <w:tblStylePr w:type="band1Horz">
      <w:tblPr/>
      <w:tcPr>
        <w:shd w:val="clear" w:color="auto" w:fill="FAE0D8" w:themeFill="accent6" w:themeFillTint="33"/>
      </w:tcPr>
    </w:tblStylePr>
    <w:tblStylePr w:type="neCell">
      <w:tblPr/>
      <w:tcPr>
        <w:tcBorders>
          <w:bottom w:val="single" w:sz="4" w:space="0" w:color="F0A28A" w:themeColor="accent6" w:themeTint="99"/>
        </w:tcBorders>
      </w:tcPr>
    </w:tblStylePr>
    <w:tblStylePr w:type="nwCell">
      <w:tblPr/>
      <w:tcPr>
        <w:tcBorders>
          <w:bottom w:val="single" w:sz="4" w:space="0" w:color="F0A28A" w:themeColor="accent6" w:themeTint="99"/>
        </w:tcBorders>
      </w:tcPr>
    </w:tblStylePr>
    <w:tblStylePr w:type="seCell">
      <w:tblPr/>
      <w:tcPr>
        <w:tcBorders>
          <w:top w:val="single" w:sz="4" w:space="0" w:color="F0A28A" w:themeColor="accent6" w:themeTint="99"/>
        </w:tcBorders>
      </w:tcPr>
    </w:tblStylePr>
    <w:tblStylePr w:type="swCell">
      <w:tblPr/>
      <w:tcPr>
        <w:tcBorders>
          <w:top w:val="single" w:sz="4" w:space="0" w:color="F0A28A" w:themeColor="accent6" w:themeTint="99"/>
        </w:tcBorders>
      </w:tcPr>
    </w:tblStylePr>
  </w:style>
  <w:style w:type="table" w:styleId="GridTable4">
    <w:name w:val="Grid Table 4"/>
    <w:basedOn w:val="TableNormal"/>
    <w:uiPriority w:val="49"/>
    <w:rsid w:val="00086DB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86DB5"/>
    <w:pPr>
      <w:spacing w:after="0" w:line="240" w:lineRule="auto"/>
    </w:pPr>
    <w:tblPr>
      <w:tblStyleRowBandSize w:val="1"/>
      <w:tblStyleColBandSize w:val="1"/>
      <w:tblBorders>
        <w:top w:val="single" w:sz="4" w:space="0" w:color="607F95" w:themeColor="accent1" w:themeTint="99"/>
        <w:left w:val="single" w:sz="4" w:space="0" w:color="607F95" w:themeColor="accent1" w:themeTint="99"/>
        <w:bottom w:val="single" w:sz="4" w:space="0" w:color="607F95" w:themeColor="accent1" w:themeTint="99"/>
        <w:right w:val="single" w:sz="4" w:space="0" w:color="607F95" w:themeColor="accent1" w:themeTint="99"/>
        <w:insideH w:val="single" w:sz="4" w:space="0" w:color="607F95" w:themeColor="accent1" w:themeTint="99"/>
        <w:insideV w:val="single" w:sz="4" w:space="0" w:color="607F95" w:themeColor="accent1" w:themeTint="99"/>
      </w:tblBorders>
    </w:tblPr>
    <w:tblStylePr w:type="firstRow">
      <w:rPr>
        <w:b/>
        <w:bCs/>
        <w:color w:val="FFFFFF" w:themeColor="background1"/>
      </w:rPr>
      <w:tblPr/>
      <w:tcPr>
        <w:tcBorders>
          <w:top w:val="single" w:sz="4" w:space="0" w:color="1B242A" w:themeColor="accent1"/>
          <w:left w:val="single" w:sz="4" w:space="0" w:color="1B242A" w:themeColor="accent1"/>
          <w:bottom w:val="single" w:sz="4" w:space="0" w:color="1B242A" w:themeColor="accent1"/>
          <w:right w:val="single" w:sz="4" w:space="0" w:color="1B242A" w:themeColor="accent1"/>
          <w:insideH w:val="nil"/>
          <w:insideV w:val="nil"/>
        </w:tcBorders>
        <w:shd w:val="clear" w:color="auto" w:fill="1B242A" w:themeFill="accent1"/>
      </w:tcPr>
    </w:tblStylePr>
    <w:tblStylePr w:type="lastRow">
      <w:rPr>
        <w:b/>
        <w:bCs/>
      </w:rPr>
      <w:tblPr/>
      <w:tcPr>
        <w:tcBorders>
          <w:top w:val="double" w:sz="4" w:space="0" w:color="1B242A" w:themeColor="accent1"/>
        </w:tcBorders>
      </w:tcPr>
    </w:tblStylePr>
    <w:tblStylePr w:type="firstCol">
      <w:rPr>
        <w:b/>
        <w:bCs/>
      </w:rPr>
    </w:tblStylePr>
    <w:tblStylePr w:type="lastCol">
      <w:rPr>
        <w:b/>
        <w:bCs/>
      </w:rPr>
    </w:tblStylePr>
    <w:tblStylePr w:type="band1Vert">
      <w:tblPr/>
      <w:tcPr>
        <w:shd w:val="clear" w:color="auto" w:fill="C9D4DC" w:themeFill="accent1" w:themeFillTint="33"/>
      </w:tcPr>
    </w:tblStylePr>
    <w:tblStylePr w:type="band1Horz">
      <w:tblPr/>
      <w:tcPr>
        <w:shd w:val="clear" w:color="auto" w:fill="C9D4DC" w:themeFill="accent1" w:themeFillTint="33"/>
      </w:tcPr>
    </w:tblStylePr>
  </w:style>
  <w:style w:type="table" w:styleId="GridTable4-Accent2">
    <w:name w:val="Grid Table 4 Accent 2"/>
    <w:basedOn w:val="TableNormal"/>
    <w:uiPriority w:val="49"/>
    <w:rsid w:val="00086DB5"/>
    <w:pPr>
      <w:spacing w:after="0" w:line="240" w:lineRule="auto"/>
    </w:pPr>
    <w:tblPr>
      <w:tblStyleRowBandSize w:val="1"/>
      <w:tblStyleColBandSize w:val="1"/>
      <w:tblBorders>
        <w:top w:val="single" w:sz="4" w:space="0" w:color="1DE1FF" w:themeColor="accent2" w:themeTint="99"/>
        <w:left w:val="single" w:sz="4" w:space="0" w:color="1DE1FF" w:themeColor="accent2" w:themeTint="99"/>
        <w:bottom w:val="single" w:sz="4" w:space="0" w:color="1DE1FF" w:themeColor="accent2" w:themeTint="99"/>
        <w:right w:val="single" w:sz="4" w:space="0" w:color="1DE1FF" w:themeColor="accent2" w:themeTint="99"/>
        <w:insideH w:val="single" w:sz="4" w:space="0" w:color="1DE1FF" w:themeColor="accent2" w:themeTint="99"/>
        <w:insideV w:val="single" w:sz="4" w:space="0" w:color="1DE1FF" w:themeColor="accent2" w:themeTint="99"/>
      </w:tblBorders>
    </w:tblPr>
    <w:tblStylePr w:type="firstRow">
      <w:rPr>
        <w:b/>
        <w:bCs/>
        <w:color w:val="FFFFFF" w:themeColor="background1"/>
      </w:rPr>
      <w:tblPr/>
      <w:tcPr>
        <w:tcBorders>
          <w:top w:val="single" w:sz="4" w:space="0" w:color="007586" w:themeColor="accent2"/>
          <w:left w:val="single" w:sz="4" w:space="0" w:color="007586" w:themeColor="accent2"/>
          <w:bottom w:val="single" w:sz="4" w:space="0" w:color="007586" w:themeColor="accent2"/>
          <w:right w:val="single" w:sz="4" w:space="0" w:color="007586" w:themeColor="accent2"/>
          <w:insideH w:val="nil"/>
          <w:insideV w:val="nil"/>
        </w:tcBorders>
        <w:shd w:val="clear" w:color="auto" w:fill="007586" w:themeFill="accent2"/>
      </w:tcPr>
    </w:tblStylePr>
    <w:tblStylePr w:type="lastRow">
      <w:rPr>
        <w:b/>
        <w:bCs/>
      </w:rPr>
      <w:tblPr/>
      <w:tcPr>
        <w:tcBorders>
          <w:top w:val="double" w:sz="4" w:space="0" w:color="007586" w:themeColor="accent2"/>
        </w:tcBorders>
      </w:tcPr>
    </w:tblStylePr>
    <w:tblStylePr w:type="firstCol">
      <w:rPr>
        <w:b/>
        <w:bCs/>
      </w:rPr>
    </w:tblStylePr>
    <w:tblStylePr w:type="lastCol">
      <w:rPr>
        <w:b/>
        <w:bCs/>
      </w:rPr>
    </w:tblStylePr>
    <w:tblStylePr w:type="band1Vert">
      <w:tblPr/>
      <w:tcPr>
        <w:shd w:val="clear" w:color="auto" w:fill="B3F5FF" w:themeFill="accent2" w:themeFillTint="33"/>
      </w:tcPr>
    </w:tblStylePr>
    <w:tblStylePr w:type="band1Horz">
      <w:tblPr/>
      <w:tcPr>
        <w:shd w:val="clear" w:color="auto" w:fill="B3F5FF" w:themeFill="accent2" w:themeFillTint="33"/>
      </w:tcPr>
    </w:tblStylePr>
  </w:style>
  <w:style w:type="table" w:styleId="GridTable4-Accent3">
    <w:name w:val="Grid Table 4 Accent 3"/>
    <w:basedOn w:val="TableNormal"/>
    <w:uiPriority w:val="49"/>
    <w:rsid w:val="00086DB5"/>
    <w:pPr>
      <w:spacing w:after="0" w:line="240" w:lineRule="auto"/>
    </w:pPr>
    <w:tblPr>
      <w:tblStyleRowBandSize w:val="1"/>
      <w:tblStyleColBandSize w:val="1"/>
      <w:tblBorders>
        <w:top w:val="single" w:sz="4" w:space="0" w:color="9CD4F3" w:themeColor="accent3" w:themeTint="99"/>
        <w:left w:val="single" w:sz="4" w:space="0" w:color="9CD4F3" w:themeColor="accent3" w:themeTint="99"/>
        <w:bottom w:val="single" w:sz="4" w:space="0" w:color="9CD4F3" w:themeColor="accent3" w:themeTint="99"/>
        <w:right w:val="single" w:sz="4" w:space="0" w:color="9CD4F3" w:themeColor="accent3" w:themeTint="99"/>
        <w:insideH w:val="single" w:sz="4" w:space="0" w:color="9CD4F3" w:themeColor="accent3" w:themeTint="99"/>
        <w:insideV w:val="single" w:sz="4" w:space="0" w:color="9CD4F3" w:themeColor="accent3" w:themeTint="99"/>
      </w:tblBorders>
    </w:tblPr>
    <w:tblStylePr w:type="firstRow">
      <w:rPr>
        <w:b/>
        <w:bCs/>
        <w:color w:val="FFFFFF" w:themeColor="background1"/>
      </w:rPr>
      <w:tblPr/>
      <w:tcPr>
        <w:tcBorders>
          <w:top w:val="single" w:sz="4" w:space="0" w:color="5AB9EB" w:themeColor="accent3"/>
          <w:left w:val="single" w:sz="4" w:space="0" w:color="5AB9EB" w:themeColor="accent3"/>
          <w:bottom w:val="single" w:sz="4" w:space="0" w:color="5AB9EB" w:themeColor="accent3"/>
          <w:right w:val="single" w:sz="4" w:space="0" w:color="5AB9EB" w:themeColor="accent3"/>
          <w:insideH w:val="nil"/>
          <w:insideV w:val="nil"/>
        </w:tcBorders>
        <w:shd w:val="clear" w:color="auto" w:fill="5AB9EB" w:themeFill="accent3"/>
      </w:tcPr>
    </w:tblStylePr>
    <w:tblStylePr w:type="lastRow">
      <w:rPr>
        <w:b/>
        <w:bCs/>
      </w:rPr>
      <w:tblPr/>
      <w:tcPr>
        <w:tcBorders>
          <w:top w:val="double" w:sz="4" w:space="0" w:color="5AB9EB" w:themeColor="accent3"/>
        </w:tcBorders>
      </w:tcPr>
    </w:tblStylePr>
    <w:tblStylePr w:type="firstCol">
      <w:rPr>
        <w:b/>
        <w:bCs/>
      </w:rPr>
    </w:tblStylePr>
    <w:tblStylePr w:type="lastCol">
      <w:rPr>
        <w:b/>
        <w:bCs/>
      </w:rPr>
    </w:tblStylePr>
    <w:tblStylePr w:type="band1Vert">
      <w:tblPr/>
      <w:tcPr>
        <w:shd w:val="clear" w:color="auto" w:fill="DEF0FB" w:themeFill="accent3" w:themeFillTint="33"/>
      </w:tcPr>
    </w:tblStylePr>
    <w:tblStylePr w:type="band1Horz">
      <w:tblPr/>
      <w:tcPr>
        <w:shd w:val="clear" w:color="auto" w:fill="DEF0FB" w:themeFill="accent3" w:themeFillTint="33"/>
      </w:tcPr>
    </w:tblStylePr>
  </w:style>
  <w:style w:type="table" w:styleId="GridTable4-Accent4">
    <w:name w:val="Grid Table 4 Accent 4"/>
    <w:basedOn w:val="TableNormal"/>
    <w:uiPriority w:val="49"/>
    <w:rsid w:val="00086DB5"/>
    <w:pPr>
      <w:spacing w:after="0" w:line="240" w:lineRule="auto"/>
    </w:pPr>
    <w:tblPr>
      <w:tblStyleRowBandSize w:val="1"/>
      <w:tblStyleColBandSize w:val="1"/>
      <w:tblBorders>
        <w:top w:val="single" w:sz="4" w:space="0" w:color="2793FF" w:themeColor="accent4" w:themeTint="99"/>
        <w:left w:val="single" w:sz="4" w:space="0" w:color="2793FF" w:themeColor="accent4" w:themeTint="99"/>
        <w:bottom w:val="single" w:sz="4" w:space="0" w:color="2793FF" w:themeColor="accent4" w:themeTint="99"/>
        <w:right w:val="single" w:sz="4" w:space="0" w:color="2793FF" w:themeColor="accent4" w:themeTint="99"/>
        <w:insideH w:val="single" w:sz="4" w:space="0" w:color="2793FF" w:themeColor="accent4" w:themeTint="99"/>
        <w:insideV w:val="single" w:sz="4" w:space="0" w:color="2793FF" w:themeColor="accent4" w:themeTint="99"/>
      </w:tblBorders>
    </w:tblPr>
    <w:tblStylePr w:type="firstRow">
      <w:rPr>
        <w:b/>
        <w:bCs/>
        <w:color w:val="FFFFFF" w:themeColor="background1"/>
      </w:rPr>
      <w:tblPr/>
      <w:tcPr>
        <w:tcBorders>
          <w:top w:val="single" w:sz="4" w:space="0" w:color="004C97" w:themeColor="accent4"/>
          <w:left w:val="single" w:sz="4" w:space="0" w:color="004C97" w:themeColor="accent4"/>
          <w:bottom w:val="single" w:sz="4" w:space="0" w:color="004C97" w:themeColor="accent4"/>
          <w:right w:val="single" w:sz="4" w:space="0" w:color="004C97" w:themeColor="accent4"/>
          <w:insideH w:val="nil"/>
          <w:insideV w:val="nil"/>
        </w:tcBorders>
        <w:shd w:val="clear" w:color="auto" w:fill="004C97" w:themeFill="accent4"/>
      </w:tcPr>
    </w:tblStylePr>
    <w:tblStylePr w:type="lastRow">
      <w:rPr>
        <w:b/>
        <w:bCs/>
      </w:rPr>
      <w:tblPr/>
      <w:tcPr>
        <w:tcBorders>
          <w:top w:val="double" w:sz="4" w:space="0" w:color="004C97" w:themeColor="accent4"/>
        </w:tcBorders>
      </w:tcPr>
    </w:tblStylePr>
    <w:tblStylePr w:type="firstCol">
      <w:rPr>
        <w:b/>
        <w:bCs/>
      </w:rPr>
    </w:tblStylePr>
    <w:tblStylePr w:type="lastCol">
      <w:rPr>
        <w:b/>
        <w:bCs/>
      </w:rPr>
    </w:tblStylePr>
    <w:tblStylePr w:type="band1Vert">
      <w:tblPr/>
      <w:tcPr>
        <w:shd w:val="clear" w:color="auto" w:fill="B7DBFF" w:themeFill="accent4" w:themeFillTint="33"/>
      </w:tcPr>
    </w:tblStylePr>
    <w:tblStylePr w:type="band1Horz">
      <w:tblPr/>
      <w:tcPr>
        <w:shd w:val="clear" w:color="auto" w:fill="B7DBFF" w:themeFill="accent4" w:themeFillTint="33"/>
      </w:tcPr>
    </w:tblStylePr>
  </w:style>
  <w:style w:type="table" w:styleId="GridTable4-Accent5">
    <w:name w:val="Grid Table 4 Accent 5"/>
    <w:basedOn w:val="TableNormal"/>
    <w:uiPriority w:val="49"/>
    <w:rsid w:val="00086DB5"/>
    <w:pPr>
      <w:spacing w:after="0" w:line="240" w:lineRule="auto"/>
    </w:pPr>
    <w:tblPr>
      <w:tblStyleRowBandSize w:val="1"/>
      <w:tblStyleColBandSize w:val="1"/>
      <w:tblBorders>
        <w:top w:val="single" w:sz="4" w:space="0" w:color="9CCCA1" w:themeColor="accent5" w:themeTint="99"/>
        <w:left w:val="single" w:sz="4" w:space="0" w:color="9CCCA1" w:themeColor="accent5" w:themeTint="99"/>
        <w:bottom w:val="single" w:sz="4" w:space="0" w:color="9CCCA1" w:themeColor="accent5" w:themeTint="99"/>
        <w:right w:val="single" w:sz="4" w:space="0" w:color="9CCCA1" w:themeColor="accent5" w:themeTint="99"/>
        <w:insideH w:val="single" w:sz="4" w:space="0" w:color="9CCCA1" w:themeColor="accent5" w:themeTint="99"/>
        <w:insideV w:val="single" w:sz="4" w:space="0" w:color="9CCCA1" w:themeColor="accent5" w:themeTint="99"/>
      </w:tblBorders>
    </w:tblPr>
    <w:tblStylePr w:type="firstRow">
      <w:rPr>
        <w:b/>
        <w:bCs/>
        <w:color w:val="FFFFFF" w:themeColor="background1"/>
      </w:rPr>
      <w:tblPr/>
      <w:tcPr>
        <w:tcBorders>
          <w:top w:val="single" w:sz="4" w:space="0" w:color="5AAA64" w:themeColor="accent5"/>
          <w:left w:val="single" w:sz="4" w:space="0" w:color="5AAA64" w:themeColor="accent5"/>
          <w:bottom w:val="single" w:sz="4" w:space="0" w:color="5AAA64" w:themeColor="accent5"/>
          <w:right w:val="single" w:sz="4" w:space="0" w:color="5AAA64" w:themeColor="accent5"/>
          <w:insideH w:val="nil"/>
          <w:insideV w:val="nil"/>
        </w:tcBorders>
        <w:shd w:val="clear" w:color="auto" w:fill="5AAA64" w:themeFill="accent5"/>
      </w:tcPr>
    </w:tblStylePr>
    <w:tblStylePr w:type="lastRow">
      <w:rPr>
        <w:b/>
        <w:bCs/>
      </w:rPr>
      <w:tblPr/>
      <w:tcPr>
        <w:tcBorders>
          <w:top w:val="double" w:sz="4" w:space="0" w:color="5AAA64" w:themeColor="accent5"/>
        </w:tcBorders>
      </w:tcPr>
    </w:tblStylePr>
    <w:tblStylePr w:type="firstCol">
      <w:rPr>
        <w:b/>
        <w:bCs/>
      </w:rPr>
    </w:tblStylePr>
    <w:tblStylePr w:type="lastCol">
      <w:rPr>
        <w:b/>
        <w:bCs/>
      </w:rPr>
    </w:tblStylePr>
    <w:tblStylePr w:type="band1Vert">
      <w:tblPr/>
      <w:tcPr>
        <w:shd w:val="clear" w:color="auto" w:fill="DEEEDF" w:themeFill="accent5" w:themeFillTint="33"/>
      </w:tcPr>
    </w:tblStylePr>
    <w:tblStylePr w:type="band1Horz">
      <w:tblPr/>
      <w:tcPr>
        <w:shd w:val="clear" w:color="auto" w:fill="DEEEDF" w:themeFill="accent5" w:themeFillTint="33"/>
      </w:tcPr>
    </w:tblStylePr>
  </w:style>
  <w:style w:type="table" w:styleId="GridTable4-Accent6">
    <w:name w:val="Grid Table 4 Accent 6"/>
    <w:basedOn w:val="TableNormal"/>
    <w:uiPriority w:val="49"/>
    <w:rsid w:val="00086DB5"/>
    <w:pPr>
      <w:spacing w:after="0" w:line="240" w:lineRule="auto"/>
    </w:pPr>
    <w:tblPr>
      <w:tblStyleRowBandSize w:val="1"/>
      <w:tblStyleColBandSize w:val="1"/>
      <w:tblBorders>
        <w:top w:val="single" w:sz="4" w:space="0" w:color="F0A28A" w:themeColor="accent6" w:themeTint="99"/>
        <w:left w:val="single" w:sz="4" w:space="0" w:color="F0A28A" w:themeColor="accent6" w:themeTint="99"/>
        <w:bottom w:val="single" w:sz="4" w:space="0" w:color="F0A28A" w:themeColor="accent6" w:themeTint="99"/>
        <w:right w:val="single" w:sz="4" w:space="0" w:color="F0A28A" w:themeColor="accent6" w:themeTint="99"/>
        <w:insideH w:val="single" w:sz="4" w:space="0" w:color="F0A28A" w:themeColor="accent6" w:themeTint="99"/>
        <w:insideV w:val="single" w:sz="4" w:space="0" w:color="F0A28A" w:themeColor="accent6" w:themeTint="99"/>
      </w:tblBorders>
    </w:tblPr>
    <w:tblStylePr w:type="firstRow">
      <w:rPr>
        <w:b/>
        <w:bCs/>
        <w:color w:val="FFFFFF" w:themeColor="background1"/>
      </w:rPr>
      <w:tblPr/>
      <w:tcPr>
        <w:tcBorders>
          <w:top w:val="single" w:sz="4" w:space="0" w:color="E6643C" w:themeColor="accent6"/>
          <w:left w:val="single" w:sz="4" w:space="0" w:color="E6643C" w:themeColor="accent6"/>
          <w:bottom w:val="single" w:sz="4" w:space="0" w:color="E6643C" w:themeColor="accent6"/>
          <w:right w:val="single" w:sz="4" w:space="0" w:color="E6643C" w:themeColor="accent6"/>
          <w:insideH w:val="nil"/>
          <w:insideV w:val="nil"/>
        </w:tcBorders>
        <w:shd w:val="clear" w:color="auto" w:fill="E6643C" w:themeFill="accent6"/>
      </w:tcPr>
    </w:tblStylePr>
    <w:tblStylePr w:type="lastRow">
      <w:rPr>
        <w:b/>
        <w:bCs/>
      </w:rPr>
      <w:tblPr/>
      <w:tcPr>
        <w:tcBorders>
          <w:top w:val="double" w:sz="4" w:space="0" w:color="E6643C" w:themeColor="accent6"/>
        </w:tcBorders>
      </w:tcPr>
    </w:tblStylePr>
    <w:tblStylePr w:type="firstCol">
      <w:rPr>
        <w:b/>
        <w:bCs/>
      </w:rPr>
    </w:tblStylePr>
    <w:tblStylePr w:type="lastCol">
      <w:rPr>
        <w:b/>
        <w:bCs/>
      </w:rPr>
    </w:tblStylePr>
    <w:tblStylePr w:type="band1Vert">
      <w:tblPr/>
      <w:tcPr>
        <w:shd w:val="clear" w:color="auto" w:fill="FAE0D8" w:themeFill="accent6" w:themeFillTint="33"/>
      </w:tcPr>
    </w:tblStylePr>
    <w:tblStylePr w:type="band1Horz">
      <w:tblPr/>
      <w:tcPr>
        <w:shd w:val="clear" w:color="auto" w:fill="FAE0D8" w:themeFill="accent6" w:themeFillTint="33"/>
      </w:tcPr>
    </w:tblStylePr>
  </w:style>
  <w:style w:type="table" w:styleId="GridTable5Dark">
    <w:name w:val="Grid Table 5 Dark"/>
    <w:basedOn w:val="TableNormal"/>
    <w:uiPriority w:val="50"/>
    <w:rsid w:val="00086DB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86DB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9D4D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B242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B242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B242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B242A" w:themeFill="accent1"/>
      </w:tcPr>
    </w:tblStylePr>
    <w:tblStylePr w:type="band1Vert">
      <w:tblPr/>
      <w:tcPr>
        <w:shd w:val="clear" w:color="auto" w:fill="93AABA" w:themeFill="accent1" w:themeFillTint="66"/>
      </w:tcPr>
    </w:tblStylePr>
    <w:tblStylePr w:type="band1Horz">
      <w:tblPr/>
      <w:tcPr>
        <w:shd w:val="clear" w:color="auto" w:fill="93AABA" w:themeFill="accent1" w:themeFillTint="66"/>
      </w:tcPr>
    </w:tblStylePr>
  </w:style>
  <w:style w:type="table" w:styleId="GridTable5Dark-Accent2">
    <w:name w:val="Grid Table 5 Dark Accent 2"/>
    <w:basedOn w:val="TableNormal"/>
    <w:uiPriority w:val="50"/>
    <w:rsid w:val="00086DB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3F5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586"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586"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586"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586" w:themeFill="accent2"/>
      </w:tcPr>
    </w:tblStylePr>
    <w:tblStylePr w:type="band1Vert">
      <w:tblPr/>
      <w:tcPr>
        <w:shd w:val="clear" w:color="auto" w:fill="68EBFF" w:themeFill="accent2" w:themeFillTint="66"/>
      </w:tcPr>
    </w:tblStylePr>
    <w:tblStylePr w:type="band1Horz">
      <w:tblPr/>
      <w:tcPr>
        <w:shd w:val="clear" w:color="auto" w:fill="68EBFF" w:themeFill="accent2" w:themeFillTint="66"/>
      </w:tcPr>
    </w:tblStylePr>
  </w:style>
  <w:style w:type="table" w:styleId="GridTable5Dark-Accent3">
    <w:name w:val="Grid Table 5 Dark Accent 3"/>
    <w:basedOn w:val="TableNormal"/>
    <w:uiPriority w:val="50"/>
    <w:rsid w:val="00086DB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F0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AB9EB"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AB9EB"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AB9EB"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AB9EB" w:themeFill="accent3"/>
      </w:tcPr>
    </w:tblStylePr>
    <w:tblStylePr w:type="band1Vert">
      <w:tblPr/>
      <w:tcPr>
        <w:shd w:val="clear" w:color="auto" w:fill="BDE2F7" w:themeFill="accent3" w:themeFillTint="66"/>
      </w:tcPr>
    </w:tblStylePr>
    <w:tblStylePr w:type="band1Horz">
      <w:tblPr/>
      <w:tcPr>
        <w:shd w:val="clear" w:color="auto" w:fill="BDE2F7" w:themeFill="accent3" w:themeFillTint="66"/>
      </w:tcPr>
    </w:tblStylePr>
  </w:style>
  <w:style w:type="table" w:styleId="GridTable5Dark-Accent4">
    <w:name w:val="Grid Table 5 Dark Accent 4"/>
    <w:basedOn w:val="TableNormal"/>
    <w:uiPriority w:val="50"/>
    <w:rsid w:val="00086DB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4"/>
      </w:tcPr>
    </w:tblStylePr>
    <w:tblStylePr w:type="band1Vert">
      <w:tblPr/>
      <w:tcPr>
        <w:shd w:val="clear" w:color="auto" w:fill="6FB7FF" w:themeFill="accent4" w:themeFillTint="66"/>
      </w:tcPr>
    </w:tblStylePr>
    <w:tblStylePr w:type="band1Horz">
      <w:tblPr/>
      <w:tcPr>
        <w:shd w:val="clear" w:color="auto" w:fill="6FB7FF" w:themeFill="accent4" w:themeFillTint="66"/>
      </w:tcPr>
    </w:tblStylePr>
  </w:style>
  <w:style w:type="table" w:styleId="GridTable5Dark-Accent5">
    <w:name w:val="Grid Table 5 Dark Accent 5"/>
    <w:basedOn w:val="TableNormal"/>
    <w:uiPriority w:val="50"/>
    <w:rsid w:val="00086DB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E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AAA6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AAA6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AAA6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AAA64" w:themeFill="accent5"/>
      </w:tcPr>
    </w:tblStylePr>
    <w:tblStylePr w:type="band1Vert">
      <w:tblPr/>
      <w:tcPr>
        <w:shd w:val="clear" w:color="auto" w:fill="BDDDC0" w:themeFill="accent5" w:themeFillTint="66"/>
      </w:tcPr>
    </w:tblStylePr>
    <w:tblStylePr w:type="band1Horz">
      <w:tblPr/>
      <w:tcPr>
        <w:shd w:val="clear" w:color="auto" w:fill="BDDDC0" w:themeFill="accent5" w:themeFillTint="66"/>
      </w:tcPr>
    </w:tblStylePr>
  </w:style>
  <w:style w:type="table" w:styleId="GridTable5Dark-Accent6">
    <w:name w:val="Grid Table 5 Dark Accent 6"/>
    <w:basedOn w:val="TableNormal"/>
    <w:uiPriority w:val="50"/>
    <w:rsid w:val="00086DB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0D8"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6643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6643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6643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6643C" w:themeFill="accent6"/>
      </w:tcPr>
    </w:tblStylePr>
    <w:tblStylePr w:type="band1Vert">
      <w:tblPr/>
      <w:tcPr>
        <w:shd w:val="clear" w:color="auto" w:fill="F5C1B1" w:themeFill="accent6" w:themeFillTint="66"/>
      </w:tcPr>
    </w:tblStylePr>
    <w:tblStylePr w:type="band1Horz">
      <w:tblPr/>
      <w:tcPr>
        <w:shd w:val="clear" w:color="auto" w:fill="F5C1B1" w:themeFill="accent6" w:themeFillTint="66"/>
      </w:tcPr>
    </w:tblStylePr>
  </w:style>
  <w:style w:type="table" w:styleId="GridTable6Colourful">
    <w:name w:val="Grid Table 6 Colorful"/>
    <w:basedOn w:val="TableNormal"/>
    <w:uiPriority w:val="51"/>
    <w:rsid w:val="00086DB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rsid w:val="00086DB5"/>
    <w:pPr>
      <w:spacing w:after="0" w:line="240" w:lineRule="auto"/>
    </w:pPr>
    <w:rPr>
      <w:color w:val="141A1F" w:themeColor="accent1" w:themeShade="BF"/>
    </w:rPr>
    <w:tblPr>
      <w:tblStyleRowBandSize w:val="1"/>
      <w:tblStyleColBandSize w:val="1"/>
      <w:tblBorders>
        <w:top w:val="single" w:sz="4" w:space="0" w:color="607F95" w:themeColor="accent1" w:themeTint="99"/>
        <w:left w:val="single" w:sz="4" w:space="0" w:color="607F95" w:themeColor="accent1" w:themeTint="99"/>
        <w:bottom w:val="single" w:sz="4" w:space="0" w:color="607F95" w:themeColor="accent1" w:themeTint="99"/>
        <w:right w:val="single" w:sz="4" w:space="0" w:color="607F95" w:themeColor="accent1" w:themeTint="99"/>
        <w:insideH w:val="single" w:sz="4" w:space="0" w:color="607F95" w:themeColor="accent1" w:themeTint="99"/>
        <w:insideV w:val="single" w:sz="4" w:space="0" w:color="607F95" w:themeColor="accent1" w:themeTint="99"/>
      </w:tblBorders>
    </w:tblPr>
    <w:tblStylePr w:type="firstRow">
      <w:rPr>
        <w:b/>
        <w:bCs/>
      </w:rPr>
      <w:tblPr/>
      <w:tcPr>
        <w:tcBorders>
          <w:bottom w:val="single" w:sz="12" w:space="0" w:color="607F95" w:themeColor="accent1" w:themeTint="99"/>
        </w:tcBorders>
      </w:tcPr>
    </w:tblStylePr>
    <w:tblStylePr w:type="lastRow">
      <w:rPr>
        <w:b/>
        <w:bCs/>
      </w:rPr>
      <w:tblPr/>
      <w:tcPr>
        <w:tcBorders>
          <w:top w:val="double" w:sz="4" w:space="0" w:color="607F95" w:themeColor="accent1" w:themeTint="99"/>
        </w:tcBorders>
      </w:tcPr>
    </w:tblStylePr>
    <w:tblStylePr w:type="firstCol">
      <w:rPr>
        <w:b/>
        <w:bCs/>
      </w:rPr>
    </w:tblStylePr>
    <w:tblStylePr w:type="lastCol">
      <w:rPr>
        <w:b/>
        <w:bCs/>
      </w:rPr>
    </w:tblStylePr>
    <w:tblStylePr w:type="band1Vert">
      <w:tblPr/>
      <w:tcPr>
        <w:shd w:val="clear" w:color="auto" w:fill="C9D4DC" w:themeFill="accent1" w:themeFillTint="33"/>
      </w:tcPr>
    </w:tblStylePr>
    <w:tblStylePr w:type="band1Horz">
      <w:tblPr/>
      <w:tcPr>
        <w:shd w:val="clear" w:color="auto" w:fill="C9D4DC" w:themeFill="accent1" w:themeFillTint="33"/>
      </w:tcPr>
    </w:tblStylePr>
  </w:style>
  <w:style w:type="table" w:styleId="GridTable6ColourfulAccent2">
    <w:name w:val="Grid Table 6 Colorful Accent 2"/>
    <w:basedOn w:val="TableNormal"/>
    <w:uiPriority w:val="51"/>
    <w:rsid w:val="00086DB5"/>
    <w:pPr>
      <w:spacing w:after="0" w:line="240" w:lineRule="auto"/>
    </w:pPr>
    <w:rPr>
      <w:color w:val="005764" w:themeColor="accent2" w:themeShade="BF"/>
    </w:rPr>
    <w:tblPr>
      <w:tblStyleRowBandSize w:val="1"/>
      <w:tblStyleColBandSize w:val="1"/>
      <w:tblBorders>
        <w:top w:val="single" w:sz="4" w:space="0" w:color="1DE1FF" w:themeColor="accent2" w:themeTint="99"/>
        <w:left w:val="single" w:sz="4" w:space="0" w:color="1DE1FF" w:themeColor="accent2" w:themeTint="99"/>
        <w:bottom w:val="single" w:sz="4" w:space="0" w:color="1DE1FF" w:themeColor="accent2" w:themeTint="99"/>
        <w:right w:val="single" w:sz="4" w:space="0" w:color="1DE1FF" w:themeColor="accent2" w:themeTint="99"/>
        <w:insideH w:val="single" w:sz="4" w:space="0" w:color="1DE1FF" w:themeColor="accent2" w:themeTint="99"/>
        <w:insideV w:val="single" w:sz="4" w:space="0" w:color="1DE1FF" w:themeColor="accent2" w:themeTint="99"/>
      </w:tblBorders>
    </w:tblPr>
    <w:tblStylePr w:type="firstRow">
      <w:rPr>
        <w:b/>
        <w:bCs/>
      </w:rPr>
      <w:tblPr/>
      <w:tcPr>
        <w:tcBorders>
          <w:bottom w:val="single" w:sz="12" w:space="0" w:color="1DE1FF" w:themeColor="accent2" w:themeTint="99"/>
        </w:tcBorders>
      </w:tcPr>
    </w:tblStylePr>
    <w:tblStylePr w:type="lastRow">
      <w:rPr>
        <w:b/>
        <w:bCs/>
      </w:rPr>
      <w:tblPr/>
      <w:tcPr>
        <w:tcBorders>
          <w:top w:val="double" w:sz="4" w:space="0" w:color="1DE1FF" w:themeColor="accent2" w:themeTint="99"/>
        </w:tcBorders>
      </w:tcPr>
    </w:tblStylePr>
    <w:tblStylePr w:type="firstCol">
      <w:rPr>
        <w:b/>
        <w:bCs/>
      </w:rPr>
    </w:tblStylePr>
    <w:tblStylePr w:type="lastCol">
      <w:rPr>
        <w:b/>
        <w:bCs/>
      </w:rPr>
    </w:tblStylePr>
    <w:tblStylePr w:type="band1Vert">
      <w:tblPr/>
      <w:tcPr>
        <w:shd w:val="clear" w:color="auto" w:fill="B3F5FF" w:themeFill="accent2" w:themeFillTint="33"/>
      </w:tcPr>
    </w:tblStylePr>
    <w:tblStylePr w:type="band1Horz">
      <w:tblPr/>
      <w:tcPr>
        <w:shd w:val="clear" w:color="auto" w:fill="B3F5FF" w:themeFill="accent2" w:themeFillTint="33"/>
      </w:tcPr>
    </w:tblStylePr>
  </w:style>
  <w:style w:type="table" w:styleId="GridTable6ColourfulAccent3">
    <w:name w:val="Grid Table 6 Colorful Accent 3"/>
    <w:basedOn w:val="TableNormal"/>
    <w:uiPriority w:val="51"/>
    <w:rsid w:val="00086DB5"/>
    <w:pPr>
      <w:spacing w:after="0" w:line="240" w:lineRule="auto"/>
    </w:pPr>
    <w:rPr>
      <w:color w:val="1A97D9" w:themeColor="accent3" w:themeShade="BF"/>
    </w:rPr>
    <w:tblPr>
      <w:tblStyleRowBandSize w:val="1"/>
      <w:tblStyleColBandSize w:val="1"/>
      <w:tblBorders>
        <w:top w:val="single" w:sz="4" w:space="0" w:color="9CD4F3" w:themeColor="accent3" w:themeTint="99"/>
        <w:left w:val="single" w:sz="4" w:space="0" w:color="9CD4F3" w:themeColor="accent3" w:themeTint="99"/>
        <w:bottom w:val="single" w:sz="4" w:space="0" w:color="9CD4F3" w:themeColor="accent3" w:themeTint="99"/>
        <w:right w:val="single" w:sz="4" w:space="0" w:color="9CD4F3" w:themeColor="accent3" w:themeTint="99"/>
        <w:insideH w:val="single" w:sz="4" w:space="0" w:color="9CD4F3" w:themeColor="accent3" w:themeTint="99"/>
        <w:insideV w:val="single" w:sz="4" w:space="0" w:color="9CD4F3" w:themeColor="accent3" w:themeTint="99"/>
      </w:tblBorders>
    </w:tblPr>
    <w:tblStylePr w:type="firstRow">
      <w:rPr>
        <w:b/>
        <w:bCs/>
      </w:rPr>
      <w:tblPr/>
      <w:tcPr>
        <w:tcBorders>
          <w:bottom w:val="single" w:sz="12" w:space="0" w:color="9CD4F3" w:themeColor="accent3" w:themeTint="99"/>
        </w:tcBorders>
      </w:tcPr>
    </w:tblStylePr>
    <w:tblStylePr w:type="lastRow">
      <w:rPr>
        <w:b/>
        <w:bCs/>
      </w:rPr>
      <w:tblPr/>
      <w:tcPr>
        <w:tcBorders>
          <w:top w:val="double" w:sz="4" w:space="0" w:color="9CD4F3" w:themeColor="accent3" w:themeTint="99"/>
        </w:tcBorders>
      </w:tcPr>
    </w:tblStylePr>
    <w:tblStylePr w:type="firstCol">
      <w:rPr>
        <w:b/>
        <w:bCs/>
      </w:rPr>
    </w:tblStylePr>
    <w:tblStylePr w:type="lastCol">
      <w:rPr>
        <w:b/>
        <w:bCs/>
      </w:rPr>
    </w:tblStylePr>
    <w:tblStylePr w:type="band1Vert">
      <w:tblPr/>
      <w:tcPr>
        <w:shd w:val="clear" w:color="auto" w:fill="DEF0FB" w:themeFill="accent3" w:themeFillTint="33"/>
      </w:tcPr>
    </w:tblStylePr>
    <w:tblStylePr w:type="band1Horz">
      <w:tblPr/>
      <w:tcPr>
        <w:shd w:val="clear" w:color="auto" w:fill="DEF0FB" w:themeFill="accent3" w:themeFillTint="33"/>
      </w:tcPr>
    </w:tblStylePr>
  </w:style>
  <w:style w:type="table" w:styleId="GridTable6ColourfulAccent4">
    <w:name w:val="Grid Table 6 Colorful Accent 4"/>
    <w:basedOn w:val="TableNormal"/>
    <w:uiPriority w:val="51"/>
    <w:rsid w:val="00086DB5"/>
    <w:pPr>
      <w:spacing w:after="0" w:line="240" w:lineRule="auto"/>
    </w:pPr>
    <w:rPr>
      <w:color w:val="003871" w:themeColor="accent4" w:themeShade="BF"/>
    </w:rPr>
    <w:tblPr>
      <w:tblStyleRowBandSize w:val="1"/>
      <w:tblStyleColBandSize w:val="1"/>
      <w:tblBorders>
        <w:top w:val="single" w:sz="4" w:space="0" w:color="2793FF" w:themeColor="accent4" w:themeTint="99"/>
        <w:left w:val="single" w:sz="4" w:space="0" w:color="2793FF" w:themeColor="accent4" w:themeTint="99"/>
        <w:bottom w:val="single" w:sz="4" w:space="0" w:color="2793FF" w:themeColor="accent4" w:themeTint="99"/>
        <w:right w:val="single" w:sz="4" w:space="0" w:color="2793FF" w:themeColor="accent4" w:themeTint="99"/>
        <w:insideH w:val="single" w:sz="4" w:space="0" w:color="2793FF" w:themeColor="accent4" w:themeTint="99"/>
        <w:insideV w:val="single" w:sz="4" w:space="0" w:color="2793FF" w:themeColor="accent4" w:themeTint="99"/>
      </w:tblBorders>
    </w:tblPr>
    <w:tblStylePr w:type="firstRow">
      <w:rPr>
        <w:b/>
        <w:bCs/>
      </w:rPr>
      <w:tblPr/>
      <w:tcPr>
        <w:tcBorders>
          <w:bottom w:val="single" w:sz="12" w:space="0" w:color="2793FF" w:themeColor="accent4" w:themeTint="99"/>
        </w:tcBorders>
      </w:tcPr>
    </w:tblStylePr>
    <w:tblStylePr w:type="lastRow">
      <w:rPr>
        <w:b/>
        <w:bCs/>
      </w:rPr>
      <w:tblPr/>
      <w:tcPr>
        <w:tcBorders>
          <w:top w:val="double" w:sz="4" w:space="0" w:color="2793FF" w:themeColor="accent4" w:themeTint="99"/>
        </w:tcBorders>
      </w:tcPr>
    </w:tblStylePr>
    <w:tblStylePr w:type="firstCol">
      <w:rPr>
        <w:b/>
        <w:bCs/>
      </w:rPr>
    </w:tblStylePr>
    <w:tblStylePr w:type="lastCol">
      <w:rPr>
        <w:b/>
        <w:bCs/>
      </w:rPr>
    </w:tblStylePr>
    <w:tblStylePr w:type="band1Vert">
      <w:tblPr/>
      <w:tcPr>
        <w:shd w:val="clear" w:color="auto" w:fill="B7DBFF" w:themeFill="accent4" w:themeFillTint="33"/>
      </w:tcPr>
    </w:tblStylePr>
    <w:tblStylePr w:type="band1Horz">
      <w:tblPr/>
      <w:tcPr>
        <w:shd w:val="clear" w:color="auto" w:fill="B7DBFF" w:themeFill="accent4" w:themeFillTint="33"/>
      </w:tcPr>
    </w:tblStylePr>
  </w:style>
  <w:style w:type="table" w:styleId="GridTable6ColourfulAccent5">
    <w:name w:val="Grid Table 6 Colorful Accent 5"/>
    <w:basedOn w:val="TableNormal"/>
    <w:uiPriority w:val="51"/>
    <w:rsid w:val="00086DB5"/>
    <w:pPr>
      <w:spacing w:after="0" w:line="240" w:lineRule="auto"/>
    </w:pPr>
    <w:rPr>
      <w:color w:val="428049" w:themeColor="accent5" w:themeShade="BF"/>
    </w:rPr>
    <w:tblPr>
      <w:tblStyleRowBandSize w:val="1"/>
      <w:tblStyleColBandSize w:val="1"/>
      <w:tblBorders>
        <w:top w:val="single" w:sz="4" w:space="0" w:color="9CCCA1" w:themeColor="accent5" w:themeTint="99"/>
        <w:left w:val="single" w:sz="4" w:space="0" w:color="9CCCA1" w:themeColor="accent5" w:themeTint="99"/>
        <w:bottom w:val="single" w:sz="4" w:space="0" w:color="9CCCA1" w:themeColor="accent5" w:themeTint="99"/>
        <w:right w:val="single" w:sz="4" w:space="0" w:color="9CCCA1" w:themeColor="accent5" w:themeTint="99"/>
        <w:insideH w:val="single" w:sz="4" w:space="0" w:color="9CCCA1" w:themeColor="accent5" w:themeTint="99"/>
        <w:insideV w:val="single" w:sz="4" w:space="0" w:color="9CCCA1" w:themeColor="accent5" w:themeTint="99"/>
      </w:tblBorders>
    </w:tblPr>
    <w:tblStylePr w:type="firstRow">
      <w:rPr>
        <w:b/>
        <w:bCs/>
      </w:rPr>
      <w:tblPr/>
      <w:tcPr>
        <w:tcBorders>
          <w:bottom w:val="single" w:sz="12" w:space="0" w:color="9CCCA1" w:themeColor="accent5" w:themeTint="99"/>
        </w:tcBorders>
      </w:tcPr>
    </w:tblStylePr>
    <w:tblStylePr w:type="lastRow">
      <w:rPr>
        <w:b/>
        <w:bCs/>
      </w:rPr>
      <w:tblPr/>
      <w:tcPr>
        <w:tcBorders>
          <w:top w:val="double" w:sz="4" w:space="0" w:color="9CCCA1" w:themeColor="accent5" w:themeTint="99"/>
        </w:tcBorders>
      </w:tcPr>
    </w:tblStylePr>
    <w:tblStylePr w:type="firstCol">
      <w:rPr>
        <w:b/>
        <w:bCs/>
      </w:rPr>
    </w:tblStylePr>
    <w:tblStylePr w:type="lastCol">
      <w:rPr>
        <w:b/>
        <w:bCs/>
      </w:rPr>
    </w:tblStylePr>
    <w:tblStylePr w:type="band1Vert">
      <w:tblPr/>
      <w:tcPr>
        <w:shd w:val="clear" w:color="auto" w:fill="DEEEDF" w:themeFill="accent5" w:themeFillTint="33"/>
      </w:tcPr>
    </w:tblStylePr>
    <w:tblStylePr w:type="band1Horz">
      <w:tblPr/>
      <w:tcPr>
        <w:shd w:val="clear" w:color="auto" w:fill="DEEEDF" w:themeFill="accent5" w:themeFillTint="33"/>
      </w:tcPr>
    </w:tblStylePr>
  </w:style>
  <w:style w:type="table" w:styleId="GridTable6ColourfulAccent6">
    <w:name w:val="Grid Table 6 Colorful Accent 6"/>
    <w:basedOn w:val="TableNormal"/>
    <w:uiPriority w:val="51"/>
    <w:rsid w:val="00086DB5"/>
    <w:pPr>
      <w:spacing w:after="0" w:line="240" w:lineRule="auto"/>
    </w:pPr>
    <w:rPr>
      <w:color w:val="C04018" w:themeColor="accent6" w:themeShade="BF"/>
    </w:rPr>
    <w:tblPr>
      <w:tblStyleRowBandSize w:val="1"/>
      <w:tblStyleColBandSize w:val="1"/>
      <w:tblBorders>
        <w:top w:val="single" w:sz="4" w:space="0" w:color="F0A28A" w:themeColor="accent6" w:themeTint="99"/>
        <w:left w:val="single" w:sz="4" w:space="0" w:color="F0A28A" w:themeColor="accent6" w:themeTint="99"/>
        <w:bottom w:val="single" w:sz="4" w:space="0" w:color="F0A28A" w:themeColor="accent6" w:themeTint="99"/>
        <w:right w:val="single" w:sz="4" w:space="0" w:color="F0A28A" w:themeColor="accent6" w:themeTint="99"/>
        <w:insideH w:val="single" w:sz="4" w:space="0" w:color="F0A28A" w:themeColor="accent6" w:themeTint="99"/>
        <w:insideV w:val="single" w:sz="4" w:space="0" w:color="F0A28A" w:themeColor="accent6" w:themeTint="99"/>
      </w:tblBorders>
    </w:tblPr>
    <w:tblStylePr w:type="firstRow">
      <w:rPr>
        <w:b/>
        <w:bCs/>
      </w:rPr>
      <w:tblPr/>
      <w:tcPr>
        <w:tcBorders>
          <w:bottom w:val="single" w:sz="12" w:space="0" w:color="F0A28A" w:themeColor="accent6" w:themeTint="99"/>
        </w:tcBorders>
      </w:tcPr>
    </w:tblStylePr>
    <w:tblStylePr w:type="lastRow">
      <w:rPr>
        <w:b/>
        <w:bCs/>
      </w:rPr>
      <w:tblPr/>
      <w:tcPr>
        <w:tcBorders>
          <w:top w:val="double" w:sz="4" w:space="0" w:color="F0A28A" w:themeColor="accent6" w:themeTint="99"/>
        </w:tcBorders>
      </w:tcPr>
    </w:tblStylePr>
    <w:tblStylePr w:type="firstCol">
      <w:rPr>
        <w:b/>
        <w:bCs/>
      </w:rPr>
    </w:tblStylePr>
    <w:tblStylePr w:type="lastCol">
      <w:rPr>
        <w:b/>
        <w:bCs/>
      </w:rPr>
    </w:tblStylePr>
    <w:tblStylePr w:type="band1Vert">
      <w:tblPr/>
      <w:tcPr>
        <w:shd w:val="clear" w:color="auto" w:fill="FAE0D8" w:themeFill="accent6" w:themeFillTint="33"/>
      </w:tcPr>
    </w:tblStylePr>
    <w:tblStylePr w:type="band1Horz">
      <w:tblPr/>
      <w:tcPr>
        <w:shd w:val="clear" w:color="auto" w:fill="FAE0D8" w:themeFill="accent6" w:themeFillTint="33"/>
      </w:tcPr>
    </w:tblStylePr>
  </w:style>
  <w:style w:type="table" w:styleId="GridTable7Colourful">
    <w:name w:val="Grid Table 7 Colorful"/>
    <w:basedOn w:val="TableNormal"/>
    <w:uiPriority w:val="52"/>
    <w:rsid w:val="00086DB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52"/>
    <w:rsid w:val="00086DB5"/>
    <w:pPr>
      <w:spacing w:after="0" w:line="240" w:lineRule="auto"/>
    </w:pPr>
    <w:rPr>
      <w:color w:val="141A1F" w:themeColor="accent1" w:themeShade="BF"/>
    </w:rPr>
    <w:tblPr>
      <w:tblStyleRowBandSize w:val="1"/>
      <w:tblStyleColBandSize w:val="1"/>
      <w:tblBorders>
        <w:top w:val="single" w:sz="4" w:space="0" w:color="607F95" w:themeColor="accent1" w:themeTint="99"/>
        <w:left w:val="single" w:sz="4" w:space="0" w:color="607F95" w:themeColor="accent1" w:themeTint="99"/>
        <w:bottom w:val="single" w:sz="4" w:space="0" w:color="607F95" w:themeColor="accent1" w:themeTint="99"/>
        <w:right w:val="single" w:sz="4" w:space="0" w:color="607F95" w:themeColor="accent1" w:themeTint="99"/>
        <w:insideH w:val="single" w:sz="4" w:space="0" w:color="607F95" w:themeColor="accent1" w:themeTint="99"/>
        <w:insideV w:val="single" w:sz="4" w:space="0" w:color="607F9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9D4DC" w:themeFill="accent1" w:themeFillTint="33"/>
      </w:tcPr>
    </w:tblStylePr>
    <w:tblStylePr w:type="band1Horz">
      <w:tblPr/>
      <w:tcPr>
        <w:shd w:val="clear" w:color="auto" w:fill="C9D4DC" w:themeFill="accent1" w:themeFillTint="33"/>
      </w:tcPr>
    </w:tblStylePr>
    <w:tblStylePr w:type="neCell">
      <w:tblPr/>
      <w:tcPr>
        <w:tcBorders>
          <w:bottom w:val="single" w:sz="4" w:space="0" w:color="607F95" w:themeColor="accent1" w:themeTint="99"/>
        </w:tcBorders>
      </w:tcPr>
    </w:tblStylePr>
    <w:tblStylePr w:type="nwCell">
      <w:tblPr/>
      <w:tcPr>
        <w:tcBorders>
          <w:bottom w:val="single" w:sz="4" w:space="0" w:color="607F95" w:themeColor="accent1" w:themeTint="99"/>
        </w:tcBorders>
      </w:tcPr>
    </w:tblStylePr>
    <w:tblStylePr w:type="seCell">
      <w:tblPr/>
      <w:tcPr>
        <w:tcBorders>
          <w:top w:val="single" w:sz="4" w:space="0" w:color="607F95" w:themeColor="accent1" w:themeTint="99"/>
        </w:tcBorders>
      </w:tcPr>
    </w:tblStylePr>
    <w:tblStylePr w:type="swCell">
      <w:tblPr/>
      <w:tcPr>
        <w:tcBorders>
          <w:top w:val="single" w:sz="4" w:space="0" w:color="607F95" w:themeColor="accent1" w:themeTint="99"/>
        </w:tcBorders>
      </w:tcPr>
    </w:tblStylePr>
  </w:style>
  <w:style w:type="table" w:styleId="GridTable7ColourfulAccent2">
    <w:name w:val="Grid Table 7 Colorful Accent 2"/>
    <w:basedOn w:val="TableNormal"/>
    <w:uiPriority w:val="52"/>
    <w:rsid w:val="00086DB5"/>
    <w:pPr>
      <w:spacing w:after="0" w:line="240" w:lineRule="auto"/>
    </w:pPr>
    <w:rPr>
      <w:color w:val="005764" w:themeColor="accent2" w:themeShade="BF"/>
    </w:rPr>
    <w:tblPr>
      <w:tblStyleRowBandSize w:val="1"/>
      <w:tblStyleColBandSize w:val="1"/>
      <w:tblBorders>
        <w:top w:val="single" w:sz="4" w:space="0" w:color="1DE1FF" w:themeColor="accent2" w:themeTint="99"/>
        <w:left w:val="single" w:sz="4" w:space="0" w:color="1DE1FF" w:themeColor="accent2" w:themeTint="99"/>
        <w:bottom w:val="single" w:sz="4" w:space="0" w:color="1DE1FF" w:themeColor="accent2" w:themeTint="99"/>
        <w:right w:val="single" w:sz="4" w:space="0" w:color="1DE1FF" w:themeColor="accent2" w:themeTint="99"/>
        <w:insideH w:val="single" w:sz="4" w:space="0" w:color="1DE1FF" w:themeColor="accent2" w:themeTint="99"/>
        <w:insideV w:val="single" w:sz="4" w:space="0" w:color="1DE1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3F5FF" w:themeFill="accent2" w:themeFillTint="33"/>
      </w:tcPr>
    </w:tblStylePr>
    <w:tblStylePr w:type="band1Horz">
      <w:tblPr/>
      <w:tcPr>
        <w:shd w:val="clear" w:color="auto" w:fill="B3F5FF" w:themeFill="accent2" w:themeFillTint="33"/>
      </w:tcPr>
    </w:tblStylePr>
    <w:tblStylePr w:type="neCell">
      <w:tblPr/>
      <w:tcPr>
        <w:tcBorders>
          <w:bottom w:val="single" w:sz="4" w:space="0" w:color="1DE1FF" w:themeColor="accent2" w:themeTint="99"/>
        </w:tcBorders>
      </w:tcPr>
    </w:tblStylePr>
    <w:tblStylePr w:type="nwCell">
      <w:tblPr/>
      <w:tcPr>
        <w:tcBorders>
          <w:bottom w:val="single" w:sz="4" w:space="0" w:color="1DE1FF" w:themeColor="accent2" w:themeTint="99"/>
        </w:tcBorders>
      </w:tcPr>
    </w:tblStylePr>
    <w:tblStylePr w:type="seCell">
      <w:tblPr/>
      <w:tcPr>
        <w:tcBorders>
          <w:top w:val="single" w:sz="4" w:space="0" w:color="1DE1FF" w:themeColor="accent2" w:themeTint="99"/>
        </w:tcBorders>
      </w:tcPr>
    </w:tblStylePr>
    <w:tblStylePr w:type="swCell">
      <w:tblPr/>
      <w:tcPr>
        <w:tcBorders>
          <w:top w:val="single" w:sz="4" w:space="0" w:color="1DE1FF" w:themeColor="accent2" w:themeTint="99"/>
        </w:tcBorders>
      </w:tcPr>
    </w:tblStylePr>
  </w:style>
  <w:style w:type="table" w:styleId="GridTable7ColourfulAccent3">
    <w:name w:val="Grid Table 7 Colorful Accent 3"/>
    <w:basedOn w:val="TableNormal"/>
    <w:uiPriority w:val="52"/>
    <w:rsid w:val="00086DB5"/>
    <w:pPr>
      <w:spacing w:after="0" w:line="240" w:lineRule="auto"/>
    </w:pPr>
    <w:rPr>
      <w:color w:val="1A97D9" w:themeColor="accent3" w:themeShade="BF"/>
    </w:rPr>
    <w:tblPr>
      <w:tblStyleRowBandSize w:val="1"/>
      <w:tblStyleColBandSize w:val="1"/>
      <w:tblBorders>
        <w:top w:val="single" w:sz="4" w:space="0" w:color="9CD4F3" w:themeColor="accent3" w:themeTint="99"/>
        <w:left w:val="single" w:sz="4" w:space="0" w:color="9CD4F3" w:themeColor="accent3" w:themeTint="99"/>
        <w:bottom w:val="single" w:sz="4" w:space="0" w:color="9CD4F3" w:themeColor="accent3" w:themeTint="99"/>
        <w:right w:val="single" w:sz="4" w:space="0" w:color="9CD4F3" w:themeColor="accent3" w:themeTint="99"/>
        <w:insideH w:val="single" w:sz="4" w:space="0" w:color="9CD4F3" w:themeColor="accent3" w:themeTint="99"/>
        <w:insideV w:val="single" w:sz="4" w:space="0" w:color="9CD4F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F0FB" w:themeFill="accent3" w:themeFillTint="33"/>
      </w:tcPr>
    </w:tblStylePr>
    <w:tblStylePr w:type="band1Horz">
      <w:tblPr/>
      <w:tcPr>
        <w:shd w:val="clear" w:color="auto" w:fill="DEF0FB" w:themeFill="accent3" w:themeFillTint="33"/>
      </w:tcPr>
    </w:tblStylePr>
    <w:tblStylePr w:type="neCell">
      <w:tblPr/>
      <w:tcPr>
        <w:tcBorders>
          <w:bottom w:val="single" w:sz="4" w:space="0" w:color="9CD4F3" w:themeColor="accent3" w:themeTint="99"/>
        </w:tcBorders>
      </w:tcPr>
    </w:tblStylePr>
    <w:tblStylePr w:type="nwCell">
      <w:tblPr/>
      <w:tcPr>
        <w:tcBorders>
          <w:bottom w:val="single" w:sz="4" w:space="0" w:color="9CD4F3" w:themeColor="accent3" w:themeTint="99"/>
        </w:tcBorders>
      </w:tcPr>
    </w:tblStylePr>
    <w:tblStylePr w:type="seCell">
      <w:tblPr/>
      <w:tcPr>
        <w:tcBorders>
          <w:top w:val="single" w:sz="4" w:space="0" w:color="9CD4F3" w:themeColor="accent3" w:themeTint="99"/>
        </w:tcBorders>
      </w:tcPr>
    </w:tblStylePr>
    <w:tblStylePr w:type="swCell">
      <w:tblPr/>
      <w:tcPr>
        <w:tcBorders>
          <w:top w:val="single" w:sz="4" w:space="0" w:color="9CD4F3" w:themeColor="accent3" w:themeTint="99"/>
        </w:tcBorders>
      </w:tcPr>
    </w:tblStylePr>
  </w:style>
  <w:style w:type="table" w:styleId="GridTable7ColourfulAccent4">
    <w:name w:val="Grid Table 7 Colorful Accent 4"/>
    <w:basedOn w:val="TableNormal"/>
    <w:uiPriority w:val="52"/>
    <w:rsid w:val="00086DB5"/>
    <w:pPr>
      <w:spacing w:after="0" w:line="240" w:lineRule="auto"/>
    </w:pPr>
    <w:rPr>
      <w:color w:val="003871" w:themeColor="accent4" w:themeShade="BF"/>
    </w:rPr>
    <w:tblPr>
      <w:tblStyleRowBandSize w:val="1"/>
      <w:tblStyleColBandSize w:val="1"/>
      <w:tblBorders>
        <w:top w:val="single" w:sz="4" w:space="0" w:color="2793FF" w:themeColor="accent4" w:themeTint="99"/>
        <w:left w:val="single" w:sz="4" w:space="0" w:color="2793FF" w:themeColor="accent4" w:themeTint="99"/>
        <w:bottom w:val="single" w:sz="4" w:space="0" w:color="2793FF" w:themeColor="accent4" w:themeTint="99"/>
        <w:right w:val="single" w:sz="4" w:space="0" w:color="2793FF" w:themeColor="accent4" w:themeTint="99"/>
        <w:insideH w:val="single" w:sz="4" w:space="0" w:color="2793FF" w:themeColor="accent4" w:themeTint="99"/>
        <w:insideV w:val="single" w:sz="4" w:space="0" w:color="2793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4" w:themeFillTint="33"/>
      </w:tcPr>
    </w:tblStylePr>
    <w:tblStylePr w:type="band1Horz">
      <w:tblPr/>
      <w:tcPr>
        <w:shd w:val="clear" w:color="auto" w:fill="B7DBFF" w:themeFill="accent4" w:themeFillTint="33"/>
      </w:tcPr>
    </w:tblStylePr>
    <w:tblStylePr w:type="neCell">
      <w:tblPr/>
      <w:tcPr>
        <w:tcBorders>
          <w:bottom w:val="single" w:sz="4" w:space="0" w:color="2793FF" w:themeColor="accent4" w:themeTint="99"/>
        </w:tcBorders>
      </w:tcPr>
    </w:tblStylePr>
    <w:tblStylePr w:type="nwCell">
      <w:tblPr/>
      <w:tcPr>
        <w:tcBorders>
          <w:bottom w:val="single" w:sz="4" w:space="0" w:color="2793FF" w:themeColor="accent4" w:themeTint="99"/>
        </w:tcBorders>
      </w:tcPr>
    </w:tblStylePr>
    <w:tblStylePr w:type="seCell">
      <w:tblPr/>
      <w:tcPr>
        <w:tcBorders>
          <w:top w:val="single" w:sz="4" w:space="0" w:color="2793FF" w:themeColor="accent4" w:themeTint="99"/>
        </w:tcBorders>
      </w:tcPr>
    </w:tblStylePr>
    <w:tblStylePr w:type="swCell">
      <w:tblPr/>
      <w:tcPr>
        <w:tcBorders>
          <w:top w:val="single" w:sz="4" w:space="0" w:color="2793FF" w:themeColor="accent4" w:themeTint="99"/>
        </w:tcBorders>
      </w:tcPr>
    </w:tblStylePr>
  </w:style>
  <w:style w:type="table" w:styleId="GridTable7ColourfulAccent5">
    <w:name w:val="Grid Table 7 Colorful Accent 5"/>
    <w:basedOn w:val="TableNormal"/>
    <w:uiPriority w:val="52"/>
    <w:rsid w:val="00086DB5"/>
    <w:pPr>
      <w:spacing w:after="0" w:line="240" w:lineRule="auto"/>
    </w:pPr>
    <w:rPr>
      <w:color w:val="428049" w:themeColor="accent5" w:themeShade="BF"/>
    </w:rPr>
    <w:tblPr>
      <w:tblStyleRowBandSize w:val="1"/>
      <w:tblStyleColBandSize w:val="1"/>
      <w:tblBorders>
        <w:top w:val="single" w:sz="4" w:space="0" w:color="9CCCA1" w:themeColor="accent5" w:themeTint="99"/>
        <w:left w:val="single" w:sz="4" w:space="0" w:color="9CCCA1" w:themeColor="accent5" w:themeTint="99"/>
        <w:bottom w:val="single" w:sz="4" w:space="0" w:color="9CCCA1" w:themeColor="accent5" w:themeTint="99"/>
        <w:right w:val="single" w:sz="4" w:space="0" w:color="9CCCA1" w:themeColor="accent5" w:themeTint="99"/>
        <w:insideH w:val="single" w:sz="4" w:space="0" w:color="9CCCA1" w:themeColor="accent5" w:themeTint="99"/>
        <w:insideV w:val="single" w:sz="4" w:space="0" w:color="9CCCA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EDF" w:themeFill="accent5" w:themeFillTint="33"/>
      </w:tcPr>
    </w:tblStylePr>
    <w:tblStylePr w:type="band1Horz">
      <w:tblPr/>
      <w:tcPr>
        <w:shd w:val="clear" w:color="auto" w:fill="DEEEDF" w:themeFill="accent5" w:themeFillTint="33"/>
      </w:tcPr>
    </w:tblStylePr>
    <w:tblStylePr w:type="neCell">
      <w:tblPr/>
      <w:tcPr>
        <w:tcBorders>
          <w:bottom w:val="single" w:sz="4" w:space="0" w:color="9CCCA1" w:themeColor="accent5" w:themeTint="99"/>
        </w:tcBorders>
      </w:tcPr>
    </w:tblStylePr>
    <w:tblStylePr w:type="nwCell">
      <w:tblPr/>
      <w:tcPr>
        <w:tcBorders>
          <w:bottom w:val="single" w:sz="4" w:space="0" w:color="9CCCA1" w:themeColor="accent5" w:themeTint="99"/>
        </w:tcBorders>
      </w:tcPr>
    </w:tblStylePr>
    <w:tblStylePr w:type="seCell">
      <w:tblPr/>
      <w:tcPr>
        <w:tcBorders>
          <w:top w:val="single" w:sz="4" w:space="0" w:color="9CCCA1" w:themeColor="accent5" w:themeTint="99"/>
        </w:tcBorders>
      </w:tcPr>
    </w:tblStylePr>
    <w:tblStylePr w:type="swCell">
      <w:tblPr/>
      <w:tcPr>
        <w:tcBorders>
          <w:top w:val="single" w:sz="4" w:space="0" w:color="9CCCA1" w:themeColor="accent5" w:themeTint="99"/>
        </w:tcBorders>
      </w:tcPr>
    </w:tblStylePr>
  </w:style>
  <w:style w:type="table" w:styleId="GridTable7ColourfulAccent6">
    <w:name w:val="Grid Table 7 Colorful Accent 6"/>
    <w:basedOn w:val="TableNormal"/>
    <w:uiPriority w:val="52"/>
    <w:rsid w:val="00086DB5"/>
    <w:pPr>
      <w:spacing w:after="0" w:line="240" w:lineRule="auto"/>
    </w:pPr>
    <w:rPr>
      <w:color w:val="C04018" w:themeColor="accent6" w:themeShade="BF"/>
    </w:rPr>
    <w:tblPr>
      <w:tblStyleRowBandSize w:val="1"/>
      <w:tblStyleColBandSize w:val="1"/>
      <w:tblBorders>
        <w:top w:val="single" w:sz="4" w:space="0" w:color="F0A28A" w:themeColor="accent6" w:themeTint="99"/>
        <w:left w:val="single" w:sz="4" w:space="0" w:color="F0A28A" w:themeColor="accent6" w:themeTint="99"/>
        <w:bottom w:val="single" w:sz="4" w:space="0" w:color="F0A28A" w:themeColor="accent6" w:themeTint="99"/>
        <w:right w:val="single" w:sz="4" w:space="0" w:color="F0A28A" w:themeColor="accent6" w:themeTint="99"/>
        <w:insideH w:val="single" w:sz="4" w:space="0" w:color="F0A28A" w:themeColor="accent6" w:themeTint="99"/>
        <w:insideV w:val="single" w:sz="4" w:space="0" w:color="F0A28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0D8" w:themeFill="accent6" w:themeFillTint="33"/>
      </w:tcPr>
    </w:tblStylePr>
    <w:tblStylePr w:type="band1Horz">
      <w:tblPr/>
      <w:tcPr>
        <w:shd w:val="clear" w:color="auto" w:fill="FAE0D8" w:themeFill="accent6" w:themeFillTint="33"/>
      </w:tcPr>
    </w:tblStylePr>
    <w:tblStylePr w:type="neCell">
      <w:tblPr/>
      <w:tcPr>
        <w:tcBorders>
          <w:bottom w:val="single" w:sz="4" w:space="0" w:color="F0A28A" w:themeColor="accent6" w:themeTint="99"/>
        </w:tcBorders>
      </w:tcPr>
    </w:tblStylePr>
    <w:tblStylePr w:type="nwCell">
      <w:tblPr/>
      <w:tcPr>
        <w:tcBorders>
          <w:bottom w:val="single" w:sz="4" w:space="0" w:color="F0A28A" w:themeColor="accent6" w:themeTint="99"/>
        </w:tcBorders>
      </w:tcPr>
    </w:tblStylePr>
    <w:tblStylePr w:type="seCell">
      <w:tblPr/>
      <w:tcPr>
        <w:tcBorders>
          <w:top w:val="single" w:sz="4" w:space="0" w:color="F0A28A" w:themeColor="accent6" w:themeTint="99"/>
        </w:tcBorders>
      </w:tcPr>
    </w:tblStylePr>
    <w:tblStylePr w:type="swCell">
      <w:tblPr/>
      <w:tcPr>
        <w:tcBorders>
          <w:top w:val="single" w:sz="4" w:space="0" w:color="F0A28A" w:themeColor="accent6" w:themeTint="99"/>
        </w:tcBorders>
      </w:tcPr>
    </w:tblStylePr>
  </w:style>
  <w:style w:type="table" w:styleId="LightGrid">
    <w:name w:val="Light Grid"/>
    <w:basedOn w:val="TableNormal"/>
    <w:uiPriority w:val="62"/>
    <w:semiHidden/>
    <w:rsid w:val="00086DB5"/>
    <w:pPr>
      <w:spacing w:before="0"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086DB5"/>
    <w:pPr>
      <w:spacing w:before="0" w:after="0" w:line="240" w:lineRule="auto"/>
    </w:pPr>
    <w:tblPr>
      <w:tblStyleRowBandSize w:val="1"/>
      <w:tblStyleColBandSize w:val="1"/>
      <w:tblBorders>
        <w:top w:val="single" w:sz="8" w:space="0" w:color="1B242A" w:themeColor="accent1"/>
        <w:left w:val="single" w:sz="8" w:space="0" w:color="1B242A" w:themeColor="accent1"/>
        <w:bottom w:val="single" w:sz="8" w:space="0" w:color="1B242A" w:themeColor="accent1"/>
        <w:right w:val="single" w:sz="8" w:space="0" w:color="1B242A" w:themeColor="accent1"/>
        <w:insideH w:val="single" w:sz="8" w:space="0" w:color="1B242A" w:themeColor="accent1"/>
        <w:insideV w:val="single" w:sz="8" w:space="0" w:color="1B242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B242A" w:themeColor="accent1"/>
          <w:left w:val="single" w:sz="8" w:space="0" w:color="1B242A" w:themeColor="accent1"/>
          <w:bottom w:val="single" w:sz="18" w:space="0" w:color="1B242A" w:themeColor="accent1"/>
          <w:right w:val="single" w:sz="8" w:space="0" w:color="1B242A" w:themeColor="accent1"/>
          <w:insideH w:val="nil"/>
          <w:insideV w:val="single" w:sz="8" w:space="0" w:color="1B242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B242A" w:themeColor="accent1"/>
          <w:left w:val="single" w:sz="8" w:space="0" w:color="1B242A" w:themeColor="accent1"/>
          <w:bottom w:val="single" w:sz="8" w:space="0" w:color="1B242A" w:themeColor="accent1"/>
          <w:right w:val="single" w:sz="8" w:space="0" w:color="1B242A" w:themeColor="accent1"/>
          <w:insideH w:val="nil"/>
          <w:insideV w:val="single" w:sz="8" w:space="0" w:color="1B242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B242A" w:themeColor="accent1"/>
          <w:left w:val="single" w:sz="8" w:space="0" w:color="1B242A" w:themeColor="accent1"/>
          <w:bottom w:val="single" w:sz="8" w:space="0" w:color="1B242A" w:themeColor="accent1"/>
          <w:right w:val="single" w:sz="8" w:space="0" w:color="1B242A" w:themeColor="accent1"/>
        </w:tcBorders>
      </w:tcPr>
    </w:tblStylePr>
    <w:tblStylePr w:type="band1Vert">
      <w:tblPr/>
      <w:tcPr>
        <w:tcBorders>
          <w:top w:val="single" w:sz="8" w:space="0" w:color="1B242A" w:themeColor="accent1"/>
          <w:left w:val="single" w:sz="8" w:space="0" w:color="1B242A" w:themeColor="accent1"/>
          <w:bottom w:val="single" w:sz="8" w:space="0" w:color="1B242A" w:themeColor="accent1"/>
          <w:right w:val="single" w:sz="8" w:space="0" w:color="1B242A" w:themeColor="accent1"/>
        </w:tcBorders>
        <w:shd w:val="clear" w:color="auto" w:fill="BCCAD4" w:themeFill="accent1" w:themeFillTint="3F"/>
      </w:tcPr>
    </w:tblStylePr>
    <w:tblStylePr w:type="band1Horz">
      <w:tblPr/>
      <w:tcPr>
        <w:tcBorders>
          <w:top w:val="single" w:sz="8" w:space="0" w:color="1B242A" w:themeColor="accent1"/>
          <w:left w:val="single" w:sz="8" w:space="0" w:color="1B242A" w:themeColor="accent1"/>
          <w:bottom w:val="single" w:sz="8" w:space="0" w:color="1B242A" w:themeColor="accent1"/>
          <w:right w:val="single" w:sz="8" w:space="0" w:color="1B242A" w:themeColor="accent1"/>
          <w:insideV w:val="single" w:sz="8" w:space="0" w:color="1B242A" w:themeColor="accent1"/>
        </w:tcBorders>
        <w:shd w:val="clear" w:color="auto" w:fill="BCCAD4" w:themeFill="accent1" w:themeFillTint="3F"/>
      </w:tcPr>
    </w:tblStylePr>
    <w:tblStylePr w:type="band2Horz">
      <w:tblPr/>
      <w:tcPr>
        <w:tcBorders>
          <w:top w:val="single" w:sz="8" w:space="0" w:color="1B242A" w:themeColor="accent1"/>
          <w:left w:val="single" w:sz="8" w:space="0" w:color="1B242A" w:themeColor="accent1"/>
          <w:bottom w:val="single" w:sz="8" w:space="0" w:color="1B242A" w:themeColor="accent1"/>
          <w:right w:val="single" w:sz="8" w:space="0" w:color="1B242A" w:themeColor="accent1"/>
          <w:insideV w:val="single" w:sz="8" w:space="0" w:color="1B242A" w:themeColor="accent1"/>
        </w:tcBorders>
      </w:tcPr>
    </w:tblStylePr>
  </w:style>
  <w:style w:type="table" w:styleId="LightGrid-Accent2">
    <w:name w:val="Light Grid Accent 2"/>
    <w:basedOn w:val="TableNormal"/>
    <w:uiPriority w:val="62"/>
    <w:semiHidden/>
    <w:rsid w:val="00086DB5"/>
    <w:pPr>
      <w:spacing w:before="0" w:after="0" w:line="240" w:lineRule="auto"/>
    </w:pPr>
    <w:tblPr>
      <w:tblStyleRowBandSize w:val="1"/>
      <w:tblStyleColBandSize w:val="1"/>
      <w:tblBorders>
        <w:top w:val="single" w:sz="8" w:space="0" w:color="007586" w:themeColor="accent2"/>
        <w:left w:val="single" w:sz="8" w:space="0" w:color="007586" w:themeColor="accent2"/>
        <w:bottom w:val="single" w:sz="8" w:space="0" w:color="007586" w:themeColor="accent2"/>
        <w:right w:val="single" w:sz="8" w:space="0" w:color="007586" w:themeColor="accent2"/>
        <w:insideH w:val="single" w:sz="8" w:space="0" w:color="007586" w:themeColor="accent2"/>
        <w:insideV w:val="single" w:sz="8" w:space="0" w:color="007586"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586" w:themeColor="accent2"/>
          <w:left w:val="single" w:sz="8" w:space="0" w:color="007586" w:themeColor="accent2"/>
          <w:bottom w:val="single" w:sz="18" w:space="0" w:color="007586" w:themeColor="accent2"/>
          <w:right w:val="single" w:sz="8" w:space="0" w:color="007586" w:themeColor="accent2"/>
          <w:insideH w:val="nil"/>
          <w:insideV w:val="single" w:sz="8" w:space="0" w:color="007586"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586" w:themeColor="accent2"/>
          <w:left w:val="single" w:sz="8" w:space="0" w:color="007586" w:themeColor="accent2"/>
          <w:bottom w:val="single" w:sz="8" w:space="0" w:color="007586" w:themeColor="accent2"/>
          <w:right w:val="single" w:sz="8" w:space="0" w:color="007586" w:themeColor="accent2"/>
          <w:insideH w:val="nil"/>
          <w:insideV w:val="single" w:sz="8" w:space="0" w:color="007586"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586" w:themeColor="accent2"/>
          <w:left w:val="single" w:sz="8" w:space="0" w:color="007586" w:themeColor="accent2"/>
          <w:bottom w:val="single" w:sz="8" w:space="0" w:color="007586" w:themeColor="accent2"/>
          <w:right w:val="single" w:sz="8" w:space="0" w:color="007586" w:themeColor="accent2"/>
        </w:tcBorders>
      </w:tcPr>
    </w:tblStylePr>
    <w:tblStylePr w:type="band1Vert">
      <w:tblPr/>
      <w:tcPr>
        <w:tcBorders>
          <w:top w:val="single" w:sz="8" w:space="0" w:color="007586" w:themeColor="accent2"/>
          <w:left w:val="single" w:sz="8" w:space="0" w:color="007586" w:themeColor="accent2"/>
          <w:bottom w:val="single" w:sz="8" w:space="0" w:color="007586" w:themeColor="accent2"/>
          <w:right w:val="single" w:sz="8" w:space="0" w:color="007586" w:themeColor="accent2"/>
        </w:tcBorders>
        <w:shd w:val="clear" w:color="auto" w:fill="A2F2FF" w:themeFill="accent2" w:themeFillTint="3F"/>
      </w:tcPr>
    </w:tblStylePr>
    <w:tblStylePr w:type="band1Horz">
      <w:tblPr/>
      <w:tcPr>
        <w:tcBorders>
          <w:top w:val="single" w:sz="8" w:space="0" w:color="007586" w:themeColor="accent2"/>
          <w:left w:val="single" w:sz="8" w:space="0" w:color="007586" w:themeColor="accent2"/>
          <w:bottom w:val="single" w:sz="8" w:space="0" w:color="007586" w:themeColor="accent2"/>
          <w:right w:val="single" w:sz="8" w:space="0" w:color="007586" w:themeColor="accent2"/>
          <w:insideV w:val="single" w:sz="8" w:space="0" w:color="007586" w:themeColor="accent2"/>
        </w:tcBorders>
        <w:shd w:val="clear" w:color="auto" w:fill="A2F2FF" w:themeFill="accent2" w:themeFillTint="3F"/>
      </w:tcPr>
    </w:tblStylePr>
    <w:tblStylePr w:type="band2Horz">
      <w:tblPr/>
      <w:tcPr>
        <w:tcBorders>
          <w:top w:val="single" w:sz="8" w:space="0" w:color="007586" w:themeColor="accent2"/>
          <w:left w:val="single" w:sz="8" w:space="0" w:color="007586" w:themeColor="accent2"/>
          <w:bottom w:val="single" w:sz="8" w:space="0" w:color="007586" w:themeColor="accent2"/>
          <w:right w:val="single" w:sz="8" w:space="0" w:color="007586" w:themeColor="accent2"/>
          <w:insideV w:val="single" w:sz="8" w:space="0" w:color="007586" w:themeColor="accent2"/>
        </w:tcBorders>
      </w:tcPr>
    </w:tblStylePr>
  </w:style>
  <w:style w:type="table" w:styleId="LightGrid-Accent3">
    <w:name w:val="Light Grid Accent 3"/>
    <w:basedOn w:val="TableNormal"/>
    <w:uiPriority w:val="62"/>
    <w:semiHidden/>
    <w:rsid w:val="00086DB5"/>
    <w:pPr>
      <w:spacing w:before="0" w:after="0" w:line="240" w:lineRule="auto"/>
    </w:pPr>
    <w:tblPr>
      <w:tblStyleRowBandSize w:val="1"/>
      <w:tblStyleColBandSize w:val="1"/>
      <w:tblBorders>
        <w:top w:val="single" w:sz="8" w:space="0" w:color="5AB9EB" w:themeColor="accent3"/>
        <w:left w:val="single" w:sz="8" w:space="0" w:color="5AB9EB" w:themeColor="accent3"/>
        <w:bottom w:val="single" w:sz="8" w:space="0" w:color="5AB9EB" w:themeColor="accent3"/>
        <w:right w:val="single" w:sz="8" w:space="0" w:color="5AB9EB" w:themeColor="accent3"/>
        <w:insideH w:val="single" w:sz="8" w:space="0" w:color="5AB9EB" w:themeColor="accent3"/>
        <w:insideV w:val="single" w:sz="8" w:space="0" w:color="5AB9EB"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AB9EB" w:themeColor="accent3"/>
          <w:left w:val="single" w:sz="8" w:space="0" w:color="5AB9EB" w:themeColor="accent3"/>
          <w:bottom w:val="single" w:sz="18" w:space="0" w:color="5AB9EB" w:themeColor="accent3"/>
          <w:right w:val="single" w:sz="8" w:space="0" w:color="5AB9EB" w:themeColor="accent3"/>
          <w:insideH w:val="nil"/>
          <w:insideV w:val="single" w:sz="8" w:space="0" w:color="5AB9EB"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AB9EB" w:themeColor="accent3"/>
          <w:left w:val="single" w:sz="8" w:space="0" w:color="5AB9EB" w:themeColor="accent3"/>
          <w:bottom w:val="single" w:sz="8" w:space="0" w:color="5AB9EB" w:themeColor="accent3"/>
          <w:right w:val="single" w:sz="8" w:space="0" w:color="5AB9EB" w:themeColor="accent3"/>
          <w:insideH w:val="nil"/>
          <w:insideV w:val="single" w:sz="8" w:space="0" w:color="5AB9E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AB9EB" w:themeColor="accent3"/>
          <w:left w:val="single" w:sz="8" w:space="0" w:color="5AB9EB" w:themeColor="accent3"/>
          <w:bottom w:val="single" w:sz="8" w:space="0" w:color="5AB9EB" w:themeColor="accent3"/>
          <w:right w:val="single" w:sz="8" w:space="0" w:color="5AB9EB" w:themeColor="accent3"/>
        </w:tcBorders>
      </w:tcPr>
    </w:tblStylePr>
    <w:tblStylePr w:type="band1Vert">
      <w:tblPr/>
      <w:tcPr>
        <w:tcBorders>
          <w:top w:val="single" w:sz="8" w:space="0" w:color="5AB9EB" w:themeColor="accent3"/>
          <w:left w:val="single" w:sz="8" w:space="0" w:color="5AB9EB" w:themeColor="accent3"/>
          <w:bottom w:val="single" w:sz="8" w:space="0" w:color="5AB9EB" w:themeColor="accent3"/>
          <w:right w:val="single" w:sz="8" w:space="0" w:color="5AB9EB" w:themeColor="accent3"/>
        </w:tcBorders>
        <w:shd w:val="clear" w:color="auto" w:fill="D5EDFA" w:themeFill="accent3" w:themeFillTint="3F"/>
      </w:tcPr>
    </w:tblStylePr>
    <w:tblStylePr w:type="band1Horz">
      <w:tblPr/>
      <w:tcPr>
        <w:tcBorders>
          <w:top w:val="single" w:sz="8" w:space="0" w:color="5AB9EB" w:themeColor="accent3"/>
          <w:left w:val="single" w:sz="8" w:space="0" w:color="5AB9EB" w:themeColor="accent3"/>
          <w:bottom w:val="single" w:sz="8" w:space="0" w:color="5AB9EB" w:themeColor="accent3"/>
          <w:right w:val="single" w:sz="8" w:space="0" w:color="5AB9EB" w:themeColor="accent3"/>
          <w:insideV w:val="single" w:sz="8" w:space="0" w:color="5AB9EB" w:themeColor="accent3"/>
        </w:tcBorders>
        <w:shd w:val="clear" w:color="auto" w:fill="D5EDFA" w:themeFill="accent3" w:themeFillTint="3F"/>
      </w:tcPr>
    </w:tblStylePr>
    <w:tblStylePr w:type="band2Horz">
      <w:tblPr/>
      <w:tcPr>
        <w:tcBorders>
          <w:top w:val="single" w:sz="8" w:space="0" w:color="5AB9EB" w:themeColor="accent3"/>
          <w:left w:val="single" w:sz="8" w:space="0" w:color="5AB9EB" w:themeColor="accent3"/>
          <w:bottom w:val="single" w:sz="8" w:space="0" w:color="5AB9EB" w:themeColor="accent3"/>
          <w:right w:val="single" w:sz="8" w:space="0" w:color="5AB9EB" w:themeColor="accent3"/>
          <w:insideV w:val="single" w:sz="8" w:space="0" w:color="5AB9EB" w:themeColor="accent3"/>
        </w:tcBorders>
      </w:tcPr>
    </w:tblStylePr>
  </w:style>
  <w:style w:type="table" w:styleId="LightGrid-Accent4">
    <w:name w:val="Light Grid Accent 4"/>
    <w:basedOn w:val="TableNormal"/>
    <w:uiPriority w:val="62"/>
    <w:semiHidden/>
    <w:rsid w:val="00086DB5"/>
    <w:pPr>
      <w:spacing w:before="0" w:after="0" w:line="240" w:lineRule="auto"/>
    </w:pPr>
    <w:tblPr>
      <w:tblStyleRowBandSize w:val="1"/>
      <w:tblStyleColBandSize w:val="1"/>
      <w:tblBorders>
        <w:top w:val="single" w:sz="8" w:space="0" w:color="004C97" w:themeColor="accent4"/>
        <w:left w:val="single" w:sz="8" w:space="0" w:color="004C97" w:themeColor="accent4"/>
        <w:bottom w:val="single" w:sz="8" w:space="0" w:color="004C97" w:themeColor="accent4"/>
        <w:right w:val="single" w:sz="8" w:space="0" w:color="004C97" w:themeColor="accent4"/>
        <w:insideH w:val="single" w:sz="8" w:space="0" w:color="004C97" w:themeColor="accent4"/>
        <w:insideV w:val="single" w:sz="8" w:space="0" w:color="004C9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4"/>
          <w:left w:val="single" w:sz="8" w:space="0" w:color="004C97" w:themeColor="accent4"/>
          <w:bottom w:val="single" w:sz="18" w:space="0" w:color="004C97" w:themeColor="accent4"/>
          <w:right w:val="single" w:sz="8" w:space="0" w:color="004C97" w:themeColor="accent4"/>
          <w:insideH w:val="nil"/>
          <w:insideV w:val="single" w:sz="8" w:space="0" w:color="004C9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4"/>
          <w:left w:val="single" w:sz="8" w:space="0" w:color="004C97" w:themeColor="accent4"/>
          <w:bottom w:val="single" w:sz="8" w:space="0" w:color="004C97" w:themeColor="accent4"/>
          <w:right w:val="single" w:sz="8" w:space="0" w:color="004C97" w:themeColor="accent4"/>
          <w:insideH w:val="nil"/>
          <w:insideV w:val="single" w:sz="8" w:space="0" w:color="004C9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4"/>
          <w:left w:val="single" w:sz="8" w:space="0" w:color="004C97" w:themeColor="accent4"/>
          <w:bottom w:val="single" w:sz="8" w:space="0" w:color="004C97" w:themeColor="accent4"/>
          <w:right w:val="single" w:sz="8" w:space="0" w:color="004C97" w:themeColor="accent4"/>
        </w:tcBorders>
      </w:tcPr>
    </w:tblStylePr>
    <w:tblStylePr w:type="band1Vert">
      <w:tblPr/>
      <w:tcPr>
        <w:tcBorders>
          <w:top w:val="single" w:sz="8" w:space="0" w:color="004C97" w:themeColor="accent4"/>
          <w:left w:val="single" w:sz="8" w:space="0" w:color="004C97" w:themeColor="accent4"/>
          <w:bottom w:val="single" w:sz="8" w:space="0" w:color="004C97" w:themeColor="accent4"/>
          <w:right w:val="single" w:sz="8" w:space="0" w:color="004C97" w:themeColor="accent4"/>
        </w:tcBorders>
        <w:shd w:val="clear" w:color="auto" w:fill="A6D2FF" w:themeFill="accent4" w:themeFillTint="3F"/>
      </w:tcPr>
    </w:tblStylePr>
    <w:tblStylePr w:type="band1Horz">
      <w:tblPr/>
      <w:tcPr>
        <w:tcBorders>
          <w:top w:val="single" w:sz="8" w:space="0" w:color="004C97" w:themeColor="accent4"/>
          <w:left w:val="single" w:sz="8" w:space="0" w:color="004C97" w:themeColor="accent4"/>
          <w:bottom w:val="single" w:sz="8" w:space="0" w:color="004C97" w:themeColor="accent4"/>
          <w:right w:val="single" w:sz="8" w:space="0" w:color="004C97" w:themeColor="accent4"/>
          <w:insideV w:val="single" w:sz="8" w:space="0" w:color="004C97" w:themeColor="accent4"/>
        </w:tcBorders>
        <w:shd w:val="clear" w:color="auto" w:fill="A6D2FF" w:themeFill="accent4" w:themeFillTint="3F"/>
      </w:tcPr>
    </w:tblStylePr>
    <w:tblStylePr w:type="band2Horz">
      <w:tblPr/>
      <w:tcPr>
        <w:tcBorders>
          <w:top w:val="single" w:sz="8" w:space="0" w:color="004C97" w:themeColor="accent4"/>
          <w:left w:val="single" w:sz="8" w:space="0" w:color="004C97" w:themeColor="accent4"/>
          <w:bottom w:val="single" w:sz="8" w:space="0" w:color="004C97" w:themeColor="accent4"/>
          <w:right w:val="single" w:sz="8" w:space="0" w:color="004C97" w:themeColor="accent4"/>
          <w:insideV w:val="single" w:sz="8" w:space="0" w:color="004C97" w:themeColor="accent4"/>
        </w:tcBorders>
      </w:tcPr>
    </w:tblStylePr>
  </w:style>
  <w:style w:type="table" w:styleId="LightGrid-Accent5">
    <w:name w:val="Light Grid Accent 5"/>
    <w:basedOn w:val="TableNormal"/>
    <w:uiPriority w:val="62"/>
    <w:semiHidden/>
    <w:rsid w:val="00086DB5"/>
    <w:pPr>
      <w:spacing w:before="0" w:after="0" w:line="240" w:lineRule="auto"/>
    </w:pPr>
    <w:tblPr>
      <w:tblStyleRowBandSize w:val="1"/>
      <w:tblStyleColBandSize w:val="1"/>
      <w:tblBorders>
        <w:top w:val="single" w:sz="8" w:space="0" w:color="5AAA64" w:themeColor="accent5"/>
        <w:left w:val="single" w:sz="8" w:space="0" w:color="5AAA64" w:themeColor="accent5"/>
        <w:bottom w:val="single" w:sz="8" w:space="0" w:color="5AAA64" w:themeColor="accent5"/>
        <w:right w:val="single" w:sz="8" w:space="0" w:color="5AAA64" w:themeColor="accent5"/>
        <w:insideH w:val="single" w:sz="8" w:space="0" w:color="5AAA64" w:themeColor="accent5"/>
        <w:insideV w:val="single" w:sz="8" w:space="0" w:color="5AAA6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AAA64" w:themeColor="accent5"/>
          <w:left w:val="single" w:sz="8" w:space="0" w:color="5AAA64" w:themeColor="accent5"/>
          <w:bottom w:val="single" w:sz="18" w:space="0" w:color="5AAA64" w:themeColor="accent5"/>
          <w:right w:val="single" w:sz="8" w:space="0" w:color="5AAA64" w:themeColor="accent5"/>
          <w:insideH w:val="nil"/>
          <w:insideV w:val="single" w:sz="8" w:space="0" w:color="5AAA6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AAA64" w:themeColor="accent5"/>
          <w:left w:val="single" w:sz="8" w:space="0" w:color="5AAA64" w:themeColor="accent5"/>
          <w:bottom w:val="single" w:sz="8" w:space="0" w:color="5AAA64" w:themeColor="accent5"/>
          <w:right w:val="single" w:sz="8" w:space="0" w:color="5AAA64" w:themeColor="accent5"/>
          <w:insideH w:val="nil"/>
          <w:insideV w:val="single" w:sz="8" w:space="0" w:color="5AAA6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AAA64" w:themeColor="accent5"/>
          <w:left w:val="single" w:sz="8" w:space="0" w:color="5AAA64" w:themeColor="accent5"/>
          <w:bottom w:val="single" w:sz="8" w:space="0" w:color="5AAA64" w:themeColor="accent5"/>
          <w:right w:val="single" w:sz="8" w:space="0" w:color="5AAA64" w:themeColor="accent5"/>
        </w:tcBorders>
      </w:tcPr>
    </w:tblStylePr>
    <w:tblStylePr w:type="band1Vert">
      <w:tblPr/>
      <w:tcPr>
        <w:tcBorders>
          <w:top w:val="single" w:sz="8" w:space="0" w:color="5AAA64" w:themeColor="accent5"/>
          <w:left w:val="single" w:sz="8" w:space="0" w:color="5AAA64" w:themeColor="accent5"/>
          <w:bottom w:val="single" w:sz="8" w:space="0" w:color="5AAA64" w:themeColor="accent5"/>
          <w:right w:val="single" w:sz="8" w:space="0" w:color="5AAA64" w:themeColor="accent5"/>
        </w:tcBorders>
        <w:shd w:val="clear" w:color="auto" w:fill="D6EAD8" w:themeFill="accent5" w:themeFillTint="3F"/>
      </w:tcPr>
    </w:tblStylePr>
    <w:tblStylePr w:type="band1Horz">
      <w:tblPr/>
      <w:tcPr>
        <w:tcBorders>
          <w:top w:val="single" w:sz="8" w:space="0" w:color="5AAA64" w:themeColor="accent5"/>
          <w:left w:val="single" w:sz="8" w:space="0" w:color="5AAA64" w:themeColor="accent5"/>
          <w:bottom w:val="single" w:sz="8" w:space="0" w:color="5AAA64" w:themeColor="accent5"/>
          <w:right w:val="single" w:sz="8" w:space="0" w:color="5AAA64" w:themeColor="accent5"/>
          <w:insideV w:val="single" w:sz="8" w:space="0" w:color="5AAA64" w:themeColor="accent5"/>
        </w:tcBorders>
        <w:shd w:val="clear" w:color="auto" w:fill="D6EAD8" w:themeFill="accent5" w:themeFillTint="3F"/>
      </w:tcPr>
    </w:tblStylePr>
    <w:tblStylePr w:type="band2Horz">
      <w:tblPr/>
      <w:tcPr>
        <w:tcBorders>
          <w:top w:val="single" w:sz="8" w:space="0" w:color="5AAA64" w:themeColor="accent5"/>
          <w:left w:val="single" w:sz="8" w:space="0" w:color="5AAA64" w:themeColor="accent5"/>
          <w:bottom w:val="single" w:sz="8" w:space="0" w:color="5AAA64" w:themeColor="accent5"/>
          <w:right w:val="single" w:sz="8" w:space="0" w:color="5AAA64" w:themeColor="accent5"/>
          <w:insideV w:val="single" w:sz="8" w:space="0" w:color="5AAA64" w:themeColor="accent5"/>
        </w:tcBorders>
      </w:tcPr>
    </w:tblStylePr>
  </w:style>
  <w:style w:type="table" w:styleId="LightGrid-Accent6">
    <w:name w:val="Light Grid Accent 6"/>
    <w:basedOn w:val="TableNormal"/>
    <w:uiPriority w:val="62"/>
    <w:semiHidden/>
    <w:rsid w:val="00086DB5"/>
    <w:pPr>
      <w:spacing w:before="0" w:after="0" w:line="240" w:lineRule="auto"/>
    </w:pPr>
    <w:tblPr>
      <w:tblStyleRowBandSize w:val="1"/>
      <w:tblStyleColBandSize w:val="1"/>
      <w:tblBorders>
        <w:top w:val="single" w:sz="8" w:space="0" w:color="E6643C" w:themeColor="accent6"/>
        <w:left w:val="single" w:sz="8" w:space="0" w:color="E6643C" w:themeColor="accent6"/>
        <w:bottom w:val="single" w:sz="8" w:space="0" w:color="E6643C" w:themeColor="accent6"/>
        <w:right w:val="single" w:sz="8" w:space="0" w:color="E6643C" w:themeColor="accent6"/>
        <w:insideH w:val="single" w:sz="8" w:space="0" w:color="E6643C" w:themeColor="accent6"/>
        <w:insideV w:val="single" w:sz="8" w:space="0" w:color="E6643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6643C" w:themeColor="accent6"/>
          <w:left w:val="single" w:sz="8" w:space="0" w:color="E6643C" w:themeColor="accent6"/>
          <w:bottom w:val="single" w:sz="18" w:space="0" w:color="E6643C" w:themeColor="accent6"/>
          <w:right w:val="single" w:sz="8" w:space="0" w:color="E6643C" w:themeColor="accent6"/>
          <w:insideH w:val="nil"/>
          <w:insideV w:val="single" w:sz="8" w:space="0" w:color="E6643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6643C" w:themeColor="accent6"/>
          <w:left w:val="single" w:sz="8" w:space="0" w:color="E6643C" w:themeColor="accent6"/>
          <w:bottom w:val="single" w:sz="8" w:space="0" w:color="E6643C" w:themeColor="accent6"/>
          <w:right w:val="single" w:sz="8" w:space="0" w:color="E6643C" w:themeColor="accent6"/>
          <w:insideH w:val="nil"/>
          <w:insideV w:val="single" w:sz="8" w:space="0" w:color="E6643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6643C" w:themeColor="accent6"/>
          <w:left w:val="single" w:sz="8" w:space="0" w:color="E6643C" w:themeColor="accent6"/>
          <w:bottom w:val="single" w:sz="8" w:space="0" w:color="E6643C" w:themeColor="accent6"/>
          <w:right w:val="single" w:sz="8" w:space="0" w:color="E6643C" w:themeColor="accent6"/>
        </w:tcBorders>
      </w:tcPr>
    </w:tblStylePr>
    <w:tblStylePr w:type="band1Vert">
      <w:tblPr/>
      <w:tcPr>
        <w:tcBorders>
          <w:top w:val="single" w:sz="8" w:space="0" w:color="E6643C" w:themeColor="accent6"/>
          <w:left w:val="single" w:sz="8" w:space="0" w:color="E6643C" w:themeColor="accent6"/>
          <w:bottom w:val="single" w:sz="8" w:space="0" w:color="E6643C" w:themeColor="accent6"/>
          <w:right w:val="single" w:sz="8" w:space="0" w:color="E6643C" w:themeColor="accent6"/>
        </w:tcBorders>
        <w:shd w:val="clear" w:color="auto" w:fill="F8D8CE" w:themeFill="accent6" w:themeFillTint="3F"/>
      </w:tcPr>
    </w:tblStylePr>
    <w:tblStylePr w:type="band1Horz">
      <w:tblPr/>
      <w:tcPr>
        <w:tcBorders>
          <w:top w:val="single" w:sz="8" w:space="0" w:color="E6643C" w:themeColor="accent6"/>
          <w:left w:val="single" w:sz="8" w:space="0" w:color="E6643C" w:themeColor="accent6"/>
          <w:bottom w:val="single" w:sz="8" w:space="0" w:color="E6643C" w:themeColor="accent6"/>
          <w:right w:val="single" w:sz="8" w:space="0" w:color="E6643C" w:themeColor="accent6"/>
          <w:insideV w:val="single" w:sz="8" w:space="0" w:color="E6643C" w:themeColor="accent6"/>
        </w:tcBorders>
        <w:shd w:val="clear" w:color="auto" w:fill="F8D8CE" w:themeFill="accent6" w:themeFillTint="3F"/>
      </w:tcPr>
    </w:tblStylePr>
    <w:tblStylePr w:type="band2Horz">
      <w:tblPr/>
      <w:tcPr>
        <w:tcBorders>
          <w:top w:val="single" w:sz="8" w:space="0" w:color="E6643C" w:themeColor="accent6"/>
          <w:left w:val="single" w:sz="8" w:space="0" w:color="E6643C" w:themeColor="accent6"/>
          <w:bottom w:val="single" w:sz="8" w:space="0" w:color="E6643C" w:themeColor="accent6"/>
          <w:right w:val="single" w:sz="8" w:space="0" w:color="E6643C" w:themeColor="accent6"/>
          <w:insideV w:val="single" w:sz="8" w:space="0" w:color="E6643C" w:themeColor="accent6"/>
        </w:tcBorders>
      </w:tcPr>
    </w:tblStylePr>
  </w:style>
  <w:style w:type="table" w:styleId="LightList">
    <w:name w:val="Light List"/>
    <w:basedOn w:val="TableNormal"/>
    <w:uiPriority w:val="61"/>
    <w:semiHidden/>
    <w:rsid w:val="00086DB5"/>
    <w:pPr>
      <w:spacing w:before="0"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2">
    <w:name w:val="Light List Accent 2"/>
    <w:basedOn w:val="TableNormal"/>
    <w:uiPriority w:val="61"/>
    <w:semiHidden/>
    <w:rsid w:val="00086DB5"/>
    <w:pPr>
      <w:spacing w:before="0" w:after="0" w:line="240" w:lineRule="auto"/>
    </w:pPr>
    <w:tblPr>
      <w:tblStyleRowBandSize w:val="1"/>
      <w:tblStyleColBandSize w:val="1"/>
      <w:tblBorders>
        <w:top w:val="single" w:sz="8" w:space="0" w:color="007586" w:themeColor="accent2"/>
        <w:left w:val="single" w:sz="8" w:space="0" w:color="007586" w:themeColor="accent2"/>
        <w:bottom w:val="single" w:sz="8" w:space="0" w:color="007586" w:themeColor="accent2"/>
        <w:right w:val="single" w:sz="8" w:space="0" w:color="007586" w:themeColor="accent2"/>
      </w:tblBorders>
    </w:tblPr>
    <w:tblStylePr w:type="firstRow">
      <w:pPr>
        <w:spacing w:before="0" w:after="0" w:line="240" w:lineRule="auto"/>
      </w:pPr>
      <w:rPr>
        <w:b/>
        <w:bCs/>
        <w:color w:val="FFFFFF" w:themeColor="background1"/>
      </w:rPr>
      <w:tblPr/>
      <w:tcPr>
        <w:shd w:val="clear" w:color="auto" w:fill="007586" w:themeFill="accent2"/>
      </w:tcPr>
    </w:tblStylePr>
    <w:tblStylePr w:type="lastRow">
      <w:pPr>
        <w:spacing w:before="0" w:after="0" w:line="240" w:lineRule="auto"/>
      </w:pPr>
      <w:rPr>
        <w:b/>
        <w:bCs/>
      </w:rPr>
      <w:tblPr/>
      <w:tcPr>
        <w:tcBorders>
          <w:top w:val="double" w:sz="6" w:space="0" w:color="007586" w:themeColor="accent2"/>
          <w:left w:val="single" w:sz="8" w:space="0" w:color="007586" w:themeColor="accent2"/>
          <w:bottom w:val="single" w:sz="8" w:space="0" w:color="007586" w:themeColor="accent2"/>
          <w:right w:val="single" w:sz="8" w:space="0" w:color="007586" w:themeColor="accent2"/>
        </w:tcBorders>
      </w:tcPr>
    </w:tblStylePr>
    <w:tblStylePr w:type="firstCol">
      <w:rPr>
        <w:b/>
        <w:bCs/>
      </w:rPr>
    </w:tblStylePr>
    <w:tblStylePr w:type="lastCol">
      <w:rPr>
        <w:b/>
        <w:bCs/>
      </w:rPr>
    </w:tblStylePr>
    <w:tblStylePr w:type="band1Vert">
      <w:tblPr/>
      <w:tcPr>
        <w:tcBorders>
          <w:top w:val="single" w:sz="8" w:space="0" w:color="007586" w:themeColor="accent2"/>
          <w:left w:val="single" w:sz="8" w:space="0" w:color="007586" w:themeColor="accent2"/>
          <w:bottom w:val="single" w:sz="8" w:space="0" w:color="007586" w:themeColor="accent2"/>
          <w:right w:val="single" w:sz="8" w:space="0" w:color="007586" w:themeColor="accent2"/>
        </w:tcBorders>
      </w:tcPr>
    </w:tblStylePr>
    <w:tblStylePr w:type="band1Horz">
      <w:tblPr/>
      <w:tcPr>
        <w:tcBorders>
          <w:top w:val="single" w:sz="8" w:space="0" w:color="007586" w:themeColor="accent2"/>
          <w:left w:val="single" w:sz="8" w:space="0" w:color="007586" w:themeColor="accent2"/>
          <w:bottom w:val="single" w:sz="8" w:space="0" w:color="007586" w:themeColor="accent2"/>
          <w:right w:val="single" w:sz="8" w:space="0" w:color="007586" w:themeColor="accent2"/>
        </w:tcBorders>
      </w:tcPr>
    </w:tblStylePr>
  </w:style>
  <w:style w:type="table" w:styleId="LightList-Accent3">
    <w:name w:val="Light List Accent 3"/>
    <w:basedOn w:val="TableNormal"/>
    <w:uiPriority w:val="61"/>
    <w:semiHidden/>
    <w:rsid w:val="00086DB5"/>
    <w:pPr>
      <w:spacing w:before="0" w:after="0" w:line="240" w:lineRule="auto"/>
    </w:pPr>
    <w:tblPr>
      <w:tblStyleRowBandSize w:val="1"/>
      <w:tblStyleColBandSize w:val="1"/>
      <w:tblBorders>
        <w:top w:val="single" w:sz="8" w:space="0" w:color="5AB9EB" w:themeColor="accent3"/>
        <w:left w:val="single" w:sz="8" w:space="0" w:color="5AB9EB" w:themeColor="accent3"/>
        <w:bottom w:val="single" w:sz="8" w:space="0" w:color="5AB9EB" w:themeColor="accent3"/>
        <w:right w:val="single" w:sz="8" w:space="0" w:color="5AB9EB" w:themeColor="accent3"/>
      </w:tblBorders>
    </w:tblPr>
    <w:tblStylePr w:type="firstRow">
      <w:pPr>
        <w:spacing w:before="0" w:after="0" w:line="240" w:lineRule="auto"/>
      </w:pPr>
      <w:rPr>
        <w:b/>
        <w:bCs/>
        <w:color w:val="FFFFFF" w:themeColor="background1"/>
      </w:rPr>
      <w:tblPr/>
      <w:tcPr>
        <w:shd w:val="clear" w:color="auto" w:fill="5AB9EB" w:themeFill="accent3"/>
      </w:tcPr>
    </w:tblStylePr>
    <w:tblStylePr w:type="lastRow">
      <w:pPr>
        <w:spacing w:before="0" w:after="0" w:line="240" w:lineRule="auto"/>
      </w:pPr>
      <w:rPr>
        <w:b/>
        <w:bCs/>
      </w:rPr>
      <w:tblPr/>
      <w:tcPr>
        <w:tcBorders>
          <w:top w:val="double" w:sz="6" w:space="0" w:color="5AB9EB" w:themeColor="accent3"/>
          <w:left w:val="single" w:sz="8" w:space="0" w:color="5AB9EB" w:themeColor="accent3"/>
          <w:bottom w:val="single" w:sz="8" w:space="0" w:color="5AB9EB" w:themeColor="accent3"/>
          <w:right w:val="single" w:sz="8" w:space="0" w:color="5AB9EB" w:themeColor="accent3"/>
        </w:tcBorders>
      </w:tcPr>
    </w:tblStylePr>
    <w:tblStylePr w:type="firstCol">
      <w:rPr>
        <w:b/>
        <w:bCs/>
      </w:rPr>
    </w:tblStylePr>
    <w:tblStylePr w:type="lastCol">
      <w:rPr>
        <w:b/>
        <w:bCs/>
      </w:rPr>
    </w:tblStylePr>
    <w:tblStylePr w:type="band1Vert">
      <w:tblPr/>
      <w:tcPr>
        <w:tcBorders>
          <w:top w:val="single" w:sz="8" w:space="0" w:color="5AB9EB" w:themeColor="accent3"/>
          <w:left w:val="single" w:sz="8" w:space="0" w:color="5AB9EB" w:themeColor="accent3"/>
          <w:bottom w:val="single" w:sz="8" w:space="0" w:color="5AB9EB" w:themeColor="accent3"/>
          <w:right w:val="single" w:sz="8" w:space="0" w:color="5AB9EB" w:themeColor="accent3"/>
        </w:tcBorders>
      </w:tcPr>
    </w:tblStylePr>
    <w:tblStylePr w:type="band1Horz">
      <w:tblPr/>
      <w:tcPr>
        <w:tcBorders>
          <w:top w:val="single" w:sz="8" w:space="0" w:color="5AB9EB" w:themeColor="accent3"/>
          <w:left w:val="single" w:sz="8" w:space="0" w:color="5AB9EB" w:themeColor="accent3"/>
          <w:bottom w:val="single" w:sz="8" w:space="0" w:color="5AB9EB" w:themeColor="accent3"/>
          <w:right w:val="single" w:sz="8" w:space="0" w:color="5AB9EB" w:themeColor="accent3"/>
        </w:tcBorders>
      </w:tcPr>
    </w:tblStylePr>
  </w:style>
  <w:style w:type="table" w:styleId="LightList-Accent5">
    <w:name w:val="Light List Accent 5"/>
    <w:basedOn w:val="TableNormal"/>
    <w:uiPriority w:val="61"/>
    <w:semiHidden/>
    <w:rsid w:val="00086DB5"/>
    <w:pPr>
      <w:spacing w:before="0" w:after="0" w:line="240" w:lineRule="auto"/>
    </w:pPr>
    <w:tblPr>
      <w:tblStyleRowBandSize w:val="1"/>
      <w:tblStyleColBandSize w:val="1"/>
      <w:tblBorders>
        <w:top w:val="single" w:sz="8" w:space="0" w:color="5AAA64" w:themeColor="accent5"/>
        <w:left w:val="single" w:sz="8" w:space="0" w:color="5AAA64" w:themeColor="accent5"/>
        <w:bottom w:val="single" w:sz="8" w:space="0" w:color="5AAA64" w:themeColor="accent5"/>
        <w:right w:val="single" w:sz="8" w:space="0" w:color="5AAA64" w:themeColor="accent5"/>
      </w:tblBorders>
    </w:tblPr>
    <w:tblStylePr w:type="firstRow">
      <w:pPr>
        <w:spacing w:before="0" w:after="0" w:line="240" w:lineRule="auto"/>
      </w:pPr>
      <w:rPr>
        <w:b/>
        <w:bCs/>
        <w:color w:val="FFFFFF" w:themeColor="background1"/>
      </w:rPr>
      <w:tblPr/>
      <w:tcPr>
        <w:shd w:val="clear" w:color="auto" w:fill="5AAA64" w:themeFill="accent5"/>
      </w:tcPr>
    </w:tblStylePr>
    <w:tblStylePr w:type="lastRow">
      <w:pPr>
        <w:spacing w:before="0" w:after="0" w:line="240" w:lineRule="auto"/>
      </w:pPr>
      <w:rPr>
        <w:b/>
        <w:bCs/>
      </w:rPr>
      <w:tblPr/>
      <w:tcPr>
        <w:tcBorders>
          <w:top w:val="double" w:sz="6" w:space="0" w:color="5AAA64" w:themeColor="accent5"/>
          <w:left w:val="single" w:sz="8" w:space="0" w:color="5AAA64" w:themeColor="accent5"/>
          <w:bottom w:val="single" w:sz="8" w:space="0" w:color="5AAA64" w:themeColor="accent5"/>
          <w:right w:val="single" w:sz="8" w:space="0" w:color="5AAA64" w:themeColor="accent5"/>
        </w:tcBorders>
      </w:tcPr>
    </w:tblStylePr>
    <w:tblStylePr w:type="firstCol">
      <w:rPr>
        <w:b/>
        <w:bCs/>
      </w:rPr>
    </w:tblStylePr>
    <w:tblStylePr w:type="lastCol">
      <w:rPr>
        <w:b/>
        <w:bCs/>
      </w:rPr>
    </w:tblStylePr>
    <w:tblStylePr w:type="band1Vert">
      <w:tblPr/>
      <w:tcPr>
        <w:tcBorders>
          <w:top w:val="single" w:sz="8" w:space="0" w:color="5AAA64" w:themeColor="accent5"/>
          <w:left w:val="single" w:sz="8" w:space="0" w:color="5AAA64" w:themeColor="accent5"/>
          <w:bottom w:val="single" w:sz="8" w:space="0" w:color="5AAA64" w:themeColor="accent5"/>
          <w:right w:val="single" w:sz="8" w:space="0" w:color="5AAA64" w:themeColor="accent5"/>
        </w:tcBorders>
      </w:tcPr>
    </w:tblStylePr>
    <w:tblStylePr w:type="band1Horz">
      <w:tblPr/>
      <w:tcPr>
        <w:tcBorders>
          <w:top w:val="single" w:sz="8" w:space="0" w:color="5AAA64" w:themeColor="accent5"/>
          <w:left w:val="single" w:sz="8" w:space="0" w:color="5AAA64" w:themeColor="accent5"/>
          <w:bottom w:val="single" w:sz="8" w:space="0" w:color="5AAA64" w:themeColor="accent5"/>
          <w:right w:val="single" w:sz="8" w:space="0" w:color="5AAA64" w:themeColor="accent5"/>
        </w:tcBorders>
      </w:tcPr>
    </w:tblStylePr>
  </w:style>
  <w:style w:type="table" w:styleId="LightList-Accent6">
    <w:name w:val="Light List Accent 6"/>
    <w:basedOn w:val="TableNormal"/>
    <w:uiPriority w:val="61"/>
    <w:semiHidden/>
    <w:rsid w:val="00086DB5"/>
    <w:pPr>
      <w:spacing w:before="0" w:after="0" w:line="240" w:lineRule="auto"/>
    </w:pPr>
    <w:tblPr>
      <w:tblStyleRowBandSize w:val="1"/>
      <w:tblStyleColBandSize w:val="1"/>
      <w:tblBorders>
        <w:top w:val="single" w:sz="8" w:space="0" w:color="E6643C" w:themeColor="accent6"/>
        <w:left w:val="single" w:sz="8" w:space="0" w:color="E6643C" w:themeColor="accent6"/>
        <w:bottom w:val="single" w:sz="8" w:space="0" w:color="E6643C" w:themeColor="accent6"/>
        <w:right w:val="single" w:sz="8" w:space="0" w:color="E6643C" w:themeColor="accent6"/>
      </w:tblBorders>
    </w:tblPr>
    <w:tblStylePr w:type="firstRow">
      <w:pPr>
        <w:spacing w:before="0" w:after="0" w:line="240" w:lineRule="auto"/>
      </w:pPr>
      <w:rPr>
        <w:b/>
        <w:bCs/>
        <w:color w:val="FFFFFF" w:themeColor="background1"/>
      </w:rPr>
      <w:tblPr/>
      <w:tcPr>
        <w:shd w:val="clear" w:color="auto" w:fill="E6643C" w:themeFill="accent6"/>
      </w:tcPr>
    </w:tblStylePr>
    <w:tblStylePr w:type="lastRow">
      <w:pPr>
        <w:spacing w:before="0" w:after="0" w:line="240" w:lineRule="auto"/>
      </w:pPr>
      <w:rPr>
        <w:b/>
        <w:bCs/>
      </w:rPr>
      <w:tblPr/>
      <w:tcPr>
        <w:tcBorders>
          <w:top w:val="double" w:sz="6" w:space="0" w:color="E6643C" w:themeColor="accent6"/>
          <w:left w:val="single" w:sz="8" w:space="0" w:color="E6643C" w:themeColor="accent6"/>
          <w:bottom w:val="single" w:sz="8" w:space="0" w:color="E6643C" w:themeColor="accent6"/>
          <w:right w:val="single" w:sz="8" w:space="0" w:color="E6643C" w:themeColor="accent6"/>
        </w:tcBorders>
      </w:tcPr>
    </w:tblStylePr>
    <w:tblStylePr w:type="firstCol">
      <w:rPr>
        <w:b/>
        <w:bCs/>
      </w:rPr>
    </w:tblStylePr>
    <w:tblStylePr w:type="lastCol">
      <w:rPr>
        <w:b/>
        <w:bCs/>
      </w:rPr>
    </w:tblStylePr>
    <w:tblStylePr w:type="band1Vert">
      <w:tblPr/>
      <w:tcPr>
        <w:tcBorders>
          <w:top w:val="single" w:sz="8" w:space="0" w:color="E6643C" w:themeColor="accent6"/>
          <w:left w:val="single" w:sz="8" w:space="0" w:color="E6643C" w:themeColor="accent6"/>
          <w:bottom w:val="single" w:sz="8" w:space="0" w:color="E6643C" w:themeColor="accent6"/>
          <w:right w:val="single" w:sz="8" w:space="0" w:color="E6643C" w:themeColor="accent6"/>
        </w:tcBorders>
      </w:tcPr>
    </w:tblStylePr>
    <w:tblStylePr w:type="band1Horz">
      <w:tblPr/>
      <w:tcPr>
        <w:tcBorders>
          <w:top w:val="single" w:sz="8" w:space="0" w:color="E6643C" w:themeColor="accent6"/>
          <w:left w:val="single" w:sz="8" w:space="0" w:color="E6643C" w:themeColor="accent6"/>
          <w:bottom w:val="single" w:sz="8" w:space="0" w:color="E6643C" w:themeColor="accent6"/>
          <w:right w:val="single" w:sz="8" w:space="0" w:color="E6643C" w:themeColor="accent6"/>
        </w:tcBorders>
      </w:tcPr>
    </w:tblStylePr>
  </w:style>
  <w:style w:type="table" w:styleId="LightShading-Accent1">
    <w:name w:val="Light Shading Accent 1"/>
    <w:basedOn w:val="TableNormal"/>
    <w:uiPriority w:val="60"/>
    <w:semiHidden/>
    <w:rsid w:val="00086DB5"/>
    <w:pPr>
      <w:spacing w:before="0" w:after="0" w:line="240" w:lineRule="auto"/>
    </w:pPr>
    <w:rPr>
      <w:color w:val="141A1F" w:themeColor="accent1" w:themeShade="BF"/>
    </w:rPr>
    <w:tblPr>
      <w:tblStyleRowBandSize w:val="1"/>
      <w:tblStyleColBandSize w:val="1"/>
      <w:tblBorders>
        <w:top w:val="single" w:sz="8" w:space="0" w:color="1B242A" w:themeColor="accent1"/>
        <w:bottom w:val="single" w:sz="8" w:space="0" w:color="1B242A" w:themeColor="accent1"/>
      </w:tblBorders>
    </w:tblPr>
    <w:tblStylePr w:type="firstRow">
      <w:pPr>
        <w:spacing w:before="0" w:after="0" w:line="240" w:lineRule="auto"/>
      </w:pPr>
      <w:rPr>
        <w:b/>
        <w:bCs/>
      </w:rPr>
      <w:tblPr/>
      <w:tcPr>
        <w:tcBorders>
          <w:top w:val="single" w:sz="8" w:space="0" w:color="1B242A" w:themeColor="accent1"/>
          <w:left w:val="nil"/>
          <w:bottom w:val="single" w:sz="8" w:space="0" w:color="1B242A" w:themeColor="accent1"/>
          <w:right w:val="nil"/>
          <w:insideH w:val="nil"/>
          <w:insideV w:val="nil"/>
        </w:tcBorders>
      </w:tcPr>
    </w:tblStylePr>
    <w:tblStylePr w:type="lastRow">
      <w:pPr>
        <w:spacing w:before="0" w:after="0" w:line="240" w:lineRule="auto"/>
      </w:pPr>
      <w:rPr>
        <w:b/>
        <w:bCs/>
      </w:rPr>
      <w:tblPr/>
      <w:tcPr>
        <w:tcBorders>
          <w:top w:val="single" w:sz="8" w:space="0" w:color="1B242A" w:themeColor="accent1"/>
          <w:left w:val="nil"/>
          <w:bottom w:val="single" w:sz="8" w:space="0" w:color="1B242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CCAD4" w:themeFill="accent1" w:themeFillTint="3F"/>
      </w:tcPr>
    </w:tblStylePr>
    <w:tblStylePr w:type="band1Horz">
      <w:tblPr/>
      <w:tcPr>
        <w:tcBorders>
          <w:left w:val="nil"/>
          <w:right w:val="nil"/>
          <w:insideH w:val="nil"/>
          <w:insideV w:val="nil"/>
        </w:tcBorders>
        <w:shd w:val="clear" w:color="auto" w:fill="BCCAD4" w:themeFill="accent1" w:themeFillTint="3F"/>
      </w:tcPr>
    </w:tblStylePr>
  </w:style>
  <w:style w:type="table" w:styleId="LightShading-Accent2">
    <w:name w:val="Light Shading Accent 2"/>
    <w:basedOn w:val="TableNormal"/>
    <w:uiPriority w:val="60"/>
    <w:semiHidden/>
    <w:rsid w:val="00086DB5"/>
    <w:pPr>
      <w:spacing w:before="0" w:after="0" w:line="240" w:lineRule="auto"/>
    </w:pPr>
    <w:rPr>
      <w:color w:val="005764" w:themeColor="accent2" w:themeShade="BF"/>
    </w:rPr>
    <w:tblPr>
      <w:tblStyleRowBandSize w:val="1"/>
      <w:tblStyleColBandSize w:val="1"/>
      <w:tblBorders>
        <w:top w:val="single" w:sz="8" w:space="0" w:color="007586" w:themeColor="accent2"/>
        <w:bottom w:val="single" w:sz="8" w:space="0" w:color="007586" w:themeColor="accent2"/>
      </w:tblBorders>
    </w:tblPr>
    <w:tblStylePr w:type="firstRow">
      <w:pPr>
        <w:spacing w:before="0" w:after="0" w:line="240" w:lineRule="auto"/>
      </w:pPr>
      <w:rPr>
        <w:b/>
        <w:bCs/>
      </w:rPr>
      <w:tblPr/>
      <w:tcPr>
        <w:tcBorders>
          <w:top w:val="single" w:sz="8" w:space="0" w:color="007586" w:themeColor="accent2"/>
          <w:left w:val="nil"/>
          <w:bottom w:val="single" w:sz="8" w:space="0" w:color="007586" w:themeColor="accent2"/>
          <w:right w:val="nil"/>
          <w:insideH w:val="nil"/>
          <w:insideV w:val="nil"/>
        </w:tcBorders>
      </w:tcPr>
    </w:tblStylePr>
    <w:tblStylePr w:type="lastRow">
      <w:pPr>
        <w:spacing w:before="0" w:after="0" w:line="240" w:lineRule="auto"/>
      </w:pPr>
      <w:rPr>
        <w:b/>
        <w:bCs/>
      </w:rPr>
      <w:tblPr/>
      <w:tcPr>
        <w:tcBorders>
          <w:top w:val="single" w:sz="8" w:space="0" w:color="007586" w:themeColor="accent2"/>
          <w:left w:val="nil"/>
          <w:bottom w:val="single" w:sz="8" w:space="0" w:color="007586"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2F2FF" w:themeFill="accent2" w:themeFillTint="3F"/>
      </w:tcPr>
    </w:tblStylePr>
    <w:tblStylePr w:type="band1Horz">
      <w:tblPr/>
      <w:tcPr>
        <w:tcBorders>
          <w:left w:val="nil"/>
          <w:right w:val="nil"/>
          <w:insideH w:val="nil"/>
          <w:insideV w:val="nil"/>
        </w:tcBorders>
        <w:shd w:val="clear" w:color="auto" w:fill="A2F2FF" w:themeFill="accent2" w:themeFillTint="3F"/>
      </w:tcPr>
    </w:tblStylePr>
  </w:style>
  <w:style w:type="table" w:styleId="LightShading-Accent3">
    <w:name w:val="Light Shading Accent 3"/>
    <w:basedOn w:val="TableNormal"/>
    <w:uiPriority w:val="60"/>
    <w:semiHidden/>
    <w:rsid w:val="00086DB5"/>
    <w:pPr>
      <w:spacing w:before="0" w:after="0" w:line="240" w:lineRule="auto"/>
    </w:pPr>
    <w:rPr>
      <w:color w:val="1A97D9" w:themeColor="accent3" w:themeShade="BF"/>
    </w:rPr>
    <w:tblPr>
      <w:tblStyleRowBandSize w:val="1"/>
      <w:tblStyleColBandSize w:val="1"/>
      <w:tblBorders>
        <w:top w:val="single" w:sz="8" w:space="0" w:color="5AB9EB" w:themeColor="accent3"/>
        <w:bottom w:val="single" w:sz="8" w:space="0" w:color="5AB9EB" w:themeColor="accent3"/>
      </w:tblBorders>
    </w:tblPr>
    <w:tblStylePr w:type="firstRow">
      <w:pPr>
        <w:spacing w:before="0" w:after="0" w:line="240" w:lineRule="auto"/>
      </w:pPr>
      <w:rPr>
        <w:b/>
        <w:bCs/>
      </w:rPr>
      <w:tblPr/>
      <w:tcPr>
        <w:tcBorders>
          <w:top w:val="single" w:sz="8" w:space="0" w:color="5AB9EB" w:themeColor="accent3"/>
          <w:left w:val="nil"/>
          <w:bottom w:val="single" w:sz="8" w:space="0" w:color="5AB9EB" w:themeColor="accent3"/>
          <w:right w:val="nil"/>
          <w:insideH w:val="nil"/>
          <w:insideV w:val="nil"/>
        </w:tcBorders>
      </w:tcPr>
    </w:tblStylePr>
    <w:tblStylePr w:type="lastRow">
      <w:pPr>
        <w:spacing w:before="0" w:after="0" w:line="240" w:lineRule="auto"/>
      </w:pPr>
      <w:rPr>
        <w:b/>
        <w:bCs/>
      </w:rPr>
      <w:tblPr/>
      <w:tcPr>
        <w:tcBorders>
          <w:top w:val="single" w:sz="8" w:space="0" w:color="5AB9EB" w:themeColor="accent3"/>
          <w:left w:val="nil"/>
          <w:bottom w:val="single" w:sz="8" w:space="0" w:color="5AB9E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EDFA" w:themeFill="accent3" w:themeFillTint="3F"/>
      </w:tcPr>
    </w:tblStylePr>
    <w:tblStylePr w:type="band1Horz">
      <w:tblPr/>
      <w:tcPr>
        <w:tcBorders>
          <w:left w:val="nil"/>
          <w:right w:val="nil"/>
          <w:insideH w:val="nil"/>
          <w:insideV w:val="nil"/>
        </w:tcBorders>
        <w:shd w:val="clear" w:color="auto" w:fill="D5EDFA" w:themeFill="accent3" w:themeFillTint="3F"/>
      </w:tcPr>
    </w:tblStylePr>
  </w:style>
  <w:style w:type="table" w:styleId="LightShading-Accent4">
    <w:name w:val="Light Shading Accent 4"/>
    <w:basedOn w:val="TableNormal"/>
    <w:uiPriority w:val="60"/>
    <w:semiHidden/>
    <w:rsid w:val="00086DB5"/>
    <w:pPr>
      <w:spacing w:before="0" w:after="0" w:line="240" w:lineRule="auto"/>
    </w:pPr>
    <w:rPr>
      <w:color w:val="003871" w:themeColor="accent4" w:themeShade="BF"/>
    </w:rPr>
    <w:tblPr>
      <w:tblStyleRowBandSize w:val="1"/>
      <w:tblStyleColBandSize w:val="1"/>
      <w:tblBorders>
        <w:top w:val="single" w:sz="8" w:space="0" w:color="004C97" w:themeColor="accent4"/>
        <w:bottom w:val="single" w:sz="8" w:space="0" w:color="004C97" w:themeColor="accent4"/>
      </w:tblBorders>
    </w:tblPr>
    <w:tblStylePr w:type="firstRow">
      <w:pPr>
        <w:spacing w:before="0" w:after="0" w:line="240" w:lineRule="auto"/>
      </w:pPr>
      <w:rPr>
        <w:b/>
        <w:bCs/>
      </w:rPr>
      <w:tblPr/>
      <w:tcPr>
        <w:tcBorders>
          <w:top w:val="single" w:sz="8" w:space="0" w:color="004C97" w:themeColor="accent4"/>
          <w:left w:val="nil"/>
          <w:bottom w:val="single" w:sz="8" w:space="0" w:color="004C97" w:themeColor="accent4"/>
          <w:right w:val="nil"/>
          <w:insideH w:val="nil"/>
          <w:insideV w:val="nil"/>
        </w:tcBorders>
      </w:tcPr>
    </w:tblStylePr>
    <w:tblStylePr w:type="lastRow">
      <w:pPr>
        <w:spacing w:before="0" w:after="0" w:line="240" w:lineRule="auto"/>
      </w:pPr>
      <w:rPr>
        <w:b/>
        <w:bCs/>
      </w:rPr>
      <w:tblPr/>
      <w:tcPr>
        <w:tcBorders>
          <w:top w:val="single" w:sz="8" w:space="0" w:color="004C97" w:themeColor="accent4"/>
          <w:left w:val="nil"/>
          <w:bottom w:val="single" w:sz="8" w:space="0" w:color="004C9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4" w:themeFillTint="3F"/>
      </w:tcPr>
    </w:tblStylePr>
    <w:tblStylePr w:type="band1Horz">
      <w:tblPr/>
      <w:tcPr>
        <w:tcBorders>
          <w:left w:val="nil"/>
          <w:right w:val="nil"/>
          <w:insideH w:val="nil"/>
          <w:insideV w:val="nil"/>
        </w:tcBorders>
        <w:shd w:val="clear" w:color="auto" w:fill="A6D2FF" w:themeFill="accent4" w:themeFillTint="3F"/>
      </w:tcPr>
    </w:tblStylePr>
  </w:style>
  <w:style w:type="table" w:styleId="LightShading-Accent5">
    <w:name w:val="Light Shading Accent 5"/>
    <w:basedOn w:val="TableNormal"/>
    <w:uiPriority w:val="60"/>
    <w:semiHidden/>
    <w:rsid w:val="00086DB5"/>
    <w:pPr>
      <w:spacing w:before="0" w:after="0" w:line="240" w:lineRule="auto"/>
    </w:pPr>
    <w:rPr>
      <w:color w:val="428049" w:themeColor="accent5" w:themeShade="BF"/>
    </w:rPr>
    <w:tblPr>
      <w:tblStyleRowBandSize w:val="1"/>
      <w:tblStyleColBandSize w:val="1"/>
      <w:tblBorders>
        <w:top w:val="single" w:sz="8" w:space="0" w:color="5AAA64" w:themeColor="accent5"/>
        <w:bottom w:val="single" w:sz="8" w:space="0" w:color="5AAA64" w:themeColor="accent5"/>
      </w:tblBorders>
    </w:tblPr>
    <w:tblStylePr w:type="firstRow">
      <w:pPr>
        <w:spacing w:before="0" w:after="0" w:line="240" w:lineRule="auto"/>
      </w:pPr>
      <w:rPr>
        <w:b/>
        <w:bCs/>
      </w:rPr>
      <w:tblPr/>
      <w:tcPr>
        <w:tcBorders>
          <w:top w:val="single" w:sz="8" w:space="0" w:color="5AAA64" w:themeColor="accent5"/>
          <w:left w:val="nil"/>
          <w:bottom w:val="single" w:sz="8" w:space="0" w:color="5AAA64" w:themeColor="accent5"/>
          <w:right w:val="nil"/>
          <w:insideH w:val="nil"/>
          <w:insideV w:val="nil"/>
        </w:tcBorders>
      </w:tcPr>
    </w:tblStylePr>
    <w:tblStylePr w:type="lastRow">
      <w:pPr>
        <w:spacing w:before="0" w:after="0" w:line="240" w:lineRule="auto"/>
      </w:pPr>
      <w:rPr>
        <w:b/>
        <w:bCs/>
      </w:rPr>
      <w:tblPr/>
      <w:tcPr>
        <w:tcBorders>
          <w:top w:val="single" w:sz="8" w:space="0" w:color="5AAA64" w:themeColor="accent5"/>
          <w:left w:val="nil"/>
          <w:bottom w:val="single" w:sz="8" w:space="0" w:color="5AAA6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AD8" w:themeFill="accent5" w:themeFillTint="3F"/>
      </w:tcPr>
    </w:tblStylePr>
    <w:tblStylePr w:type="band1Horz">
      <w:tblPr/>
      <w:tcPr>
        <w:tcBorders>
          <w:left w:val="nil"/>
          <w:right w:val="nil"/>
          <w:insideH w:val="nil"/>
          <w:insideV w:val="nil"/>
        </w:tcBorders>
        <w:shd w:val="clear" w:color="auto" w:fill="D6EAD8" w:themeFill="accent5" w:themeFillTint="3F"/>
      </w:tcPr>
    </w:tblStylePr>
  </w:style>
  <w:style w:type="table" w:styleId="LightShading-Accent6">
    <w:name w:val="Light Shading Accent 6"/>
    <w:basedOn w:val="TableNormal"/>
    <w:uiPriority w:val="60"/>
    <w:semiHidden/>
    <w:rsid w:val="00086DB5"/>
    <w:pPr>
      <w:spacing w:before="0" w:after="0" w:line="240" w:lineRule="auto"/>
    </w:pPr>
    <w:rPr>
      <w:color w:val="C04018" w:themeColor="accent6" w:themeShade="BF"/>
    </w:rPr>
    <w:tblPr>
      <w:tblStyleRowBandSize w:val="1"/>
      <w:tblStyleColBandSize w:val="1"/>
      <w:tblBorders>
        <w:top w:val="single" w:sz="8" w:space="0" w:color="E6643C" w:themeColor="accent6"/>
        <w:bottom w:val="single" w:sz="8" w:space="0" w:color="E6643C" w:themeColor="accent6"/>
      </w:tblBorders>
    </w:tblPr>
    <w:tblStylePr w:type="firstRow">
      <w:pPr>
        <w:spacing w:before="0" w:after="0" w:line="240" w:lineRule="auto"/>
      </w:pPr>
      <w:rPr>
        <w:b/>
        <w:bCs/>
      </w:rPr>
      <w:tblPr/>
      <w:tcPr>
        <w:tcBorders>
          <w:top w:val="single" w:sz="8" w:space="0" w:color="E6643C" w:themeColor="accent6"/>
          <w:left w:val="nil"/>
          <w:bottom w:val="single" w:sz="8" w:space="0" w:color="E6643C" w:themeColor="accent6"/>
          <w:right w:val="nil"/>
          <w:insideH w:val="nil"/>
          <w:insideV w:val="nil"/>
        </w:tcBorders>
      </w:tcPr>
    </w:tblStylePr>
    <w:tblStylePr w:type="lastRow">
      <w:pPr>
        <w:spacing w:before="0" w:after="0" w:line="240" w:lineRule="auto"/>
      </w:pPr>
      <w:rPr>
        <w:b/>
        <w:bCs/>
      </w:rPr>
      <w:tblPr/>
      <w:tcPr>
        <w:tcBorders>
          <w:top w:val="single" w:sz="8" w:space="0" w:color="E6643C" w:themeColor="accent6"/>
          <w:left w:val="nil"/>
          <w:bottom w:val="single" w:sz="8" w:space="0" w:color="E6643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D8CE" w:themeFill="accent6" w:themeFillTint="3F"/>
      </w:tcPr>
    </w:tblStylePr>
    <w:tblStylePr w:type="band1Horz">
      <w:tblPr/>
      <w:tcPr>
        <w:tcBorders>
          <w:left w:val="nil"/>
          <w:right w:val="nil"/>
          <w:insideH w:val="nil"/>
          <w:insideV w:val="nil"/>
        </w:tcBorders>
        <w:shd w:val="clear" w:color="auto" w:fill="F8D8CE" w:themeFill="accent6" w:themeFillTint="3F"/>
      </w:tcPr>
    </w:tblStylePr>
  </w:style>
  <w:style w:type="table" w:styleId="ListTable1Light">
    <w:name w:val="List Table 1 Light"/>
    <w:basedOn w:val="TableNormal"/>
    <w:uiPriority w:val="46"/>
    <w:rsid w:val="00086DB5"/>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86DB5"/>
    <w:pPr>
      <w:spacing w:after="0" w:line="240" w:lineRule="auto"/>
    </w:pPr>
    <w:tblPr>
      <w:tblStyleRowBandSize w:val="1"/>
      <w:tblStyleColBandSize w:val="1"/>
    </w:tblPr>
    <w:tblStylePr w:type="firstRow">
      <w:rPr>
        <w:b/>
        <w:bCs/>
      </w:rPr>
      <w:tblPr/>
      <w:tcPr>
        <w:tcBorders>
          <w:bottom w:val="single" w:sz="4" w:space="0" w:color="607F95" w:themeColor="accent1" w:themeTint="99"/>
        </w:tcBorders>
      </w:tcPr>
    </w:tblStylePr>
    <w:tblStylePr w:type="lastRow">
      <w:rPr>
        <w:b/>
        <w:bCs/>
      </w:rPr>
      <w:tblPr/>
      <w:tcPr>
        <w:tcBorders>
          <w:top w:val="single" w:sz="4" w:space="0" w:color="607F95" w:themeColor="accent1" w:themeTint="99"/>
        </w:tcBorders>
      </w:tcPr>
    </w:tblStylePr>
    <w:tblStylePr w:type="firstCol">
      <w:rPr>
        <w:b/>
        <w:bCs/>
      </w:rPr>
    </w:tblStylePr>
    <w:tblStylePr w:type="lastCol">
      <w:rPr>
        <w:b/>
        <w:bCs/>
      </w:rPr>
    </w:tblStylePr>
    <w:tblStylePr w:type="band1Vert">
      <w:tblPr/>
      <w:tcPr>
        <w:shd w:val="clear" w:color="auto" w:fill="C9D4DC" w:themeFill="accent1" w:themeFillTint="33"/>
      </w:tcPr>
    </w:tblStylePr>
    <w:tblStylePr w:type="band1Horz">
      <w:tblPr/>
      <w:tcPr>
        <w:shd w:val="clear" w:color="auto" w:fill="C9D4DC" w:themeFill="accent1" w:themeFillTint="33"/>
      </w:tcPr>
    </w:tblStylePr>
  </w:style>
  <w:style w:type="table" w:styleId="ListTable1Light-Accent2">
    <w:name w:val="List Table 1 Light Accent 2"/>
    <w:basedOn w:val="TableNormal"/>
    <w:uiPriority w:val="46"/>
    <w:rsid w:val="00086DB5"/>
    <w:pPr>
      <w:spacing w:after="0" w:line="240" w:lineRule="auto"/>
    </w:pPr>
    <w:tblPr>
      <w:tblStyleRowBandSize w:val="1"/>
      <w:tblStyleColBandSize w:val="1"/>
    </w:tblPr>
    <w:tblStylePr w:type="firstRow">
      <w:rPr>
        <w:b/>
        <w:bCs/>
      </w:rPr>
      <w:tblPr/>
      <w:tcPr>
        <w:tcBorders>
          <w:bottom w:val="single" w:sz="4" w:space="0" w:color="1DE1FF" w:themeColor="accent2" w:themeTint="99"/>
        </w:tcBorders>
      </w:tcPr>
    </w:tblStylePr>
    <w:tblStylePr w:type="lastRow">
      <w:rPr>
        <w:b/>
        <w:bCs/>
      </w:rPr>
      <w:tblPr/>
      <w:tcPr>
        <w:tcBorders>
          <w:top w:val="single" w:sz="4" w:space="0" w:color="1DE1FF" w:themeColor="accent2" w:themeTint="99"/>
        </w:tcBorders>
      </w:tcPr>
    </w:tblStylePr>
    <w:tblStylePr w:type="firstCol">
      <w:rPr>
        <w:b/>
        <w:bCs/>
      </w:rPr>
    </w:tblStylePr>
    <w:tblStylePr w:type="lastCol">
      <w:rPr>
        <w:b/>
        <w:bCs/>
      </w:rPr>
    </w:tblStylePr>
    <w:tblStylePr w:type="band1Vert">
      <w:tblPr/>
      <w:tcPr>
        <w:shd w:val="clear" w:color="auto" w:fill="B3F5FF" w:themeFill="accent2" w:themeFillTint="33"/>
      </w:tcPr>
    </w:tblStylePr>
    <w:tblStylePr w:type="band1Horz">
      <w:tblPr/>
      <w:tcPr>
        <w:shd w:val="clear" w:color="auto" w:fill="B3F5FF" w:themeFill="accent2" w:themeFillTint="33"/>
      </w:tcPr>
    </w:tblStylePr>
  </w:style>
  <w:style w:type="table" w:styleId="ListTable1Light-Accent3">
    <w:name w:val="List Table 1 Light Accent 3"/>
    <w:basedOn w:val="TableNormal"/>
    <w:uiPriority w:val="46"/>
    <w:rsid w:val="00086DB5"/>
    <w:pPr>
      <w:spacing w:after="0" w:line="240" w:lineRule="auto"/>
    </w:pPr>
    <w:tblPr>
      <w:tblStyleRowBandSize w:val="1"/>
      <w:tblStyleColBandSize w:val="1"/>
    </w:tblPr>
    <w:tblStylePr w:type="firstRow">
      <w:rPr>
        <w:b/>
        <w:bCs/>
      </w:rPr>
      <w:tblPr/>
      <w:tcPr>
        <w:tcBorders>
          <w:bottom w:val="single" w:sz="4" w:space="0" w:color="9CD4F3" w:themeColor="accent3" w:themeTint="99"/>
        </w:tcBorders>
      </w:tcPr>
    </w:tblStylePr>
    <w:tblStylePr w:type="lastRow">
      <w:rPr>
        <w:b/>
        <w:bCs/>
      </w:rPr>
      <w:tblPr/>
      <w:tcPr>
        <w:tcBorders>
          <w:top w:val="single" w:sz="4" w:space="0" w:color="9CD4F3" w:themeColor="accent3" w:themeTint="99"/>
        </w:tcBorders>
      </w:tcPr>
    </w:tblStylePr>
    <w:tblStylePr w:type="firstCol">
      <w:rPr>
        <w:b/>
        <w:bCs/>
      </w:rPr>
    </w:tblStylePr>
    <w:tblStylePr w:type="lastCol">
      <w:rPr>
        <w:b/>
        <w:bCs/>
      </w:rPr>
    </w:tblStylePr>
    <w:tblStylePr w:type="band1Vert">
      <w:tblPr/>
      <w:tcPr>
        <w:shd w:val="clear" w:color="auto" w:fill="DEF0FB" w:themeFill="accent3" w:themeFillTint="33"/>
      </w:tcPr>
    </w:tblStylePr>
    <w:tblStylePr w:type="band1Horz">
      <w:tblPr/>
      <w:tcPr>
        <w:shd w:val="clear" w:color="auto" w:fill="DEF0FB" w:themeFill="accent3" w:themeFillTint="33"/>
      </w:tcPr>
    </w:tblStylePr>
  </w:style>
  <w:style w:type="table" w:styleId="ListTable1Light-Accent4">
    <w:name w:val="List Table 1 Light Accent 4"/>
    <w:basedOn w:val="TableNormal"/>
    <w:uiPriority w:val="46"/>
    <w:rsid w:val="00086DB5"/>
    <w:pPr>
      <w:spacing w:after="0" w:line="240" w:lineRule="auto"/>
    </w:pPr>
    <w:tblPr>
      <w:tblStyleRowBandSize w:val="1"/>
      <w:tblStyleColBandSize w:val="1"/>
    </w:tblPr>
    <w:tblStylePr w:type="firstRow">
      <w:rPr>
        <w:b/>
        <w:bCs/>
      </w:rPr>
      <w:tblPr/>
      <w:tcPr>
        <w:tcBorders>
          <w:bottom w:val="single" w:sz="4" w:space="0" w:color="2793FF" w:themeColor="accent4" w:themeTint="99"/>
        </w:tcBorders>
      </w:tcPr>
    </w:tblStylePr>
    <w:tblStylePr w:type="lastRow">
      <w:rPr>
        <w:b/>
        <w:bCs/>
      </w:rPr>
      <w:tblPr/>
      <w:tcPr>
        <w:tcBorders>
          <w:top w:val="single" w:sz="4" w:space="0" w:color="2793FF" w:themeColor="accent4" w:themeTint="99"/>
        </w:tcBorders>
      </w:tcPr>
    </w:tblStylePr>
    <w:tblStylePr w:type="firstCol">
      <w:rPr>
        <w:b/>
        <w:bCs/>
      </w:rPr>
    </w:tblStylePr>
    <w:tblStylePr w:type="lastCol">
      <w:rPr>
        <w:b/>
        <w:bCs/>
      </w:rPr>
    </w:tblStylePr>
    <w:tblStylePr w:type="band1Vert">
      <w:tblPr/>
      <w:tcPr>
        <w:shd w:val="clear" w:color="auto" w:fill="B7DBFF" w:themeFill="accent4" w:themeFillTint="33"/>
      </w:tcPr>
    </w:tblStylePr>
    <w:tblStylePr w:type="band1Horz">
      <w:tblPr/>
      <w:tcPr>
        <w:shd w:val="clear" w:color="auto" w:fill="B7DBFF" w:themeFill="accent4" w:themeFillTint="33"/>
      </w:tcPr>
    </w:tblStylePr>
  </w:style>
  <w:style w:type="table" w:styleId="ListTable1Light-Accent5">
    <w:name w:val="List Table 1 Light Accent 5"/>
    <w:basedOn w:val="TableNormal"/>
    <w:uiPriority w:val="46"/>
    <w:rsid w:val="00086DB5"/>
    <w:pPr>
      <w:spacing w:after="0" w:line="240" w:lineRule="auto"/>
    </w:pPr>
    <w:tblPr>
      <w:tblStyleRowBandSize w:val="1"/>
      <w:tblStyleColBandSize w:val="1"/>
    </w:tblPr>
    <w:tblStylePr w:type="firstRow">
      <w:rPr>
        <w:b/>
        <w:bCs/>
      </w:rPr>
      <w:tblPr/>
      <w:tcPr>
        <w:tcBorders>
          <w:bottom w:val="single" w:sz="4" w:space="0" w:color="9CCCA1" w:themeColor="accent5" w:themeTint="99"/>
        </w:tcBorders>
      </w:tcPr>
    </w:tblStylePr>
    <w:tblStylePr w:type="lastRow">
      <w:rPr>
        <w:b/>
        <w:bCs/>
      </w:rPr>
      <w:tblPr/>
      <w:tcPr>
        <w:tcBorders>
          <w:top w:val="single" w:sz="4" w:space="0" w:color="9CCCA1" w:themeColor="accent5" w:themeTint="99"/>
        </w:tcBorders>
      </w:tcPr>
    </w:tblStylePr>
    <w:tblStylePr w:type="firstCol">
      <w:rPr>
        <w:b/>
        <w:bCs/>
      </w:rPr>
    </w:tblStylePr>
    <w:tblStylePr w:type="lastCol">
      <w:rPr>
        <w:b/>
        <w:bCs/>
      </w:rPr>
    </w:tblStylePr>
    <w:tblStylePr w:type="band1Vert">
      <w:tblPr/>
      <w:tcPr>
        <w:shd w:val="clear" w:color="auto" w:fill="DEEEDF" w:themeFill="accent5" w:themeFillTint="33"/>
      </w:tcPr>
    </w:tblStylePr>
    <w:tblStylePr w:type="band1Horz">
      <w:tblPr/>
      <w:tcPr>
        <w:shd w:val="clear" w:color="auto" w:fill="DEEEDF" w:themeFill="accent5" w:themeFillTint="33"/>
      </w:tcPr>
    </w:tblStylePr>
  </w:style>
  <w:style w:type="table" w:styleId="ListTable1Light-Accent6">
    <w:name w:val="List Table 1 Light Accent 6"/>
    <w:basedOn w:val="TableNormal"/>
    <w:uiPriority w:val="46"/>
    <w:rsid w:val="00086DB5"/>
    <w:pPr>
      <w:spacing w:after="0" w:line="240" w:lineRule="auto"/>
    </w:pPr>
    <w:tblPr>
      <w:tblStyleRowBandSize w:val="1"/>
      <w:tblStyleColBandSize w:val="1"/>
    </w:tblPr>
    <w:tblStylePr w:type="firstRow">
      <w:rPr>
        <w:b/>
        <w:bCs/>
      </w:rPr>
      <w:tblPr/>
      <w:tcPr>
        <w:tcBorders>
          <w:bottom w:val="single" w:sz="4" w:space="0" w:color="F0A28A" w:themeColor="accent6" w:themeTint="99"/>
        </w:tcBorders>
      </w:tcPr>
    </w:tblStylePr>
    <w:tblStylePr w:type="lastRow">
      <w:rPr>
        <w:b/>
        <w:bCs/>
      </w:rPr>
      <w:tblPr/>
      <w:tcPr>
        <w:tcBorders>
          <w:top w:val="single" w:sz="4" w:space="0" w:color="F0A28A" w:themeColor="accent6" w:themeTint="99"/>
        </w:tcBorders>
      </w:tcPr>
    </w:tblStylePr>
    <w:tblStylePr w:type="firstCol">
      <w:rPr>
        <w:b/>
        <w:bCs/>
      </w:rPr>
    </w:tblStylePr>
    <w:tblStylePr w:type="lastCol">
      <w:rPr>
        <w:b/>
        <w:bCs/>
      </w:rPr>
    </w:tblStylePr>
    <w:tblStylePr w:type="band1Vert">
      <w:tblPr/>
      <w:tcPr>
        <w:shd w:val="clear" w:color="auto" w:fill="FAE0D8" w:themeFill="accent6" w:themeFillTint="33"/>
      </w:tcPr>
    </w:tblStylePr>
    <w:tblStylePr w:type="band1Horz">
      <w:tblPr/>
      <w:tcPr>
        <w:shd w:val="clear" w:color="auto" w:fill="FAE0D8" w:themeFill="accent6" w:themeFillTint="33"/>
      </w:tcPr>
    </w:tblStylePr>
  </w:style>
  <w:style w:type="table" w:styleId="ListTable2">
    <w:name w:val="List Table 2"/>
    <w:basedOn w:val="TableNormal"/>
    <w:uiPriority w:val="47"/>
    <w:rsid w:val="00086DB5"/>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86DB5"/>
    <w:pPr>
      <w:spacing w:after="0" w:line="240" w:lineRule="auto"/>
    </w:pPr>
    <w:tblPr>
      <w:tblStyleRowBandSize w:val="1"/>
      <w:tblStyleColBandSize w:val="1"/>
      <w:tblBorders>
        <w:top w:val="single" w:sz="4" w:space="0" w:color="607F95" w:themeColor="accent1" w:themeTint="99"/>
        <w:bottom w:val="single" w:sz="4" w:space="0" w:color="607F95" w:themeColor="accent1" w:themeTint="99"/>
        <w:insideH w:val="single" w:sz="4" w:space="0" w:color="607F9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9D4DC" w:themeFill="accent1" w:themeFillTint="33"/>
      </w:tcPr>
    </w:tblStylePr>
    <w:tblStylePr w:type="band1Horz">
      <w:tblPr/>
      <w:tcPr>
        <w:shd w:val="clear" w:color="auto" w:fill="C9D4DC" w:themeFill="accent1" w:themeFillTint="33"/>
      </w:tcPr>
    </w:tblStylePr>
  </w:style>
  <w:style w:type="table" w:styleId="ListTable2-Accent2">
    <w:name w:val="List Table 2 Accent 2"/>
    <w:basedOn w:val="TableNormal"/>
    <w:uiPriority w:val="47"/>
    <w:rsid w:val="00086DB5"/>
    <w:pPr>
      <w:spacing w:after="0" w:line="240" w:lineRule="auto"/>
    </w:pPr>
    <w:tblPr>
      <w:tblStyleRowBandSize w:val="1"/>
      <w:tblStyleColBandSize w:val="1"/>
      <w:tblBorders>
        <w:top w:val="single" w:sz="4" w:space="0" w:color="1DE1FF" w:themeColor="accent2" w:themeTint="99"/>
        <w:bottom w:val="single" w:sz="4" w:space="0" w:color="1DE1FF" w:themeColor="accent2" w:themeTint="99"/>
        <w:insideH w:val="single" w:sz="4" w:space="0" w:color="1DE1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3F5FF" w:themeFill="accent2" w:themeFillTint="33"/>
      </w:tcPr>
    </w:tblStylePr>
    <w:tblStylePr w:type="band1Horz">
      <w:tblPr/>
      <w:tcPr>
        <w:shd w:val="clear" w:color="auto" w:fill="B3F5FF" w:themeFill="accent2" w:themeFillTint="33"/>
      </w:tcPr>
    </w:tblStylePr>
  </w:style>
  <w:style w:type="table" w:styleId="ListTable2-Accent3">
    <w:name w:val="List Table 2 Accent 3"/>
    <w:basedOn w:val="TableNormal"/>
    <w:uiPriority w:val="47"/>
    <w:rsid w:val="00086DB5"/>
    <w:pPr>
      <w:spacing w:after="0" w:line="240" w:lineRule="auto"/>
    </w:pPr>
    <w:tblPr>
      <w:tblStyleRowBandSize w:val="1"/>
      <w:tblStyleColBandSize w:val="1"/>
      <w:tblBorders>
        <w:top w:val="single" w:sz="4" w:space="0" w:color="9CD4F3" w:themeColor="accent3" w:themeTint="99"/>
        <w:bottom w:val="single" w:sz="4" w:space="0" w:color="9CD4F3" w:themeColor="accent3" w:themeTint="99"/>
        <w:insideH w:val="single" w:sz="4" w:space="0" w:color="9CD4F3"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F0FB" w:themeFill="accent3" w:themeFillTint="33"/>
      </w:tcPr>
    </w:tblStylePr>
    <w:tblStylePr w:type="band1Horz">
      <w:tblPr/>
      <w:tcPr>
        <w:shd w:val="clear" w:color="auto" w:fill="DEF0FB" w:themeFill="accent3" w:themeFillTint="33"/>
      </w:tcPr>
    </w:tblStylePr>
  </w:style>
  <w:style w:type="table" w:styleId="ListTable2-Accent4">
    <w:name w:val="List Table 2 Accent 4"/>
    <w:basedOn w:val="TableNormal"/>
    <w:uiPriority w:val="47"/>
    <w:rsid w:val="00086DB5"/>
    <w:pPr>
      <w:spacing w:after="0" w:line="240" w:lineRule="auto"/>
    </w:pPr>
    <w:tblPr>
      <w:tblStyleRowBandSize w:val="1"/>
      <w:tblStyleColBandSize w:val="1"/>
      <w:tblBorders>
        <w:top w:val="single" w:sz="4" w:space="0" w:color="2793FF" w:themeColor="accent4" w:themeTint="99"/>
        <w:bottom w:val="single" w:sz="4" w:space="0" w:color="2793FF" w:themeColor="accent4" w:themeTint="99"/>
        <w:insideH w:val="single" w:sz="4" w:space="0" w:color="2793F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4" w:themeFillTint="33"/>
      </w:tcPr>
    </w:tblStylePr>
    <w:tblStylePr w:type="band1Horz">
      <w:tblPr/>
      <w:tcPr>
        <w:shd w:val="clear" w:color="auto" w:fill="B7DBFF" w:themeFill="accent4" w:themeFillTint="33"/>
      </w:tcPr>
    </w:tblStylePr>
  </w:style>
  <w:style w:type="table" w:styleId="ListTable2-Accent5">
    <w:name w:val="List Table 2 Accent 5"/>
    <w:basedOn w:val="TableNormal"/>
    <w:uiPriority w:val="47"/>
    <w:rsid w:val="00086DB5"/>
    <w:pPr>
      <w:spacing w:after="0" w:line="240" w:lineRule="auto"/>
    </w:pPr>
    <w:tblPr>
      <w:tblStyleRowBandSize w:val="1"/>
      <w:tblStyleColBandSize w:val="1"/>
      <w:tblBorders>
        <w:top w:val="single" w:sz="4" w:space="0" w:color="9CCCA1" w:themeColor="accent5" w:themeTint="99"/>
        <w:bottom w:val="single" w:sz="4" w:space="0" w:color="9CCCA1" w:themeColor="accent5" w:themeTint="99"/>
        <w:insideH w:val="single" w:sz="4" w:space="0" w:color="9CCCA1"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EDF" w:themeFill="accent5" w:themeFillTint="33"/>
      </w:tcPr>
    </w:tblStylePr>
    <w:tblStylePr w:type="band1Horz">
      <w:tblPr/>
      <w:tcPr>
        <w:shd w:val="clear" w:color="auto" w:fill="DEEEDF" w:themeFill="accent5" w:themeFillTint="33"/>
      </w:tcPr>
    </w:tblStylePr>
  </w:style>
  <w:style w:type="table" w:styleId="ListTable2-Accent6">
    <w:name w:val="List Table 2 Accent 6"/>
    <w:basedOn w:val="TableNormal"/>
    <w:uiPriority w:val="47"/>
    <w:rsid w:val="00086DB5"/>
    <w:pPr>
      <w:spacing w:after="0" w:line="240" w:lineRule="auto"/>
    </w:pPr>
    <w:tblPr>
      <w:tblStyleRowBandSize w:val="1"/>
      <w:tblStyleColBandSize w:val="1"/>
      <w:tblBorders>
        <w:top w:val="single" w:sz="4" w:space="0" w:color="F0A28A" w:themeColor="accent6" w:themeTint="99"/>
        <w:bottom w:val="single" w:sz="4" w:space="0" w:color="F0A28A" w:themeColor="accent6" w:themeTint="99"/>
        <w:insideH w:val="single" w:sz="4" w:space="0" w:color="F0A28A"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0D8" w:themeFill="accent6" w:themeFillTint="33"/>
      </w:tcPr>
    </w:tblStylePr>
    <w:tblStylePr w:type="band1Horz">
      <w:tblPr/>
      <w:tcPr>
        <w:shd w:val="clear" w:color="auto" w:fill="FAE0D8" w:themeFill="accent6" w:themeFillTint="33"/>
      </w:tcPr>
    </w:tblStylePr>
  </w:style>
  <w:style w:type="table" w:styleId="ListTable3">
    <w:name w:val="List Table 3"/>
    <w:basedOn w:val="TableNormal"/>
    <w:uiPriority w:val="48"/>
    <w:rsid w:val="00086DB5"/>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86DB5"/>
    <w:pPr>
      <w:spacing w:after="0" w:line="240" w:lineRule="auto"/>
    </w:pPr>
    <w:tblPr>
      <w:tblStyleRowBandSize w:val="1"/>
      <w:tblStyleColBandSize w:val="1"/>
      <w:tblBorders>
        <w:top w:val="single" w:sz="4" w:space="0" w:color="1B242A" w:themeColor="accent1"/>
        <w:left w:val="single" w:sz="4" w:space="0" w:color="1B242A" w:themeColor="accent1"/>
        <w:bottom w:val="single" w:sz="4" w:space="0" w:color="1B242A" w:themeColor="accent1"/>
        <w:right w:val="single" w:sz="4" w:space="0" w:color="1B242A" w:themeColor="accent1"/>
      </w:tblBorders>
    </w:tblPr>
    <w:tblStylePr w:type="firstRow">
      <w:rPr>
        <w:b/>
        <w:bCs/>
        <w:color w:val="FFFFFF" w:themeColor="background1"/>
      </w:rPr>
      <w:tblPr/>
      <w:tcPr>
        <w:shd w:val="clear" w:color="auto" w:fill="1B242A" w:themeFill="accent1"/>
      </w:tcPr>
    </w:tblStylePr>
    <w:tblStylePr w:type="lastRow">
      <w:rPr>
        <w:b/>
        <w:bCs/>
      </w:rPr>
      <w:tblPr/>
      <w:tcPr>
        <w:tcBorders>
          <w:top w:val="double" w:sz="4" w:space="0" w:color="1B242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B242A" w:themeColor="accent1"/>
          <w:right w:val="single" w:sz="4" w:space="0" w:color="1B242A" w:themeColor="accent1"/>
        </w:tcBorders>
      </w:tcPr>
    </w:tblStylePr>
    <w:tblStylePr w:type="band1Horz">
      <w:tblPr/>
      <w:tcPr>
        <w:tcBorders>
          <w:top w:val="single" w:sz="4" w:space="0" w:color="1B242A" w:themeColor="accent1"/>
          <w:bottom w:val="single" w:sz="4" w:space="0" w:color="1B242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B242A" w:themeColor="accent1"/>
          <w:left w:val="nil"/>
        </w:tcBorders>
      </w:tcPr>
    </w:tblStylePr>
    <w:tblStylePr w:type="swCell">
      <w:tblPr/>
      <w:tcPr>
        <w:tcBorders>
          <w:top w:val="double" w:sz="4" w:space="0" w:color="1B242A" w:themeColor="accent1"/>
          <w:right w:val="nil"/>
        </w:tcBorders>
      </w:tcPr>
    </w:tblStylePr>
  </w:style>
  <w:style w:type="table" w:styleId="ListTable3-Accent2">
    <w:name w:val="List Table 3 Accent 2"/>
    <w:basedOn w:val="TableNormal"/>
    <w:uiPriority w:val="48"/>
    <w:rsid w:val="00086DB5"/>
    <w:pPr>
      <w:spacing w:after="0" w:line="240" w:lineRule="auto"/>
    </w:pPr>
    <w:tblPr>
      <w:tblStyleRowBandSize w:val="1"/>
      <w:tblStyleColBandSize w:val="1"/>
      <w:tblBorders>
        <w:top w:val="single" w:sz="4" w:space="0" w:color="007586" w:themeColor="accent2"/>
        <w:left w:val="single" w:sz="4" w:space="0" w:color="007586" w:themeColor="accent2"/>
        <w:bottom w:val="single" w:sz="4" w:space="0" w:color="007586" w:themeColor="accent2"/>
        <w:right w:val="single" w:sz="4" w:space="0" w:color="007586" w:themeColor="accent2"/>
      </w:tblBorders>
    </w:tblPr>
    <w:tblStylePr w:type="firstRow">
      <w:rPr>
        <w:b/>
        <w:bCs/>
        <w:color w:val="FFFFFF" w:themeColor="background1"/>
      </w:rPr>
      <w:tblPr/>
      <w:tcPr>
        <w:shd w:val="clear" w:color="auto" w:fill="007586" w:themeFill="accent2"/>
      </w:tcPr>
    </w:tblStylePr>
    <w:tblStylePr w:type="lastRow">
      <w:rPr>
        <w:b/>
        <w:bCs/>
      </w:rPr>
      <w:tblPr/>
      <w:tcPr>
        <w:tcBorders>
          <w:top w:val="double" w:sz="4" w:space="0" w:color="007586"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586" w:themeColor="accent2"/>
          <w:right w:val="single" w:sz="4" w:space="0" w:color="007586" w:themeColor="accent2"/>
        </w:tcBorders>
      </w:tcPr>
    </w:tblStylePr>
    <w:tblStylePr w:type="band1Horz">
      <w:tblPr/>
      <w:tcPr>
        <w:tcBorders>
          <w:top w:val="single" w:sz="4" w:space="0" w:color="007586" w:themeColor="accent2"/>
          <w:bottom w:val="single" w:sz="4" w:space="0" w:color="007586"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586" w:themeColor="accent2"/>
          <w:left w:val="nil"/>
        </w:tcBorders>
      </w:tcPr>
    </w:tblStylePr>
    <w:tblStylePr w:type="swCell">
      <w:tblPr/>
      <w:tcPr>
        <w:tcBorders>
          <w:top w:val="double" w:sz="4" w:space="0" w:color="007586" w:themeColor="accent2"/>
          <w:right w:val="nil"/>
        </w:tcBorders>
      </w:tcPr>
    </w:tblStylePr>
  </w:style>
  <w:style w:type="table" w:styleId="ListTable3-Accent3">
    <w:name w:val="List Table 3 Accent 3"/>
    <w:basedOn w:val="TableNormal"/>
    <w:uiPriority w:val="48"/>
    <w:rsid w:val="00086DB5"/>
    <w:pPr>
      <w:spacing w:after="0" w:line="240" w:lineRule="auto"/>
    </w:pPr>
    <w:tblPr>
      <w:tblStyleRowBandSize w:val="1"/>
      <w:tblStyleColBandSize w:val="1"/>
      <w:tblBorders>
        <w:top w:val="single" w:sz="4" w:space="0" w:color="5AB9EB" w:themeColor="accent3"/>
        <w:left w:val="single" w:sz="4" w:space="0" w:color="5AB9EB" w:themeColor="accent3"/>
        <w:bottom w:val="single" w:sz="4" w:space="0" w:color="5AB9EB" w:themeColor="accent3"/>
        <w:right w:val="single" w:sz="4" w:space="0" w:color="5AB9EB" w:themeColor="accent3"/>
      </w:tblBorders>
    </w:tblPr>
    <w:tblStylePr w:type="firstRow">
      <w:rPr>
        <w:b/>
        <w:bCs/>
        <w:color w:val="FFFFFF" w:themeColor="background1"/>
      </w:rPr>
      <w:tblPr/>
      <w:tcPr>
        <w:shd w:val="clear" w:color="auto" w:fill="5AB9EB" w:themeFill="accent3"/>
      </w:tcPr>
    </w:tblStylePr>
    <w:tblStylePr w:type="lastRow">
      <w:rPr>
        <w:b/>
        <w:bCs/>
      </w:rPr>
      <w:tblPr/>
      <w:tcPr>
        <w:tcBorders>
          <w:top w:val="double" w:sz="4" w:space="0" w:color="5AB9EB"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AB9EB" w:themeColor="accent3"/>
          <w:right w:val="single" w:sz="4" w:space="0" w:color="5AB9EB" w:themeColor="accent3"/>
        </w:tcBorders>
      </w:tcPr>
    </w:tblStylePr>
    <w:tblStylePr w:type="band1Horz">
      <w:tblPr/>
      <w:tcPr>
        <w:tcBorders>
          <w:top w:val="single" w:sz="4" w:space="0" w:color="5AB9EB" w:themeColor="accent3"/>
          <w:bottom w:val="single" w:sz="4" w:space="0" w:color="5AB9EB"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AB9EB" w:themeColor="accent3"/>
          <w:left w:val="nil"/>
        </w:tcBorders>
      </w:tcPr>
    </w:tblStylePr>
    <w:tblStylePr w:type="swCell">
      <w:tblPr/>
      <w:tcPr>
        <w:tcBorders>
          <w:top w:val="double" w:sz="4" w:space="0" w:color="5AB9EB" w:themeColor="accent3"/>
          <w:right w:val="nil"/>
        </w:tcBorders>
      </w:tcPr>
    </w:tblStylePr>
  </w:style>
  <w:style w:type="table" w:styleId="ListTable3-Accent4">
    <w:name w:val="List Table 3 Accent 4"/>
    <w:basedOn w:val="TableNormal"/>
    <w:uiPriority w:val="48"/>
    <w:rsid w:val="00086DB5"/>
    <w:pPr>
      <w:spacing w:after="0" w:line="240" w:lineRule="auto"/>
    </w:pPr>
    <w:tblPr>
      <w:tblStyleRowBandSize w:val="1"/>
      <w:tblStyleColBandSize w:val="1"/>
      <w:tblBorders>
        <w:top w:val="single" w:sz="4" w:space="0" w:color="004C97" w:themeColor="accent4"/>
        <w:left w:val="single" w:sz="4" w:space="0" w:color="004C97" w:themeColor="accent4"/>
        <w:bottom w:val="single" w:sz="4" w:space="0" w:color="004C97" w:themeColor="accent4"/>
        <w:right w:val="single" w:sz="4" w:space="0" w:color="004C97" w:themeColor="accent4"/>
      </w:tblBorders>
    </w:tblPr>
    <w:tblStylePr w:type="firstRow">
      <w:rPr>
        <w:b/>
        <w:bCs/>
        <w:color w:val="FFFFFF" w:themeColor="background1"/>
      </w:rPr>
      <w:tblPr/>
      <w:tcPr>
        <w:shd w:val="clear" w:color="auto" w:fill="004C97" w:themeFill="accent4"/>
      </w:tcPr>
    </w:tblStylePr>
    <w:tblStylePr w:type="lastRow">
      <w:rPr>
        <w:b/>
        <w:bCs/>
      </w:rPr>
      <w:tblPr/>
      <w:tcPr>
        <w:tcBorders>
          <w:top w:val="double" w:sz="4" w:space="0" w:color="004C9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4"/>
          <w:right w:val="single" w:sz="4" w:space="0" w:color="004C97" w:themeColor="accent4"/>
        </w:tcBorders>
      </w:tcPr>
    </w:tblStylePr>
    <w:tblStylePr w:type="band1Horz">
      <w:tblPr/>
      <w:tcPr>
        <w:tcBorders>
          <w:top w:val="single" w:sz="4" w:space="0" w:color="004C97" w:themeColor="accent4"/>
          <w:bottom w:val="single" w:sz="4" w:space="0" w:color="004C9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4"/>
          <w:left w:val="nil"/>
        </w:tcBorders>
      </w:tcPr>
    </w:tblStylePr>
    <w:tblStylePr w:type="swCell">
      <w:tblPr/>
      <w:tcPr>
        <w:tcBorders>
          <w:top w:val="double" w:sz="4" w:space="0" w:color="004C97" w:themeColor="accent4"/>
          <w:right w:val="nil"/>
        </w:tcBorders>
      </w:tcPr>
    </w:tblStylePr>
  </w:style>
  <w:style w:type="table" w:styleId="ListTable3-Accent5">
    <w:name w:val="List Table 3 Accent 5"/>
    <w:basedOn w:val="TableNormal"/>
    <w:uiPriority w:val="48"/>
    <w:rsid w:val="00086DB5"/>
    <w:pPr>
      <w:spacing w:after="0" w:line="240" w:lineRule="auto"/>
    </w:pPr>
    <w:tblPr>
      <w:tblStyleRowBandSize w:val="1"/>
      <w:tblStyleColBandSize w:val="1"/>
      <w:tblBorders>
        <w:top w:val="single" w:sz="4" w:space="0" w:color="5AAA64" w:themeColor="accent5"/>
        <w:left w:val="single" w:sz="4" w:space="0" w:color="5AAA64" w:themeColor="accent5"/>
        <w:bottom w:val="single" w:sz="4" w:space="0" w:color="5AAA64" w:themeColor="accent5"/>
        <w:right w:val="single" w:sz="4" w:space="0" w:color="5AAA64" w:themeColor="accent5"/>
      </w:tblBorders>
    </w:tblPr>
    <w:tblStylePr w:type="firstRow">
      <w:rPr>
        <w:b/>
        <w:bCs/>
        <w:color w:val="FFFFFF" w:themeColor="background1"/>
      </w:rPr>
      <w:tblPr/>
      <w:tcPr>
        <w:shd w:val="clear" w:color="auto" w:fill="5AAA64" w:themeFill="accent5"/>
      </w:tcPr>
    </w:tblStylePr>
    <w:tblStylePr w:type="lastRow">
      <w:rPr>
        <w:b/>
        <w:bCs/>
      </w:rPr>
      <w:tblPr/>
      <w:tcPr>
        <w:tcBorders>
          <w:top w:val="double" w:sz="4" w:space="0" w:color="5AAA6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AAA64" w:themeColor="accent5"/>
          <w:right w:val="single" w:sz="4" w:space="0" w:color="5AAA64" w:themeColor="accent5"/>
        </w:tcBorders>
      </w:tcPr>
    </w:tblStylePr>
    <w:tblStylePr w:type="band1Horz">
      <w:tblPr/>
      <w:tcPr>
        <w:tcBorders>
          <w:top w:val="single" w:sz="4" w:space="0" w:color="5AAA64" w:themeColor="accent5"/>
          <w:bottom w:val="single" w:sz="4" w:space="0" w:color="5AAA6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AAA64" w:themeColor="accent5"/>
          <w:left w:val="nil"/>
        </w:tcBorders>
      </w:tcPr>
    </w:tblStylePr>
    <w:tblStylePr w:type="swCell">
      <w:tblPr/>
      <w:tcPr>
        <w:tcBorders>
          <w:top w:val="double" w:sz="4" w:space="0" w:color="5AAA64" w:themeColor="accent5"/>
          <w:right w:val="nil"/>
        </w:tcBorders>
      </w:tcPr>
    </w:tblStylePr>
  </w:style>
  <w:style w:type="table" w:styleId="ListTable3-Accent6">
    <w:name w:val="List Table 3 Accent 6"/>
    <w:basedOn w:val="TableNormal"/>
    <w:uiPriority w:val="48"/>
    <w:rsid w:val="00086DB5"/>
    <w:pPr>
      <w:spacing w:after="0" w:line="240" w:lineRule="auto"/>
    </w:pPr>
    <w:tblPr>
      <w:tblStyleRowBandSize w:val="1"/>
      <w:tblStyleColBandSize w:val="1"/>
      <w:tblBorders>
        <w:top w:val="single" w:sz="4" w:space="0" w:color="E6643C" w:themeColor="accent6"/>
        <w:left w:val="single" w:sz="4" w:space="0" w:color="E6643C" w:themeColor="accent6"/>
        <w:bottom w:val="single" w:sz="4" w:space="0" w:color="E6643C" w:themeColor="accent6"/>
        <w:right w:val="single" w:sz="4" w:space="0" w:color="E6643C" w:themeColor="accent6"/>
      </w:tblBorders>
    </w:tblPr>
    <w:tblStylePr w:type="firstRow">
      <w:rPr>
        <w:b/>
        <w:bCs/>
        <w:color w:val="FFFFFF" w:themeColor="background1"/>
      </w:rPr>
      <w:tblPr/>
      <w:tcPr>
        <w:shd w:val="clear" w:color="auto" w:fill="E6643C" w:themeFill="accent6"/>
      </w:tcPr>
    </w:tblStylePr>
    <w:tblStylePr w:type="lastRow">
      <w:rPr>
        <w:b/>
        <w:bCs/>
      </w:rPr>
      <w:tblPr/>
      <w:tcPr>
        <w:tcBorders>
          <w:top w:val="double" w:sz="4" w:space="0" w:color="E6643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6643C" w:themeColor="accent6"/>
          <w:right w:val="single" w:sz="4" w:space="0" w:color="E6643C" w:themeColor="accent6"/>
        </w:tcBorders>
      </w:tcPr>
    </w:tblStylePr>
    <w:tblStylePr w:type="band1Horz">
      <w:tblPr/>
      <w:tcPr>
        <w:tcBorders>
          <w:top w:val="single" w:sz="4" w:space="0" w:color="E6643C" w:themeColor="accent6"/>
          <w:bottom w:val="single" w:sz="4" w:space="0" w:color="E6643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6643C" w:themeColor="accent6"/>
          <w:left w:val="nil"/>
        </w:tcBorders>
      </w:tcPr>
    </w:tblStylePr>
    <w:tblStylePr w:type="swCell">
      <w:tblPr/>
      <w:tcPr>
        <w:tcBorders>
          <w:top w:val="double" w:sz="4" w:space="0" w:color="E6643C" w:themeColor="accent6"/>
          <w:right w:val="nil"/>
        </w:tcBorders>
      </w:tcPr>
    </w:tblStylePr>
  </w:style>
  <w:style w:type="table" w:styleId="ListTable4">
    <w:name w:val="List Table 4"/>
    <w:basedOn w:val="TableNormal"/>
    <w:uiPriority w:val="49"/>
    <w:rsid w:val="00086DB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86DB5"/>
    <w:pPr>
      <w:spacing w:after="0" w:line="240" w:lineRule="auto"/>
    </w:pPr>
    <w:tblPr>
      <w:tblStyleRowBandSize w:val="1"/>
      <w:tblStyleColBandSize w:val="1"/>
      <w:tblBorders>
        <w:top w:val="single" w:sz="4" w:space="0" w:color="607F95" w:themeColor="accent1" w:themeTint="99"/>
        <w:left w:val="single" w:sz="4" w:space="0" w:color="607F95" w:themeColor="accent1" w:themeTint="99"/>
        <w:bottom w:val="single" w:sz="4" w:space="0" w:color="607F95" w:themeColor="accent1" w:themeTint="99"/>
        <w:right w:val="single" w:sz="4" w:space="0" w:color="607F95" w:themeColor="accent1" w:themeTint="99"/>
        <w:insideH w:val="single" w:sz="4" w:space="0" w:color="607F95" w:themeColor="accent1" w:themeTint="99"/>
      </w:tblBorders>
    </w:tblPr>
    <w:tblStylePr w:type="firstRow">
      <w:rPr>
        <w:b/>
        <w:bCs/>
        <w:color w:val="FFFFFF" w:themeColor="background1"/>
      </w:rPr>
      <w:tblPr/>
      <w:tcPr>
        <w:tcBorders>
          <w:top w:val="single" w:sz="4" w:space="0" w:color="1B242A" w:themeColor="accent1"/>
          <w:left w:val="single" w:sz="4" w:space="0" w:color="1B242A" w:themeColor="accent1"/>
          <w:bottom w:val="single" w:sz="4" w:space="0" w:color="1B242A" w:themeColor="accent1"/>
          <w:right w:val="single" w:sz="4" w:space="0" w:color="1B242A" w:themeColor="accent1"/>
          <w:insideH w:val="nil"/>
        </w:tcBorders>
        <w:shd w:val="clear" w:color="auto" w:fill="1B242A" w:themeFill="accent1"/>
      </w:tcPr>
    </w:tblStylePr>
    <w:tblStylePr w:type="lastRow">
      <w:rPr>
        <w:b/>
        <w:bCs/>
      </w:rPr>
      <w:tblPr/>
      <w:tcPr>
        <w:tcBorders>
          <w:top w:val="double" w:sz="4" w:space="0" w:color="607F95" w:themeColor="accent1" w:themeTint="99"/>
        </w:tcBorders>
      </w:tcPr>
    </w:tblStylePr>
    <w:tblStylePr w:type="firstCol">
      <w:rPr>
        <w:b/>
        <w:bCs/>
      </w:rPr>
    </w:tblStylePr>
    <w:tblStylePr w:type="lastCol">
      <w:rPr>
        <w:b/>
        <w:bCs/>
      </w:rPr>
    </w:tblStylePr>
    <w:tblStylePr w:type="band1Vert">
      <w:tblPr/>
      <w:tcPr>
        <w:shd w:val="clear" w:color="auto" w:fill="C9D4DC" w:themeFill="accent1" w:themeFillTint="33"/>
      </w:tcPr>
    </w:tblStylePr>
    <w:tblStylePr w:type="band1Horz">
      <w:tblPr/>
      <w:tcPr>
        <w:shd w:val="clear" w:color="auto" w:fill="C9D4DC" w:themeFill="accent1" w:themeFillTint="33"/>
      </w:tcPr>
    </w:tblStylePr>
  </w:style>
  <w:style w:type="table" w:styleId="ListTable4-Accent2">
    <w:name w:val="List Table 4 Accent 2"/>
    <w:basedOn w:val="TableNormal"/>
    <w:uiPriority w:val="49"/>
    <w:rsid w:val="00086DB5"/>
    <w:pPr>
      <w:spacing w:after="0" w:line="240" w:lineRule="auto"/>
    </w:pPr>
    <w:tblPr>
      <w:tblStyleRowBandSize w:val="1"/>
      <w:tblStyleColBandSize w:val="1"/>
      <w:tblBorders>
        <w:top w:val="single" w:sz="4" w:space="0" w:color="1DE1FF" w:themeColor="accent2" w:themeTint="99"/>
        <w:left w:val="single" w:sz="4" w:space="0" w:color="1DE1FF" w:themeColor="accent2" w:themeTint="99"/>
        <w:bottom w:val="single" w:sz="4" w:space="0" w:color="1DE1FF" w:themeColor="accent2" w:themeTint="99"/>
        <w:right w:val="single" w:sz="4" w:space="0" w:color="1DE1FF" w:themeColor="accent2" w:themeTint="99"/>
        <w:insideH w:val="single" w:sz="4" w:space="0" w:color="1DE1FF" w:themeColor="accent2" w:themeTint="99"/>
      </w:tblBorders>
    </w:tblPr>
    <w:tblStylePr w:type="firstRow">
      <w:rPr>
        <w:b/>
        <w:bCs/>
        <w:color w:val="FFFFFF" w:themeColor="background1"/>
      </w:rPr>
      <w:tblPr/>
      <w:tcPr>
        <w:tcBorders>
          <w:top w:val="single" w:sz="4" w:space="0" w:color="007586" w:themeColor="accent2"/>
          <w:left w:val="single" w:sz="4" w:space="0" w:color="007586" w:themeColor="accent2"/>
          <w:bottom w:val="single" w:sz="4" w:space="0" w:color="007586" w:themeColor="accent2"/>
          <w:right w:val="single" w:sz="4" w:space="0" w:color="007586" w:themeColor="accent2"/>
          <w:insideH w:val="nil"/>
        </w:tcBorders>
        <w:shd w:val="clear" w:color="auto" w:fill="007586" w:themeFill="accent2"/>
      </w:tcPr>
    </w:tblStylePr>
    <w:tblStylePr w:type="lastRow">
      <w:rPr>
        <w:b/>
        <w:bCs/>
      </w:rPr>
      <w:tblPr/>
      <w:tcPr>
        <w:tcBorders>
          <w:top w:val="double" w:sz="4" w:space="0" w:color="1DE1FF" w:themeColor="accent2" w:themeTint="99"/>
        </w:tcBorders>
      </w:tcPr>
    </w:tblStylePr>
    <w:tblStylePr w:type="firstCol">
      <w:rPr>
        <w:b/>
        <w:bCs/>
      </w:rPr>
    </w:tblStylePr>
    <w:tblStylePr w:type="lastCol">
      <w:rPr>
        <w:b/>
        <w:bCs/>
      </w:rPr>
    </w:tblStylePr>
    <w:tblStylePr w:type="band1Vert">
      <w:tblPr/>
      <w:tcPr>
        <w:shd w:val="clear" w:color="auto" w:fill="B3F5FF" w:themeFill="accent2" w:themeFillTint="33"/>
      </w:tcPr>
    </w:tblStylePr>
    <w:tblStylePr w:type="band1Horz">
      <w:tblPr/>
      <w:tcPr>
        <w:shd w:val="clear" w:color="auto" w:fill="B3F5FF" w:themeFill="accent2" w:themeFillTint="33"/>
      </w:tcPr>
    </w:tblStylePr>
  </w:style>
  <w:style w:type="table" w:styleId="ListTable4-Accent3">
    <w:name w:val="List Table 4 Accent 3"/>
    <w:basedOn w:val="TableNormal"/>
    <w:uiPriority w:val="49"/>
    <w:rsid w:val="00086DB5"/>
    <w:pPr>
      <w:spacing w:after="0" w:line="240" w:lineRule="auto"/>
    </w:pPr>
    <w:tblPr>
      <w:tblStyleRowBandSize w:val="1"/>
      <w:tblStyleColBandSize w:val="1"/>
      <w:tblBorders>
        <w:top w:val="single" w:sz="4" w:space="0" w:color="9CD4F3" w:themeColor="accent3" w:themeTint="99"/>
        <w:left w:val="single" w:sz="4" w:space="0" w:color="9CD4F3" w:themeColor="accent3" w:themeTint="99"/>
        <w:bottom w:val="single" w:sz="4" w:space="0" w:color="9CD4F3" w:themeColor="accent3" w:themeTint="99"/>
        <w:right w:val="single" w:sz="4" w:space="0" w:color="9CD4F3" w:themeColor="accent3" w:themeTint="99"/>
        <w:insideH w:val="single" w:sz="4" w:space="0" w:color="9CD4F3" w:themeColor="accent3" w:themeTint="99"/>
      </w:tblBorders>
    </w:tblPr>
    <w:tblStylePr w:type="firstRow">
      <w:rPr>
        <w:b/>
        <w:bCs/>
        <w:color w:val="FFFFFF" w:themeColor="background1"/>
      </w:rPr>
      <w:tblPr/>
      <w:tcPr>
        <w:tcBorders>
          <w:top w:val="single" w:sz="4" w:space="0" w:color="5AB9EB" w:themeColor="accent3"/>
          <w:left w:val="single" w:sz="4" w:space="0" w:color="5AB9EB" w:themeColor="accent3"/>
          <w:bottom w:val="single" w:sz="4" w:space="0" w:color="5AB9EB" w:themeColor="accent3"/>
          <w:right w:val="single" w:sz="4" w:space="0" w:color="5AB9EB" w:themeColor="accent3"/>
          <w:insideH w:val="nil"/>
        </w:tcBorders>
        <w:shd w:val="clear" w:color="auto" w:fill="5AB9EB" w:themeFill="accent3"/>
      </w:tcPr>
    </w:tblStylePr>
    <w:tblStylePr w:type="lastRow">
      <w:rPr>
        <w:b/>
        <w:bCs/>
      </w:rPr>
      <w:tblPr/>
      <w:tcPr>
        <w:tcBorders>
          <w:top w:val="double" w:sz="4" w:space="0" w:color="9CD4F3" w:themeColor="accent3" w:themeTint="99"/>
        </w:tcBorders>
      </w:tcPr>
    </w:tblStylePr>
    <w:tblStylePr w:type="firstCol">
      <w:rPr>
        <w:b/>
        <w:bCs/>
      </w:rPr>
    </w:tblStylePr>
    <w:tblStylePr w:type="lastCol">
      <w:rPr>
        <w:b/>
        <w:bCs/>
      </w:rPr>
    </w:tblStylePr>
    <w:tblStylePr w:type="band1Vert">
      <w:tblPr/>
      <w:tcPr>
        <w:shd w:val="clear" w:color="auto" w:fill="DEF0FB" w:themeFill="accent3" w:themeFillTint="33"/>
      </w:tcPr>
    </w:tblStylePr>
    <w:tblStylePr w:type="band1Horz">
      <w:tblPr/>
      <w:tcPr>
        <w:shd w:val="clear" w:color="auto" w:fill="DEF0FB" w:themeFill="accent3" w:themeFillTint="33"/>
      </w:tcPr>
    </w:tblStylePr>
  </w:style>
  <w:style w:type="table" w:styleId="ListTable4-Accent4">
    <w:name w:val="List Table 4 Accent 4"/>
    <w:basedOn w:val="TableNormal"/>
    <w:uiPriority w:val="49"/>
    <w:rsid w:val="00086DB5"/>
    <w:pPr>
      <w:spacing w:after="0" w:line="240" w:lineRule="auto"/>
    </w:pPr>
    <w:tblPr>
      <w:tblStyleRowBandSize w:val="1"/>
      <w:tblStyleColBandSize w:val="1"/>
      <w:tblBorders>
        <w:top w:val="single" w:sz="4" w:space="0" w:color="2793FF" w:themeColor="accent4" w:themeTint="99"/>
        <w:left w:val="single" w:sz="4" w:space="0" w:color="2793FF" w:themeColor="accent4" w:themeTint="99"/>
        <w:bottom w:val="single" w:sz="4" w:space="0" w:color="2793FF" w:themeColor="accent4" w:themeTint="99"/>
        <w:right w:val="single" w:sz="4" w:space="0" w:color="2793FF" w:themeColor="accent4" w:themeTint="99"/>
        <w:insideH w:val="single" w:sz="4" w:space="0" w:color="2793FF" w:themeColor="accent4" w:themeTint="99"/>
      </w:tblBorders>
    </w:tblPr>
    <w:tblStylePr w:type="firstRow">
      <w:rPr>
        <w:b/>
        <w:bCs/>
        <w:color w:val="FFFFFF" w:themeColor="background1"/>
      </w:rPr>
      <w:tblPr/>
      <w:tcPr>
        <w:tcBorders>
          <w:top w:val="single" w:sz="4" w:space="0" w:color="004C97" w:themeColor="accent4"/>
          <w:left w:val="single" w:sz="4" w:space="0" w:color="004C97" w:themeColor="accent4"/>
          <w:bottom w:val="single" w:sz="4" w:space="0" w:color="004C97" w:themeColor="accent4"/>
          <w:right w:val="single" w:sz="4" w:space="0" w:color="004C97" w:themeColor="accent4"/>
          <w:insideH w:val="nil"/>
        </w:tcBorders>
        <w:shd w:val="clear" w:color="auto" w:fill="004C97" w:themeFill="accent4"/>
      </w:tcPr>
    </w:tblStylePr>
    <w:tblStylePr w:type="lastRow">
      <w:rPr>
        <w:b/>
        <w:bCs/>
      </w:rPr>
      <w:tblPr/>
      <w:tcPr>
        <w:tcBorders>
          <w:top w:val="double" w:sz="4" w:space="0" w:color="2793FF" w:themeColor="accent4" w:themeTint="99"/>
        </w:tcBorders>
      </w:tcPr>
    </w:tblStylePr>
    <w:tblStylePr w:type="firstCol">
      <w:rPr>
        <w:b/>
        <w:bCs/>
      </w:rPr>
    </w:tblStylePr>
    <w:tblStylePr w:type="lastCol">
      <w:rPr>
        <w:b/>
        <w:bCs/>
      </w:rPr>
    </w:tblStylePr>
    <w:tblStylePr w:type="band1Vert">
      <w:tblPr/>
      <w:tcPr>
        <w:shd w:val="clear" w:color="auto" w:fill="B7DBFF" w:themeFill="accent4" w:themeFillTint="33"/>
      </w:tcPr>
    </w:tblStylePr>
    <w:tblStylePr w:type="band1Horz">
      <w:tblPr/>
      <w:tcPr>
        <w:shd w:val="clear" w:color="auto" w:fill="B7DBFF" w:themeFill="accent4" w:themeFillTint="33"/>
      </w:tcPr>
    </w:tblStylePr>
  </w:style>
  <w:style w:type="table" w:styleId="ListTable4-Accent5">
    <w:name w:val="List Table 4 Accent 5"/>
    <w:basedOn w:val="TableNormal"/>
    <w:uiPriority w:val="49"/>
    <w:rsid w:val="00086DB5"/>
    <w:pPr>
      <w:spacing w:after="0" w:line="240" w:lineRule="auto"/>
    </w:pPr>
    <w:tblPr>
      <w:tblStyleRowBandSize w:val="1"/>
      <w:tblStyleColBandSize w:val="1"/>
      <w:tblBorders>
        <w:top w:val="single" w:sz="4" w:space="0" w:color="9CCCA1" w:themeColor="accent5" w:themeTint="99"/>
        <w:left w:val="single" w:sz="4" w:space="0" w:color="9CCCA1" w:themeColor="accent5" w:themeTint="99"/>
        <w:bottom w:val="single" w:sz="4" w:space="0" w:color="9CCCA1" w:themeColor="accent5" w:themeTint="99"/>
        <w:right w:val="single" w:sz="4" w:space="0" w:color="9CCCA1" w:themeColor="accent5" w:themeTint="99"/>
        <w:insideH w:val="single" w:sz="4" w:space="0" w:color="9CCCA1" w:themeColor="accent5" w:themeTint="99"/>
      </w:tblBorders>
    </w:tblPr>
    <w:tblStylePr w:type="firstRow">
      <w:rPr>
        <w:b/>
        <w:bCs/>
        <w:color w:val="FFFFFF" w:themeColor="background1"/>
      </w:rPr>
      <w:tblPr/>
      <w:tcPr>
        <w:tcBorders>
          <w:top w:val="single" w:sz="4" w:space="0" w:color="5AAA64" w:themeColor="accent5"/>
          <w:left w:val="single" w:sz="4" w:space="0" w:color="5AAA64" w:themeColor="accent5"/>
          <w:bottom w:val="single" w:sz="4" w:space="0" w:color="5AAA64" w:themeColor="accent5"/>
          <w:right w:val="single" w:sz="4" w:space="0" w:color="5AAA64" w:themeColor="accent5"/>
          <w:insideH w:val="nil"/>
        </w:tcBorders>
        <w:shd w:val="clear" w:color="auto" w:fill="5AAA64" w:themeFill="accent5"/>
      </w:tcPr>
    </w:tblStylePr>
    <w:tblStylePr w:type="lastRow">
      <w:rPr>
        <w:b/>
        <w:bCs/>
      </w:rPr>
      <w:tblPr/>
      <w:tcPr>
        <w:tcBorders>
          <w:top w:val="double" w:sz="4" w:space="0" w:color="9CCCA1" w:themeColor="accent5" w:themeTint="99"/>
        </w:tcBorders>
      </w:tcPr>
    </w:tblStylePr>
    <w:tblStylePr w:type="firstCol">
      <w:rPr>
        <w:b/>
        <w:bCs/>
      </w:rPr>
    </w:tblStylePr>
    <w:tblStylePr w:type="lastCol">
      <w:rPr>
        <w:b/>
        <w:bCs/>
      </w:rPr>
    </w:tblStylePr>
    <w:tblStylePr w:type="band1Vert">
      <w:tblPr/>
      <w:tcPr>
        <w:shd w:val="clear" w:color="auto" w:fill="DEEEDF" w:themeFill="accent5" w:themeFillTint="33"/>
      </w:tcPr>
    </w:tblStylePr>
    <w:tblStylePr w:type="band1Horz">
      <w:tblPr/>
      <w:tcPr>
        <w:shd w:val="clear" w:color="auto" w:fill="DEEEDF" w:themeFill="accent5" w:themeFillTint="33"/>
      </w:tcPr>
    </w:tblStylePr>
  </w:style>
  <w:style w:type="table" w:styleId="ListTable4-Accent6">
    <w:name w:val="List Table 4 Accent 6"/>
    <w:basedOn w:val="TableNormal"/>
    <w:uiPriority w:val="49"/>
    <w:rsid w:val="00086DB5"/>
    <w:pPr>
      <w:spacing w:after="0" w:line="240" w:lineRule="auto"/>
    </w:pPr>
    <w:tblPr>
      <w:tblStyleRowBandSize w:val="1"/>
      <w:tblStyleColBandSize w:val="1"/>
      <w:tblBorders>
        <w:top w:val="single" w:sz="4" w:space="0" w:color="F0A28A" w:themeColor="accent6" w:themeTint="99"/>
        <w:left w:val="single" w:sz="4" w:space="0" w:color="F0A28A" w:themeColor="accent6" w:themeTint="99"/>
        <w:bottom w:val="single" w:sz="4" w:space="0" w:color="F0A28A" w:themeColor="accent6" w:themeTint="99"/>
        <w:right w:val="single" w:sz="4" w:space="0" w:color="F0A28A" w:themeColor="accent6" w:themeTint="99"/>
        <w:insideH w:val="single" w:sz="4" w:space="0" w:color="F0A28A" w:themeColor="accent6" w:themeTint="99"/>
      </w:tblBorders>
    </w:tblPr>
    <w:tblStylePr w:type="firstRow">
      <w:rPr>
        <w:b/>
        <w:bCs/>
        <w:color w:val="FFFFFF" w:themeColor="background1"/>
      </w:rPr>
      <w:tblPr/>
      <w:tcPr>
        <w:tcBorders>
          <w:top w:val="single" w:sz="4" w:space="0" w:color="E6643C" w:themeColor="accent6"/>
          <w:left w:val="single" w:sz="4" w:space="0" w:color="E6643C" w:themeColor="accent6"/>
          <w:bottom w:val="single" w:sz="4" w:space="0" w:color="E6643C" w:themeColor="accent6"/>
          <w:right w:val="single" w:sz="4" w:space="0" w:color="E6643C" w:themeColor="accent6"/>
          <w:insideH w:val="nil"/>
        </w:tcBorders>
        <w:shd w:val="clear" w:color="auto" w:fill="E6643C" w:themeFill="accent6"/>
      </w:tcPr>
    </w:tblStylePr>
    <w:tblStylePr w:type="lastRow">
      <w:rPr>
        <w:b/>
        <w:bCs/>
      </w:rPr>
      <w:tblPr/>
      <w:tcPr>
        <w:tcBorders>
          <w:top w:val="double" w:sz="4" w:space="0" w:color="F0A28A" w:themeColor="accent6" w:themeTint="99"/>
        </w:tcBorders>
      </w:tcPr>
    </w:tblStylePr>
    <w:tblStylePr w:type="firstCol">
      <w:rPr>
        <w:b/>
        <w:bCs/>
      </w:rPr>
    </w:tblStylePr>
    <w:tblStylePr w:type="lastCol">
      <w:rPr>
        <w:b/>
        <w:bCs/>
      </w:rPr>
    </w:tblStylePr>
    <w:tblStylePr w:type="band1Vert">
      <w:tblPr/>
      <w:tcPr>
        <w:shd w:val="clear" w:color="auto" w:fill="FAE0D8" w:themeFill="accent6" w:themeFillTint="33"/>
      </w:tcPr>
    </w:tblStylePr>
    <w:tblStylePr w:type="band1Horz">
      <w:tblPr/>
      <w:tcPr>
        <w:shd w:val="clear" w:color="auto" w:fill="FAE0D8" w:themeFill="accent6" w:themeFillTint="33"/>
      </w:tcPr>
    </w:tblStylePr>
  </w:style>
  <w:style w:type="table" w:styleId="ListTable5Dark">
    <w:name w:val="List Table 5 Dark"/>
    <w:basedOn w:val="TableNormal"/>
    <w:uiPriority w:val="50"/>
    <w:rsid w:val="00086DB5"/>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86DB5"/>
    <w:pPr>
      <w:spacing w:after="0" w:line="240" w:lineRule="auto"/>
    </w:pPr>
    <w:rPr>
      <w:color w:val="FFFFFF" w:themeColor="background1"/>
    </w:rPr>
    <w:tblPr>
      <w:tblStyleRowBandSize w:val="1"/>
      <w:tblStyleColBandSize w:val="1"/>
      <w:tblBorders>
        <w:top w:val="single" w:sz="24" w:space="0" w:color="1B242A" w:themeColor="accent1"/>
        <w:left w:val="single" w:sz="24" w:space="0" w:color="1B242A" w:themeColor="accent1"/>
        <w:bottom w:val="single" w:sz="24" w:space="0" w:color="1B242A" w:themeColor="accent1"/>
        <w:right w:val="single" w:sz="24" w:space="0" w:color="1B242A" w:themeColor="accent1"/>
      </w:tblBorders>
    </w:tblPr>
    <w:tcPr>
      <w:shd w:val="clear" w:color="auto" w:fill="1B242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86DB5"/>
    <w:pPr>
      <w:spacing w:after="0" w:line="240" w:lineRule="auto"/>
    </w:pPr>
    <w:rPr>
      <w:color w:val="FFFFFF" w:themeColor="background1"/>
    </w:rPr>
    <w:tblPr>
      <w:tblStyleRowBandSize w:val="1"/>
      <w:tblStyleColBandSize w:val="1"/>
      <w:tblBorders>
        <w:top w:val="single" w:sz="24" w:space="0" w:color="007586" w:themeColor="accent2"/>
        <w:left w:val="single" w:sz="24" w:space="0" w:color="007586" w:themeColor="accent2"/>
        <w:bottom w:val="single" w:sz="24" w:space="0" w:color="007586" w:themeColor="accent2"/>
        <w:right w:val="single" w:sz="24" w:space="0" w:color="007586" w:themeColor="accent2"/>
      </w:tblBorders>
    </w:tblPr>
    <w:tcPr>
      <w:shd w:val="clear" w:color="auto" w:fill="007586"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86DB5"/>
    <w:pPr>
      <w:spacing w:after="0" w:line="240" w:lineRule="auto"/>
    </w:pPr>
    <w:rPr>
      <w:color w:val="FFFFFF" w:themeColor="background1"/>
    </w:rPr>
    <w:tblPr>
      <w:tblStyleRowBandSize w:val="1"/>
      <w:tblStyleColBandSize w:val="1"/>
      <w:tblBorders>
        <w:top w:val="single" w:sz="24" w:space="0" w:color="5AB9EB" w:themeColor="accent3"/>
        <w:left w:val="single" w:sz="24" w:space="0" w:color="5AB9EB" w:themeColor="accent3"/>
        <w:bottom w:val="single" w:sz="24" w:space="0" w:color="5AB9EB" w:themeColor="accent3"/>
        <w:right w:val="single" w:sz="24" w:space="0" w:color="5AB9EB" w:themeColor="accent3"/>
      </w:tblBorders>
    </w:tblPr>
    <w:tcPr>
      <w:shd w:val="clear" w:color="auto" w:fill="5AB9EB"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86DB5"/>
    <w:pPr>
      <w:spacing w:after="0" w:line="240" w:lineRule="auto"/>
    </w:pPr>
    <w:rPr>
      <w:color w:val="FFFFFF" w:themeColor="background1"/>
    </w:rPr>
    <w:tblPr>
      <w:tblStyleRowBandSize w:val="1"/>
      <w:tblStyleColBandSize w:val="1"/>
      <w:tblBorders>
        <w:top w:val="single" w:sz="24" w:space="0" w:color="004C97" w:themeColor="accent4"/>
        <w:left w:val="single" w:sz="24" w:space="0" w:color="004C97" w:themeColor="accent4"/>
        <w:bottom w:val="single" w:sz="24" w:space="0" w:color="004C97" w:themeColor="accent4"/>
        <w:right w:val="single" w:sz="24" w:space="0" w:color="004C97" w:themeColor="accent4"/>
      </w:tblBorders>
    </w:tblPr>
    <w:tcPr>
      <w:shd w:val="clear" w:color="auto" w:fill="004C9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86DB5"/>
    <w:pPr>
      <w:spacing w:after="0" w:line="240" w:lineRule="auto"/>
    </w:pPr>
    <w:rPr>
      <w:color w:val="FFFFFF" w:themeColor="background1"/>
    </w:rPr>
    <w:tblPr>
      <w:tblStyleRowBandSize w:val="1"/>
      <w:tblStyleColBandSize w:val="1"/>
      <w:tblBorders>
        <w:top w:val="single" w:sz="24" w:space="0" w:color="5AAA64" w:themeColor="accent5"/>
        <w:left w:val="single" w:sz="24" w:space="0" w:color="5AAA64" w:themeColor="accent5"/>
        <w:bottom w:val="single" w:sz="24" w:space="0" w:color="5AAA64" w:themeColor="accent5"/>
        <w:right w:val="single" w:sz="24" w:space="0" w:color="5AAA64" w:themeColor="accent5"/>
      </w:tblBorders>
    </w:tblPr>
    <w:tcPr>
      <w:shd w:val="clear" w:color="auto" w:fill="5AAA6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86DB5"/>
    <w:pPr>
      <w:spacing w:after="0" w:line="240" w:lineRule="auto"/>
    </w:pPr>
    <w:rPr>
      <w:color w:val="FFFFFF" w:themeColor="background1"/>
    </w:rPr>
    <w:tblPr>
      <w:tblStyleRowBandSize w:val="1"/>
      <w:tblStyleColBandSize w:val="1"/>
      <w:tblBorders>
        <w:top w:val="single" w:sz="24" w:space="0" w:color="E6643C" w:themeColor="accent6"/>
        <w:left w:val="single" w:sz="24" w:space="0" w:color="E6643C" w:themeColor="accent6"/>
        <w:bottom w:val="single" w:sz="24" w:space="0" w:color="E6643C" w:themeColor="accent6"/>
        <w:right w:val="single" w:sz="24" w:space="0" w:color="E6643C" w:themeColor="accent6"/>
      </w:tblBorders>
    </w:tblPr>
    <w:tcPr>
      <w:shd w:val="clear" w:color="auto" w:fill="E6643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rsid w:val="00086DB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rsid w:val="00086DB5"/>
    <w:pPr>
      <w:spacing w:after="0" w:line="240" w:lineRule="auto"/>
    </w:pPr>
    <w:rPr>
      <w:color w:val="141A1F" w:themeColor="accent1" w:themeShade="BF"/>
    </w:rPr>
    <w:tblPr>
      <w:tblStyleRowBandSize w:val="1"/>
      <w:tblStyleColBandSize w:val="1"/>
      <w:tblBorders>
        <w:top w:val="single" w:sz="4" w:space="0" w:color="1B242A" w:themeColor="accent1"/>
        <w:bottom w:val="single" w:sz="4" w:space="0" w:color="1B242A" w:themeColor="accent1"/>
      </w:tblBorders>
    </w:tblPr>
    <w:tblStylePr w:type="firstRow">
      <w:rPr>
        <w:b/>
        <w:bCs/>
      </w:rPr>
      <w:tblPr/>
      <w:tcPr>
        <w:tcBorders>
          <w:bottom w:val="single" w:sz="4" w:space="0" w:color="1B242A" w:themeColor="accent1"/>
        </w:tcBorders>
      </w:tcPr>
    </w:tblStylePr>
    <w:tblStylePr w:type="lastRow">
      <w:rPr>
        <w:b/>
        <w:bCs/>
      </w:rPr>
      <w:tblPr/>
      <w:tcPr>
        <w:tcBorders>
          <w:top w:val="double" w:sz="4" w:space="0" w:color="1B242A" w:themeColor="accent1"/>
        </w:tcBorders>
      </w:tcPr>
    </w:tblStylePr>
    <w:tblStylePr w:type="firstCol">
      <w:rPr>
        <w:b/>
        <w:bCs/>
      </w:rPr>
    </w:tblStylePr>
    <w:tblStylePr w:type="lastCol">
      <w:rPr>
        <w:b/>
        <w:bCs/>
      </w:rPr>
    </w:tblStylePr>
    <w:tblStylePr w:type="band1Vert">
      <w:tblPr/>
      <w:tcPr>
        <w:shd w:val="clear" w:color="auto" w:fill="C9D4DC" w:themeFill="accent1" w:themeFillTint="33"/>
      </w:tcPr>
    </w:tblStylePr>
    <w:tblStylePr w:type="band1Horz">
      <w:tblPr/>
      <w:tcPr>
        <w:shd w:val="clear" w:color="auto" w:fill="C9D4DC" w:themeFill="accent1" w:themeFillTint="33"/>
      </w:tcPr>
    </w:tblStylePr>
  </w:style>
  <w:style w:type="table" w:styleId="ListTable6ColourfulAccent2">
    <w:name w:val="List Table 6 Colorful Accent 2"/>
    <w:basedOn w:val="TableNormal"/>
    <w:uiPriority w:val="51"/>
    <w:rsid w:val="00086DB5"/>
    <w:pPr>
      <w:spacing w:after="0" w:line="240" w:lineRule="auto"/>
    </w:pPr>
    <w:rPr>
      <w:color w:val="005764" w:themeColor="accent2" w:themeShade="BF"/>
    </w:rPr>
    <w:tblPr>
      <w:tblStyleRowBandSize w:val="1"/>
      <w:tblStyleColBandSize w:val="1"/>
      <w:tblBorders>
        <w:top w:val="single" w:sz="4" w:space="0" w:color="007586" w:themeColor="accent2"/>
        <w:bottom w:val="single" w:sz="4" w:space="0" w:color="007586" w:themeColor="accent2"/>
      </w:tblBorders>
    </w:tblPr>
    <w:tblStylePr w:type="firstRow">
      <w:rPr>
        <w:b/>
        <w:bCs/>
      </w:rPr>
      <w:tblPr/>
      <w:tcPr>
        <w:tcBorders>
          <w:bottom w:val="single" w:sz="4" w:space="0" w:color="007586" w:themeColor="accent2"/>
        </w:tcBorders>
      </w:tcPr>
    </w:tblStylePr>
    <w:tblStylePr w:type="lastRow">
      <w:rPr>
        <w:b/>
        <w:bCs/>
      </w:rPr>
      <w:tblPr/>
      <w:tcPr>
        <w:tcBorders>
          <w:top w:val="double" w:sz="4" w:space="0" w:color="007586" w:themeColor="accent2"/>
        </w:tcBorders>
      </w:tcPr>
    </w:tblStylePr>
    <w:tblStylePr w:type="firstCol">
      <w:rPr>
        <w:b/>
        <w:bCs/>
      </w:rPr>
    </w:tblStylePr>
    <w:tblStylePr w:type="lastCol">
      <w:rPr>
        <w:b/>
        <w:bCs/>
      </w:rPr>
    </w:tblStylePr>
    <w:tblStylePr w:type="band1Vert">
      <w:tblPr/>
      <w:tcPr>
        <w:shd w:val="clear" w:color="auto" w:fill="B3F5FF" w:themeFill="accent2" w:themeFillTint="33"/>
      </w:tcPr>
    </w:tblStylePr>
    <w:tblStylePr w:type="band1Horz">
      <w:tblPr/>
      <w:tcPr>
        <w:shd w:val="clear" w:color="auto" w:fill="B3F5FF" w:themeFill="accent2" w:themeFillTint="33"/>
      </w:tcPr>
    </w:tblStylePr>
  </w:style>
  <w:style w:type="table" w:styleId="ListTable6ColourfulAccent3">
    <w:name w:val="List Table 6 Colorful Accent 3"/>
    <w:basedOn w:val="TableNormal"/>
    <w:uiPriority w:val="51"/>
    <w:rsid w:val="00086DB5"/>
    <w:pPr>
      <w:spacing w:after="0" w:line="240" w:lineRule="auto"/>
    </w:pPr>
    <w:rPr>
      <w:color w:val="1A97D9" w:themeColor="accent3" w:themeShade="BF"/>
    </w:rPr>
    <w:tblPr>
      <w:tblStyleRowBandSize w:val="1"/>
      <w:tblStyleColBandSize w:val="1"/>
      <w:tblBorders>
        <w:top w:val="single" w:sz="4" w:space="0" w:color="5AB9EB" w:themeColor="accent3"/>
        <w:bottom w:val="single" w:sz="4" w:space="0" w:color="5AB9EB" w:themeColor="accent3"/>
      </w:tblBorders>
    </w:tblPr>
    <w:tblStylePr w:type="firstRow">
      <w:rPr>
        <w:b/>
        <w:bCs/>
      </w:rPr>
      <w:tblPr/>
      <w:tcPr>
        <w:tcBorders>
          <w:bottom w:val="single" w:sz="4" w:space="0" w:color="5AB9EB" w:themeColor="accent3"/>
        </w:tcBorders>
      </w:tcPr>
    </w:tblStylePr>
    <w:tblStylePr w:type="lastRow">
      <w:rPr>
        <w:b/>
        <w:bCs/>
      </w:rPr>
      <w:tblPr/>
      <w:tcPr>
        <w:tcBorders>
          <w:top w:val="double" w:sz="4" w:space="0" w:color="5AB9EB" w:themeColor="accent3"/>
        </w:tcBorders>
      </w:tcPr>
    </w:tblStylePr>
    <w:tblStylePr w:type="firstCol">
      <w:rPr>
        <w:b/>
        <w:bCs/>
      </w:rPr>
    </w:tblStylePr>
    <w:tblStylePr w:type="lastCol">
      <w:rPr>
        <w:b/>
        <w:bCs/>
      </w:rPr>
    </w:tblStylePr>
    <w:tblStylePr w:type="band1Vert">
      <w:tblPr/>
      <w:tcPr>
        <w:shd w:val="clear" w:color="auto" w:fill="DEF0FB" w:themeFill="accent3" w:themeFillTint="33"/>
      </w:tcPr>
    </w:tblStylePr>
    <w:tblStylePr w:type="band1Horz">
      <w:tblPr/>
      <w:tcPr>
        <w:shd w:val="clear" w:color="auto" w:fill="DEF0FB" w:themeFill="accent3" w:themeFillTint="33"/>
      </w:tcPr>
    </w:tblStylePr>
  </w:style>
  <w:style w:type="table" w:styleId="ListTable6ColourfulAccent4">
    <w:name w:val="List Table 6 Colorful Accent 4"/>
    <w:basedOn w:val="TableNormal"/>
    <w:uiPriority w:val="51"/>
    <w:rsid w:val="00086DB5"/>
    <w:pPr>
      <w:spacing w:after="0" w:line="240" w:lineRule="auto"/>
    </w:pPr>
    <w:rPr>
      <w:color w:val="003871" w:themeColor="accent4" w:themeShade="BF"/>
    </w:rPr>
    <w:tblPr>
      <w:tblStyleRowBandSize w:val="1"/>
      <w:tblStyleColBandSize w:val="1"/>
      <w:tblBorders>
        <w:top w:val="single" w:sz="4" w:space="0" w:color="004C97" w:themeColor="accent4"/>
        <w:bottom w:val="single" w:sz="4" w:space="0" w:color="004C97" w:themeColor="accent4"/>
      </w:tblBorders>
    </w:tblPr>
    <w:tblStylePr w:type="firstRow">
      <w:rPr>
        <w:b/>
        <w:bCs/>
      </w:rPr>
      <w:tblPr/>
      <w:tcPr>
        <w:tcBorders>
          <w:bottom w:val="single" w:sz="4" w:space="0" w:color="004C97" w:themeColor="accent4"/>
        </w:tcBorders>
      </w:tcPr>
    </w:tblStylePr>
    <w:tblStylePr w:type="lastRow">
      <w:rPr>
        <w:b/>
        <w:bCs/>
      </w:rPr>
      <w:tblPr/>
      <w:tcPr>
        <w:tcBorders>
          <w:top w:val="double" w:sz="4" w:space="0" w:color="004C97" w:themeColor="accent4"/>
        </w:tcBorders>
      </w:tcPr>
    </w:tblStylePr>
    <w:tblStylePr w:type="firstCol">
      <w:rPr>
        <w:b/>
        <w:bCs/>
      </w:rPr>
    </w:tblStylePr>
    <w:tblStylePr w:type="lastCol">
      <w:rPr>
        <w:b/>
        <w:bCs/>
      </w:rPr>
    </w:tblStylePr>
    <w:tblStylePr w:type="band1Vert">
      <w:tblPr/>
      <w:tcPr>
        <w:shd w:val="clear" w:color="auto" w:fill="B7DBFF" w:themeFill="accent4" w:themeFillTint="33"/>
      </w:tcPr>
    </w:tblStylePr>
    <w:tblStylePr w:type="band1Horz">
      <w:tblPr/>
      <w:tcPr>
        <w:shd w:val="clear" w:color="auto" w:fill="B7DBFF" w:themeFill="accent4" w:themeFillTint="33"/>
      </w:tcPr>
    </w:tblStylePr>
  </w:style>
  <w:style w:type="table" w:styleId="ListTable6ColourfulAccent5">
    <w:name w:val="List Table 6 Colorful Accent 5"/>
    <w:basedOn w:val="TableNormal"/>
    <w:uiPriority w:val="51"/>
    <w:rsid w:val="00086DB5"/>
    <w:pPr>
      <w:spacing w:after="0" w:line="240" w:lineRule="auto"/>
    </w:pPr>
    <w:rPr>
      <w:color w:val="428049" w:themeColor="accent5" w:themeShade="BF"/>
    </w:rPr>
    <w:tblPr>
      <w:tblStyleRowBandSize w:val="1"/>
      <w:tblStyleColBandSize w:val="1"/>
      <w:tblBorders>
        <w:top w:val="single" w:sz="4" w:space="0" w:color="5AAA64" w:themeColor="accent5"/>
        <w:bottom w:val="single" w:sz="4" w:space="0" w:color="5AAA64" w:themeColor="accent5"/>
      </w:tblBorders>
    </w:tblPr>
    <w:tblStylePr w:type="firstRow">
      <w:rPr>
        <w:b/>
        <w:bCs/>
      </w:rPr>
      <w:tblPr/>
      <w:tcPr>
        <w:tcBorders>
          <w:bottom w:val="single" w:sz="4" w:space="0" w:color="5AAA64" w:themeColor="accent5"/>
        </w:tcBorders>
      </w:tcPr>
    </w:tblStylePr>
    <w:tblStylePr w:type="lastRow">
      <w:rPr>
        <w:b/>
        <w:bCs/>
      </w:rPr>
      <w:tblPr/>
      <w:tcPr>
        <w:tcBorders>
          <w:top w:val="double" w:sz="4" w:space="0" w:color="5AAA64" w:themeColor="accent5"/>
        </w:tcBorders>
      </w:tcPr>
    </w:tblStylePr>
    <w:tblStylePr w:type="firstCol">
      <w:rPr>
        <w:b/>
        <w:bCs/>
      </w:rPr>
    </w:tblStylePr>
    <w:tblStylePr w:type="lastCol">
      <w:rPr>
        <w:b/>
        <w:bCs/>
      </w:rPr>
    </w:tblStylePr>
    <w:tblStylePr w:type="band1Vert">
      <w:tblPr/>
      <w:tcPr>
        <w:shd w:val="clear" w:color="auto" w:fill="DEEEDF" w:themeFill="accent5" w:themeFillTint="33"/>
      </w:tcPr>
    </w:tblStylePr>
    <w:tblStylePr w:type="band1Horz">
      <w:tblPr/>
      <w:tcPr>
        <w:shd w:val="clear" w:color="auto" w:fill="DEEEDF" w:themeFill="accent5" w:themeFillTint="33"/>
      </w:tcPr>
    </w:tblStylePr>
  </w:style>
  <w:style w:type="table" w:styleId="ListTable6ColourfulAccent6">
    <w:name w:val="List Table 6 Colorful Accent 6"/>
    <w:basedOn w:val="TableNormal"/>
    <w:uiPriority w:val="51"/>
    <w:rsid w:val="00086DB5"/>
    <w:pPr>
      <w:spacing w:after="0" w:line="240" w:lineRule="auto"/>
    </w:pPr>
    <w:rPr>
      <w:color w:val="C04018" w:themeColor="accent6" w:themeShade="BF"/>
    </w:rPr>
    <w:tblPr>
      <w:tblStyleRowBandSize w:val="1"/>
      <w:tblStyleColBandSize w:val="1"/>
      <w:tblBorders>
        <w:top w:val="single" w:sz="4" w:space="0" w:color="E6643C" w:themeColor="accent6"/>
        <w:bottom w:val="single" w:sz="4" w:space="0" w:color="E6643C" w:themeColor="accent6"/>
      </w:tblBorders>
    </w:tblPr>
    <w:tblStylePr w:type="firstRow">
      <w:rPr>
        <w:b/>
        <w:bCs/>
      </w:rPr>
      <w:tblPr/>
      <w:tcPr>
        <w:tcBorders>
          <w:bottom w:val="single" w:sz="4" w:space="0" w:color="E6643C" w:themeColor="accent6"/>
        </w:tcBorders>
      </w:tcPr>
    </w:tblStylePr>
    <w:tblStylePr w:type="lastRow">
      <w:rPr>
        <w:b/>
        <w:bCs/>
      </w:rPr>
      <w:tblPr/>
      <w:tcPr>
        <w:tcBorders>
          <w:top w:val="double" w:sz="4" w:space="0" w:color="E6643C" w:themeColor="accent6"/>
        </w:tcBorders>
      </w:tcPr>
    </w:tblStylePr>
    <w:tblStylePr w:type="firstCol">
      <w:rPr>
        <w:b/>
        <w:bCs/>
      </w:rPr>
    </w:tblStylePr>
    <w:tblStylePr w:type="lastCol">
      <w:rPr>
        <w:b/>
        <w:bCs/>
      </w:rPr>
    </w:tblStylePr>
    <w:tblStylePr w:type="band1Vert">
      <w:tblPr/>
      <w:tcPr>
        <w:shd w:val="clear" w:color="auto" w:fill="FAE0D8" w:themeFill="accent6" w:themeFillTint="33"/>
      </w:tcPr>
    </w:tblStylePr>
    <w:tblStylePr w:type="band1Horz">
      <w:tblPr/>
      <w:tcPr>
        <w:shd w:val="clear" w:color="auto" w:fill="FAE0D8" w:themeFill="accent6" w:themeFillTint="33"/>
      </w:tcPr>
    </w:tblStylePr>
  </w:style>
  <w:style w:type="table" w:styleId="ListTable7Colourful">
    <w:name w:val="List Table 7 Colorful"/>
    <w:basedOn w:val="TableNormal"/>
    <w:uiPriority w:val="52"/>
    <w:rsid w:val="00086DB5"/>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rsid w:val="00086DB5"/>
    <w:pPr>
      <w:spacing w:after="0" w:line="240" w:lineRule="auto"/>
    </w:pPr>
    <w:rPr>
      <w:color w:val="141A1F"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B242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B242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B242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B242A" w:themeColor="accent1"/>
        </w:tcBorders>
        <w:shd w:val="clear" w:color="auto" w:fill="FFFFFF" w:themeFill="background1"/>
      </w:tcPr>
    </w:tblStylePr>
    <w:tblStylePr w:type="band1Vert">
      <w:tblPr/>
      <w:tcPr>
        <w:shd w:val="clear" w:color="auto" w:fill="C9D4DC" w:themeFill="accent1" w:themeFillTint="33"/>
      </w:tcPr>
    </w:tblStylePr>
    <w:tblStylePr w:type="band1Horz">
      <w:tblPr/>
      <w:tcPr>
        <w:shd w:val="clear" w:color="auto" w:fill="C9D4DC"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rsid w:val="00086DB5"/>
    <w:pPr>
      <w:spacing w:after="0" w:line="240" w:lineRule="auto"/>
    </w:pPr>
    <w:rPr>
      <w:color w:val="00576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586"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586"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586"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586" w:themeColor="accent2"/>
        </w:tcBorders>
        <w:shd w:val="clear" w:color="auto" w:fill="FFFFFF" w:themeFill="background1"/>
      </w:tcPr>
    </w:tblStylePr>
    <w:tblStylePr w:type="band1Vert">
      <w:tblPr/>
      <w:tcPr>
        <w:shd w:val="clear" w:color="auto" w:fill="B3F5FF" w:themeFill="accent2" w:themeFillTint="33"/>
      </w:tcPr>
    </w:tblStylePr>
    <w:tblStylePr w:type="band1Horz">
      <w:tblPr/>
      <w:tcPr>
        <w:shd w:val="clear" w:color="auto" w:fill="B3F5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rsid w:val="00086DB5"/>
    <w:pPr>
      <w:spacing w:after="0" w:line="240" w:lineRule="auto"/>
    </w:pPr>
    <w:rPr>
      <w:color w:val="1A97D9"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AB9EB"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AB9EB"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AB9EB"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AB9EB" w:themeColor="accent3"/>
        </w:tcBorders>
        <w:shd w:val="clear" w:color="auto" w:fill="FFFFFF" w:themeFill="background1"/>
      </w:tcPr>
    </w:tblStylePr>
    <w:tblStylePr w:type="band1Vert">
      <w:tblPr/>
      <w:tcPr>
        <w:shd w:val="clear" w:color="auto" w:fill="DEF0FB" w:themeFill="accent3" w:themeFillTint="33"/>
      </w:tcPr>
    </w:tblStylePr>
    <w:tblStylePr w:type="band1Horz">
      <w:tblPr/>
      <w:tcPr>
        <w:shd w:val="clear" w:color="auto" w:fill="DEF0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rsid w:val="00086DB5"/>
    <w:pPr>
      <w:spacing w:after="0" w:line="240" w:lineRule="auto"/>
    </w:pPr>
    <w:rPr>
      <w:color w:val="003871"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4"/>
        </w:tcBorders>
        <w:shd w:val="clear" w:color="auto" w:fill="FFFFFF" w:themeFill="background1"/>
      </w:tcPr>
    </w:tblStylePr>
    <w:tblStylePr w:type="band1Vert">
      <w:tblPr/>
      <w:tcPr>
        <w:shd w:val="clear" w:color="auto" w:fill="B7DBFF" w:themeFill="accent4" w:themeFillTint="33"/>
      </w:tcPr>
    </w:tblStylePr>
    <w:tblStylePr w:type="band1Horz">
      <w:tblPr/>
      <w:tcPr>
        <w:shd w:val="clear" w:color="auto" w:fill="B7DBF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rsid w:val="00086DB5"/>
    <w:pPr>
      <w:spacing w:after="0" w:line="240" w:lineRule="auto"/>
    </w:pPr>
    <w:rPr>
      <w:color w:val="428049"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AAA6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AAA6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AAA6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AAA64" w:themeColor="accent5"/>
        </w:tcBorders>
        <w:shd w:val="clear" w:color="auto" w:fill="FFFFFF" w:themeFill="background1"/>
      </w:tcPr>
    </w:tblStylePr>
    <w:tblStylePr w:type="band1Vert">
      <w:tblPr/>
      <w:tcPr>
        <w:shd w:val="clear" w:color="auto" w:fill="DEEEDF" w:themeFill="accent5" w:themeFillTint="33"/>
      </w:tcPr>
    </w:tblStylePr>
    <w:tblStylePr w:type="band1Horz">
      <w:tblPr/>
      <w:tcPr>
        <w:shd w:val="clear" w:color="auto" w:fill="DEEE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rsid w:val="00086DB5"/>
    <w:pPr>
      <w:spacing w:after="0" w:line="240" w:lineRule="auto"/>
    </w:pPr>
    <w:rPr>
      <w:color w:val="C04018"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6643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6643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6643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6643C" w:themeColor="accent6"/>
        </w:tcBorders>
        <w:shd w:val="clear" w:color="auto" w:fill="FFFFFF" w:themeFill="background1"/>
      </w:tcPr>
    </w:tblStylePr>
    <w:tblStylePr w:type="band1Vert">
      <w:tblPr/>
      <w:tcPr>
        <w:shd w:val="clear" w:color="auto" w:fill="FAE0D8" w:themeFill="accent6" w:themeFillTint="33"/>
      </w:tcPr>
    </w:tblStylePr>
    <w:tblStylePr w:type="band1Horz">
      <w:tblPr/>
      <w:tcPr>
        <w:shd w:val="clear" w:color="auto" w:fill="FAE0D8"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086DB5"/>
    <w:pPr>
      <w:spacing w:before="0"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086DB5"/>
    <w:pPr>
      <w:spacing w:before="0" w:after="0" w:line="240" w:lineRule="auto"/>
    </w:pPr>
    <w:tblPr>
      <w:tblStyleRowBandSize w:val="1"/>
      <w:tblStyleColBandSize w:val="1"/>
      <w:tblBorders>
        <w:top w:val="single" w:sz="8" w:space="0" w:color="465D6D" w:themeColor="accent1" w:themeTint="BF"/>
        <w:left w:val="single" w:sz="8" w:space="0" w:color="465D6D" w:themeColor="accent1" w:themeTint="BF"/>
        <w:bottom w:val="single" w:sz="8" w:space="0" w:color="465D6D" w:themeColor="accent1" w:themeTint="BF"/>
        <w:right w:val="single" w:sz="8" w:space="0" w:color="465D6D" w:themeColor="accent1" w:themeTint="BF"/>
        <w:insideH w:val="single" w:sz="8" w:space="0" w:color="465D6D" w:themeColor="accent1" w:themeTint="BF"/>
        <w:insideV w:val="single" w:sz="8" w:space="0" w:color="465D6D" w:themeColor="accent1" w:themeTint="BF"/>
      </w:tblBorders>
    </w:tblPr>
    <w:tcPr>
      <w:shd w:val="clear" w:color="auto" w:fill="BCCAD4" w:themeFill="accent1" w:themeFillTint="3F"/>
    </w:tcPr>
    <w:tblStylePr w:type="firstRow">
      <w:rPr>
        <w:b/>
        <w:bCs/>
      </w:rPr>
    </w:tblStylePr>
    <w:tblStylePr w:type="lastRow">
      <w:rPr>
        <w:b/>
        <w:bCs/>
      </w:rPr>
      <w:tblPr/>
      <w:tcPr>
        <w:tcBorders>
          <w:top w:val="single" w:sz="18" w:space="0" w:color="465D6D" w:themeColor="accent1" w:themeTint="BF"/>
        </w:tcBorders>
      </w:tcPr>
    </w:tblStylePr>
    <w:tblStylePr w:type="firstCol">
      <w:rPr>
        <w:b/>
        <w:bCs/>
      </w:rPr>
    </w:tblStylePr>
    <w:tblStylePr w:type="lastCol">
      <w:rPr>
        <w:b/>
        <w:bCs/>
      </w:rPr>
    </w:tblStylePr>
    <w:tblStylePr w:type="band1Vert">
      <w:tblPr/>
      <w:tcPr>
        <w:shd w:val="clear" w:color="auto" w:fill="7995A9" w:themeFill="accent1" w:themeFillTint="7F"/>
      </w:tcPr>
    </w:tblStylePr>
    <w:tblStylePr w:type="band1Horz">
      <w:tblPr/>
      <w:tcPr>
        <w:shd w:val="clear" w:color="auto" w:fill="7995A9" w:themeFill="accent1" w:themeFillTint="7F"/>
      </w:tcPr>
    </w:tblStylePr>
  </w:style>
  <w:style w:type="table" w:styleId="MediumGrid1-Accent2">
    <w:name w:val="Medium Grid 1 Accent 2"/>
    <w:basedOn w:val="TableNormal"/>
    <w:uiPriority w:val="67"/>
    <w:semiHidden/>
    <w:rsid w:val="00086DB5"/>
    <w:pPr>
      <w:spacing w:before="0" w:after="0" w:line="240" w:lineRule="auto"/>
    </w:pPr>
    <w:tblPr>
      <w:tblStyleRowBandSize w:val="1"/>
      <w:tblStyleColBandSize w:val="1"/>
      <w:tblBorders>
        <w:top w:val="single" w:sz="8" w:space="0" w:color="00C6E4" w:themeColor="accent2" w:themeTint="BF"/>
        <w:left w:val="single" w:sz="8" w:space="0" w:color="00C6E4" w:themeColor="accent2" w:themeTint="BF"/>
        <w:bottom w:val="single" w:sz="8" w:space="0" w:color="00C6E4" w:themeColor="accent2" w:themeTint="BF"/>
        <w:right w:val="single" w:sz="8" w:space="0" w:color="00C6E4" w:themeColor="accent2" w:themeTint="BF"/>
        <w:insideH w:val="single" w:sz="8" w:space="0" w:color="00C6E4" w:themeColor="accent2" w:themeTint="BF"/>
        <w:insideV w:val="single" w:sz="8" w:space="0" w:color="00C6E4" w:themeColor="accent2" w:themeTint="BF"/>
      </w:tblBorders>
    </w:tblPr>
    <w:tcPr>
      <w:shd w:val="clear" w:color="auto" w:fill="A2F2FF" w:themeFill="accent2" w:themeFillTint="3F"/>
    </w:tcPr>
    <w:tblStylePr w:type="firstRow">
      <w:rPr>
        <w:b/>
        <w:bCs/>
      </w:rPr>
    </w:tblStylePr>
    <w:tblStylePr w:type="lastRow">
      <w:rPr>
        <w:b/>
        <w:bCs/>
      </w:rPr>
      <w:tblPr/>
      <w:tcPr>
        <w:tcBorders>
          <w:top w:val="single" w:sz="18" w:space="0" w:color="00C6E4" w:themeColor="accent2" w:themeTint="BF"/>
        </w:tcBorders>
      </w:tcPr>
    </w:tblStylePr>
    <w:tblStylePr w:type="firstCol">
      <w:rPr>
        <w:b/>
        <w:bCs/>
      </w:rPr>
    </w:tblStylePr>
    <w:tblStylePr w:type="lastCol">
      <w:rPr>
        <w:b/>
        <w:bCs/>
      </w:rPr>
    </w:tblStylePr>
    <w:tblStylePr w:type="band1Vert">
      <w:tblPr/>
      <w:tcPr>
        <w:shd w:val="clear" w:color="auto" w:fill="43E6FF" w:themeFill="accent2" w:themeFillTint="7F"/>
      </w:tcPr>
    </w:tblStylePr>
    <w:tblStylePr w:type="band1Horz">
      <w:tblPr/>
      <w:tcPr>
        <w:shd w:val="clear" w:color="auto" w:fill="43E6FF" w:themeFill="accent2" w:themeFillTint="7F"/>
      </w:tcPr>
    </w:tblStylePr>
  </w:style>
  <w:style w:type="table" w:styleId="MediumGrid1-Accent3">
    <w:name w:val="Medium Grid 1 Accent 3"/>
    <w:basedOn w:val="TableNormal"/>
    <w:uiPriority w:val="67"/>
    <w:semiHidden/>
    <w:rsid w:val="00086DB5"/>
    <w:pPr>
      <w:spacing w:before="0" w:after="0" w:line="240" w:lineRule="auto"/>
    </w:pPr>
    <w:tblPr>
      <w:tblStyleRowBandSize w:val="1"/>
      <w:tblStyleColBandSize w:val="1"/>
      <w:tblBorders>
        <w:top w:val="single" w:sz="8" w:space="0" w:color="83CAF0" w:themeColor="accent3" w:themeTint="BF"/>
        <w:left w:val="single" w:sz="8" w:space="0" w:color="83CAF0" w:themeColor="accent3" w:themeTint="BF"/>
        <w:bottom w:val="single" w:sz="8" w:space="0" w:color="83CAF0" w:themeColor="accent3" w:themeTint="BF"/>
        <w:right w:val="single" w:sz="8" w:space="0" w:color="83CAF0" w:themeColor="accent3" w:themeTint="BF"/>
        <w:insideH w:val="single" w:sz="8" w:space="0" w:color="83CAF0" w:themeColor="accent3" w:themeTint="BF"/>
        <w:insideV w:val="single" w:sz="8" w:space="0" w:color="83CAF0" w:themeColor="accent3" w:themeTint="BF"/>
      </w:tblBorders>
    </w:tblPr>
    <w:tcPr>
      <w:shd w:val="clear" w:color="auto" w:fill="D5EDFA" w:themeFill="accent3" w:themeFillTint="3F"/>
    </w:tcPr>
    <w:tblStylePr w:type="firstRow">
      <w:rPr>
        <w:b/>
        <w:bCs/>
      </w:rPr>
    </w:tblStylePr>
    <w:tblStylePr w:type="lastRow">
      <w:rPr>
        <w:b/>
        <w:bCs/>
      </w:rPr>
      <w:tblPr/>
      <w:tcPr>
        <w:tcBorders>
          <w:top w:val="single" w:sz="18" w:space="0" w:color="83CAF0" w:themeColor="accent3" w:themeTint="BF"/>
        </w:tcBorders>
      </w:tcPr>
    </w:tblStylePr>
    <w:tblStylePr w:type="firstCol">
      <w:rPr>
        <w:b/>
        <w:bCs/>
      </w:rPr>
    </w:tblStylePr>
    <w:tblStylePr w:type="lastCol">
      <w:rPr>
        <w:b/>
        <w:bCs/>
      </w:rPr>
    </w:tblStylePr>
    <w:tblStylePr w:type="band1Vert">
      <w:tblPr/>
      <w:tcPr>
        <w:shd w:val="clear" w:color="auto" w:fill="ACDCF5" w:themeFill="accent3" w:themeFillTint="7F"/>
      </w:tcPr>
    </w:tblStylePr>
    <w:tblStylePr w:type="band1Horz">
      <w:tblPr/>
      <w:tcPr>
        <w:shd w:val="clear" w:color="auto" w:fill="ACDCF5" w:themeFill="accent3" w:themeFillTint="7F"/>
      </w:tcPr>
    </w:tblStylePr>
  </w:style>
  <w:style w:type="table" w:styleId="MediumGrid1-Accent4">
    <w:name w:val="Medium Grid 1 Accent 4"/>
    <w:basedOn w:val="TableNormal"/>
    <w:uiPriority w:val="67"/>
    <w:semiHidden/>
    <w:rsid w:val="00086DB5"/>
    <w:pPr>
      <w:spacing w:before="0" w:after="0" w:line="240" w:lineRule="auto"/>
    </w:pPr>
    <w:tblPr>
      <w:tblStyleRowBandSize w:val="1"/>
      <w:tblStyleColBandSize w:val="1"/>
      <w:tblBorders>
        <w:top w:val="single" w:sz="8" w:space="0" w:color="0078F1" w:themeColor="accent4" w:themeTint="BF"/>
        <w:left w:val="single" w:sz="8" w:space="0" w:color="0078F1" w:themeColor="accent4" w:themeTint="BF"/>
        <w:bottom w:val="single" w:sz="8" w:space="0" w:color="0078F1" w:themeColor="accent4" w:themeTint="BF"/>
        <w:right w:val="single" w:sz="8" w:space="0" w:color="0078F1" w:themeColor="accent4" w:themeTint="BF"/>
        <w:insideH w:val="single" w:sz="8" w:space="0" w:color="0078F1" w:themeColor="accent4" w:themeTint="BF"/>
        <w:insideV w:val="single" w:sz="8" w:space="0" w:color="0078F1" w:themeColor="accent4" w:themeTint="BF"/>
      </w:tblBorders>
    </w:tblPr>
    <w:tcPr>
      <w:shd w:val="clear" w:color="auto" w:fill="A6D2FF" w:themeFill="accent4" w:themeFillTint="3F"/>
    </w:tcPr>
    <w:tblStylePr w:type="firstRow">
      <w:rPr>
        <w:b/>
        <w:bCs/>
      </w:rPr>
    </w:tblStylePr>
    <w:tblStylePr w:type="lastRow">
      <w:rPr>
        <w:b/>
        <w:bCs/>
      </w:rPr>
      <w:tblPr/>
      <w:tcPr>
        <w:tcBorders>
          <w:top w:val="single" w:sz="18" w:space="0" w:color="0078F1" w:themeColor="accent4" w:themeTint="BF"/>
        </w:tcBorders>
      </w:tcPr>
    </w:tblStylePr>
    <w:tblStylePr w:type="firstCol">
      <w:rPr>
        <w:b/>
        <w:bCs/>
      </w:rPr>
    </w:tblStylePr>
    <w:tblStylePr w:type="lastCol">
      <w:rPr>
        <w:b/>
        <w:bCs/>
      </w:rPr>
    </w:tblStylePr>
    <w:tblStylePr w:type="band1Vert">
      <w:tblPr/>
      <w:tcPr>
        <w:shd w:val="clear" w:color="auto" w:fill="4CA5FF" w:themeFill="accent4" w:themeFillTint="7F"/>
      </w:tcPr>
    </w:tblStylePr>
    <w:tblStylePr w:type="band1Horz">
      <w:tblPr/>
      <w:tcPr>
        <w:shd w:val="clear" w:color="auto" w:fill="4CA5FF" w:themeFill="accent4" w:themeFillTint="7F"/>
      </w:tcPr>
    </w:tblStylePr>
  </w:style>
  <w:style w:type="table" w:styleId="MediumGrid1-Accent5">
    <w:name w:val="Medium Grid 1 Accent 5"/>
    <w:basedOn w:val="TableNormal"/>
    <w:uiPriority w:val="67"/>
    <w:semiHidden/>
    <w:rsid w:val="00086DB5"/>
    <w:pPr>
      <w:spacing w:before="0" w:after="0" w:line="240" w:lineRule="auto"/>
    </w:pPr>
    <w:tblPr>
      <w:tblStyleRowBandSize w:val="1"/>
      <w:tblStyleColBandSize w:val="1"/>
      <w:tblBorders>
        <w:top w:val="single" w:sz="8" w:space="0" w:color="83BF8A" w:themeColor="accent5" w:themeTint="BF"/>
        <w:left w:val="single" w:sz="8" w:space="0" w:color="83BF8A" w:themeColor="accent5" w:themeTint="BF"/>
        <w:bottom w:val="single" w:sz="8" w:space="0" w:color="83BF8A" w:themeColor="accent5" w:themeTint="BF"/>
        <w:right w:val="single" w:sz="8" w:space="0" w:color="83BF8A" w:themeColor="accent5" w:themeTint="BF"/>
        <w:insideH w:val="single" w:sz="8" w:space="0" w:color="83BF8A" w:themeColor="accent5" w:themeTint="BF"/>
        <w:insideV w:val="single" w:sz="8" w:space="0" w:color="83BF8A" w:themeColor="accent5" w:themeTint="BF"/>
      </w:tblBorders>
    </w:tblPr>
    <w:tcPr>
      <w:shd w:val="clear" w:color="auto" w:fill="D6EAD8" w:themeFill="accent5" w:themeFillTint="3F"/>
    </w:tcPr>
    <w:tblStylePr w:type="firstRow">
      <w:rPr>
        <w:b/>
        <w:bCs/>
      </w:rPr>
    </w:tblStylePr>
    <w:tblStylePr w:type="lastRow">
      <w:rPr>
        <w:b/>
        <w:bCs/>
      </w:rPr>
      <w:tblPr/>
      <w:tcPr>
        <w:tcBorders>
          <w:top w:val="single" w:sz="18" w:space="0" w:color="83BF8A" w:themeColor="accent5" w:themeTint="BF"/>
        </w:tcBorders>
      </w:tcPr>
    </w:tblStylePr>
    <w:tblStylePr w:type="firstCol">
      <w:rPr>
        <w:b/>
        <w:bCs/>
      </w:rPr>
    </w:tblStylePr>
    <w:tblStylePr w:type="lastCol">
      <w:rPr>
        <w:b/>
        <w:bCs/>
      </w:rPr>
    </w:tblStylePr>
    <w:tblStylePr w:type="band1Vert">
      <w:tblPr/>
      <w:tcPr>
        <w:shd w:val="clear" w:color="auto" w:fill="ACD4B1" w:themeFill="accent5" w:themeFillTint="7F"/>
      </w:tcPr>
    </w:tblStylePr>
    <w:tblStylePr w:type="band1Horz">
      <w:tblPr/>
      <w:tcPr>
        <w:shd w:val="clear" w:color="auto" w:fill="ACD4B1" w:themeFill="accent5" w:themeFillTint="7F"/>
      </w:tcPr>
    </w:tblStylePr>
  </w:style>
  <w:style w:type="table" w:styleId="MediumGrid1-Accent6">
    <w:name w:val="Medium Grid 1 Accent 6"/>
    <w:basedOn w:val="TableNormal"/>
    <w:uiPriority w:val="67"/>
    <w:semiHidden/>
    <w:rsid w:val="00086DB5"/>
    <w:pPr>
      <w:spacing w:before="0" w:after="0" w:line="240" w:lineRule="auto"/>
    </w:pPr>
    <w:tblPr>
      <w:tblStyleRowBandSize w:val="1"/>
      <w:tblStyleColBandSize w:val="1"/>
      <w:tblBorders>
        <w:top w:val="single" w:sz="8" w:space="0" w:color="EC8A6C" w:themeColor="accent6" w:themeTint="BF"/>
        <w:left w:val="single" w:sz="8" w:space="0" w:color="EC8A6C" w:themeColor="accent6" w:themeTint="BF"/>
        <w:bottom w:val="single" w:sz="8" w:space="0" w:color="EC8A6C" w:themeColor="accent6" w:themeTint="BF"/>
        <w:right w:val="single" w:sz="8" w:space="0" w:color="EC8A6C" w:themeColor="accent6" w:themeTint="BF"/>
        <w:insideH w:val="single" w:sz="8" w:space="0" w:color="EC8A6C" w:themeColor="accent6" w:themeTint="BF"/>
        <w:insideV w:val="single" w:sz="8" w:space="0" w:color="EC8A6C" w:themeColor="accent6" w:themeTint="BF"/>
      </w:tblBorders>
    </w:tblPr>
    <w:tcPr>
      <w:shd w:val="clear" w:color="auto" w:fill="F8D8CE" w:themeFill="accent6" w:themeFillTint="3F"/>
    </w:tcPr>
    <w:tblStylePr w:type="firstRow">
      <w:rPr>
        <w:b/>
        <w:bCs/>
      </w:rPr>
    </w:tblStylePr>
    <w:tblStylePr w:type="lastRow">
      <w:rPr>
        <w:b/>
        <w:bCs/>
      </w:rPr>
      <w:tblPr/>
      <w:tcPr>
        <w:tcBorders>
          <w:top w:val="single" w:sz="18" w:space="0" w:color="EC8A6C" w:themeColor="accent6" w:themeTint="BF"/>
        </w:tcBorders>
      </w:tcPr>
    </w:tblStylePr>
    <w:tblStylePr w:type="firstCol">
      <w:rPr>
        <w:b/>
        <w:bCs/>
      </w:rPr>
    </w:tblStylePr>
    <w:tblStylePr w:type="lastCol">
      <w:rPr>
        <w:b/>
        <w:bCs/>
      </w:rPr>
    </w:tblStylePr>
    <w:tblStylePr w:type="band1Vert">
      <w:tblPr/>
      <w:tcPr>
        <w:shd w:val="clear" w:color="auto" w:fill="F2B19D" w:themeFill="accent6" w:themeFillTint="7F"/>
      </w:tcPr>
    </w:tblStylePr>
    <w:tblStylePr w:type="band1Horz">
      <w:tblPr/>
      <w:tcPr>
        <w:shd w:val="clear" w:color="auto" w:fill="F2B19D" w:themeFill="accent6" w:themeFillTint="7F"/>
      </w:tcPr>
    </w:tblStylePr>
  </w:style>
  <w:style w:type="table" w:styleId="MediumGrid2">
    <w:name w:val="Medium Grid 2"/>
    <w:basedOn w:val="TableNormal"/>
    <w:uiPriority w:val="68"/>
    <w:semiHidden/>
    <w:rsid w:val="00086DB5"/>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086DB5"/>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B242A" w:themeColor="accent1"/>
        <w:left w:val="single" w:sz="8" w:space="0" w:color="1B242A" w:themeColor="accent1"/>
        <w:bottom w:val="single" w:sz="8" w:space="0" w:color="1B242A" w:themeColor="accent1"/>
        <w:right w:val="single" w:sz="8" w:space="0" w:color="1B242A" w:themeColor="accent1"/>
        <w:insideH w:val="single" w:sz="8" w:space="0" w:color="1B242A" w:themeColor="accent1"/>
        <w:insideV w:val="single" w:sz="8" w:space="0" w:color="1B242A" w:themeColor="accent1"/>
      </w:tblBorders>
    </w:tblPr>
    <w:tcPr>
      <w:shd w:val="clear" w:color="auto" w:fill="BCCAD4" w:themeFill="accent1" w:themeFillTint="3F"/>
    </w:tcPr>
    <w:tblStylePr w:type="firstRow">
      <w:rPr>
        <w:b/>
        <w:bCs/>
        <w:color w:val="000000" w:themeColor="text1"/>
      </w:rPr>
      <w:tblPr/>
      <w:tcPr>
        <w:shd w:val="clear" w:color="auto" w:fill="E4EAEE"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9D4DC" w:themeFill="accent1" w:themeFillTint="33"/>
      </w:tcPr>
    </w:tblStylePr>
    <w:tblStylePr w:type="band1Vert">
      <w:tblPr/>
      <w:tcPr>
        <w:shd w:val="clear" w:color="auto" w:fill="7995A9" w:themeFill="accent1" w:themeFillTint="7F"/>
      </w:tcPr>
    </w:tblStylePr>
    <w:tblStylePr w:type="band1Horz">
      <w:tblPr/>
      <w:tcPr>
        <w:tcBorders>
          <w:insideH w:val="single" w:sz="6" w:space="0" w:color="1B242A" w:themeColor="accent1"/>
          <w:insideV w:val="single" w:sz="6" w:space="0" w:color="1B242A" w:themeColor="accent1"/>
        </w:tcBorders>
        <w:shd w:val="clear" w:color="auto" w:fill="7995A9"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086DB5"/>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7586" w:themeColor="accent2"/>
        <w:left w:val="single" w:sz="8" w:space="0" w:color="007586" w:themeColor="accent2"/>
        <w:bottom w:val="single" w:sz="8" w:space="0" w:color="007586" w:themeColor="accent2"/>
        <w:right w:val="single" w:sz="8" w:space="0" w:color="007586" w:themeColor="accent2"/>
        <w:insideH w:val="single" w:sz="8" w:space="0" w:color="007586" w:themeColor="accent2"/>
        <w:insideV w:val="single" w:sz="8" w:space="0" w:color="007586" w:themeColor="accent2"/>
      </w:tblBorders>
    </w:tblPr>
    <w:tcPr>
      <w:shd w:val="clear" w:color="auto" w:fill="A2F2FF" w:themeFill="accent2" w:themeFillTint="3F"/>
    </w:tcPr>
    <w:tblStylePr w:type="firstRow">
      <w:rPr>
        <w:b/>
        <w:bCs/>
        <w:color w:val="000000" w:themeColor="text1"/>
      </w:rPr>
      <w:tblPr/>
      <w:tcPr>
        <w:shd w:val="clear" w:color="auto" w:fill="DAFA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3F5FF" w:themeFill="accent2" w:themeFillTint="33"/>
      </w:tcPr>
    </w:tblStylePr>
    <w:tblStylePr w:type="band1Vert">
      <w:tblPr/>
      <w:tcPr>
        <w:shd w:val="clear" w:color="auto" w:fill="43E6FF" w:themeFill="accent2" w:themeFillTint="7F"/>
      </w:tcPr>
    </w:tblStylePr>
    <w:tblStylePr w:type="band1Horz">
      <w:tblPr/>
      <w:tcPr>
        <w:tcBorders>
          <w:insideH w:val="single" w:sz="6" w:space="0" w:color="007586" w:themeColor="accent2"/>
          <w:insideV w:val="single" w:sz="6" w:space="0" w:color="007586" w:themeColor="accent2"/>
        </w:tcBorders>
        <w:shd w:val="clear" w:color="auto" w:fill="43E6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086DB5"/>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AB9EB" w:themeColor="accent3"/>
        <w:left w:val="single" w:sz="8" w:space="0" w:color="5AB9EB" w:themeColor="accent3"/>
        <w:bottom w:val="single" w:sz="8" w:space="0" w:color="5AB9EB" w:themeColor="accent3"/>
        <w:right w:val="single" w:sz="8" w:space="0" w:color="5AB9EB" w:themeColor="accent3"/>
        <w:insideH w:val="single" w:sz="8" w:space="0" w:color="5AB9EB" w:themeColor="accent3"/>
        <w:insideV w:val="single" w:sz="8" w:space="0" w:color="5AB9EB" w:themeColor="accent3"/>
      </w:tblBorders>
    </w:tblPr>
    <w:tcPr>
      <w:shd w:val="clear" w:color="auto" w:fill="D5EDFA" w:themeFill="accent3" w:themeFillTint="3F"/>
    </w:tcPr>
    <w:tblStylePr w:type="firstRow">
      <w:rPr>
        <w:b/>
        <w:bCs/>
        <w:color w:val="000000" w:themeColor="text1"/>
      </w:rPr>
      <w:tblPr/>
      <w:tcPr>
        <w:shd w:val="clear" w:color="auto" w:fill="EEF8FD"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F0FB" w:themeFill="accent3" w:themeFillTint="33"/>
      </w:tcPr>
    </w:tblStylePr>
    <w:tblStylePr w:type="band1Vert">
      <w:tblPr/>
      <w:tcPr>
        <w:shd w:val="clear" w:color="auto" w:fill="ACDCF5" w:themeFill="accent3" w:themeFillTint="7F"/>
      </w:tcPr>
    </w:tblStylePr>
    <w:tblStylePr w:type="band1Horz">
      <w:tblPr/>
      <w:tcPr>
        <w:tcBorders>
          <w:insideH w:val="single" w:sz="6" w:space="0" w:color="5AB9EB" w:themeColor="accent3"/>
          <w:insideV w:val="single" w:sz="6" w:space="0" w:color="5AB9EB" w:themeColor="accent3"/>
        </w:tcBorders>
        <w:shd w:val="clear" w:color="auto" w:fill="ACDCF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086DB5"/>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4C97" w:themeColor="accent4"/>
        <w:left w:val="single" w:sz="8" w:space="0" w:color="004C97" w:themeColor="accent4"/>
        <w:bottom w:val="single" w:sz="8" w:space="0" w:color="004C97" w:themeColor="accent4"/>
        <w:right w:val="single" w:sz="8" w:space="0" w:color="004C97" w:themeColor="accent4"/>
        <w:insideH w:val="single" w:sz="8" w:space="0" w:color="004C97" w:themeColor="accent4"/>
        <w:insideV w:val="single" w:sz="8" w:space="0" w:color="004C97" w:themeColor="accent4"/>
      </w:tblBorders>
    </w:tblPr>
    <w:tcPr>
      <w:shd w:val="clear" w:color="auto" w:fill="A6D2FF" w:themeFill="accent4" w:themeFillTint="3F"/>
    </w:tcPr>
    <w:tblStylePr w:type="firstRow">
      <w:rPr>
        <w:b/>
        <w:bCs/>
        <w:color w:val="000000" w:themeColor="text1"/>
      </w:rPr>
      <w:tblPr/>
      <w:tcPr>
        <w:shd w:val="clear" w:color="auto" w:fill="DBED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7DBFF" w:themeFill="accent4" w:themeFillTint="33"/>
      </w:tcPr>
    </w:tblStylePr>
    <w:tblStylePr w:type="band1Vert">
      <w:tblPr/>
      <w:tcPr>
        <w:shd w:val="clear" w:color="auto" w:fill="4CA5FF" w:themeFill="accent4" w:themeFillTint="7F"/>
      </w:tcPr>
    </w:tblStylePr>
    <w:tblStylePr w:type="band1Horz">
      <w:tblPr/>
      <w:tcPr>
        <w:tcBorders>
          <w:insideH w:val="single" w:sz="6" w:space="0" w:color="004C97" w:themeColor="accent4"/>
          <w:insideV w:val="single" w:sz="6" w:space="0" w:color="004C97" w:themeColor="accent4"/>
        </w:tcBorders>
        <w:shd w:val="clear" w:color="auto" w:fill="4CA5F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086DB5"/>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AAA64" w:themeColor="accent5"/>
        <w:left w:val="single" w:sz="8" w:space="0" w:color="5AAA64" w:themeColor="accent5"/>
        <w:bottom w:val="single" w:sz="8" w:space="0" w:color="5AAA64" w:themeColor="accent5"/>
        <w:right w:val="single" w:sz="8" w:space="0" w:color="5AAA64" w:themeColor="accent5"/>
        <w:insideH w:val="single" w:sz="8" w:space="0" w:color="5AAA64" w:themeColor="accent5"/>
        <w:insideV w:val="single" w:sz="8" w:space="0" w:color="5AAA64" w:themeColor="accent5"/>
      </w:tblBorders>
    </w:tblPr>
    <w:tcPr>
      <w:shd w:val="clear" w:color="auto" w:fill="D6EAD8" w:themeFill="accent5" w:themeFillTint="3F"/>
    </w:tcPr>
    <w:tblStylePr w:type="firstRow">
      <w:rPr>
        <w:b/>
        <w:bCs/>
        <w:color w:val="000000" w:themeColor="text1"/>
      </w:rPr>
      <w:tblPr/>
      <w:tcPr>
        <w:shd w:val="clear" w:color="auto" w:fill="EEF6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EDF" w:themeFill="accent5" w:themeFillTint="33"/>
      </w:tcPr>
    </w:tblStylePr>
    <w:tblStylePr w:type="band1Vert">
      <w:tblPr/>
      <w:tcPr>
        <w:shd w:val="clear" w:color="auto" w:fill="ACD4B1" w:themeFill="accent5" w:themeFillTint="7F"/>
      </w:tcPr>
    </w:tblStylePr>
    <w:tblStylePr w:type="band1Horz">
      <w:tblPr/>
      <w:tcPr>
        <w:tcBorders>
          <w:insideH w:val="single" w:sz="6" w:space="0" w:color="5AAA64" w:themeColor="accent5"/>
          <w:insideV w:val="single" w:sz="6" w:space="0" w:color="5AAA64" w:themeColor="accent5"/>
        </w:tcBorders>
        <w:shd w:val="clear" w:color="auto" w:fill="ACD4B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086DB5"/>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6643C" w:themeColor="accent6"/>
        <w:left w:val="single" w:sz="8" w:space="0" w:color="E6643C" w:themeColor="accent6"/>
        <w:bottom w:val="single" w:sz="8" w:space="0" w:color="E6643C" w:themeColor="accent6"/>
        <w:right w:val="single" w:sz="8" w:space="0" w:color="E6643C" w:themeColor="accent6"/>
        <w:insideH w:val="single" w:sz="8" w:space="0" w:color="E6643C" w:themeColor="accent6"/>
        <w:insideV w:val="single" w:sz="8" w:space="0" w:color="E6643C" w:themeColor="accent6"/>
      </w:tblBorders>
    </w:tblPr>
    <w:tcPr>
      <w:shd w:val="clear" w:color="auto" w:fill="F8D8CE" w:themeFill="accent6" w:themeFillTint="3F"/>
    </w:tcPr>
    <w:tblStylePr w:type="firstRow">
      <w:rPr>
        <w:b/>
        <w:bCs/>
        <w:color w:val="000000" w:themeColor="text1"/>
      </w:rPr>
      <w:tblPr/>
      <w:tcPr>
        <w:shd w:val="clear" w:color="auto" w:fill="FCEFEB"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0D8" w:themeFill="accent6" w:themeFillTint="33"/>
      </w:tcPr>
    </w:tblStylePr>
    <w:tblStylePr w:type="band1Vert">
      <w:tblPr/>
      <w:tcPr>
        <w:shd w:val="clear" w:color="auto" w:fill="F2B19D" w:themeFill="accent6" w:themeFillTint="7F"/>
      </w:tcPr>
    </w:tblStylePr>
    <w:tblStylePr w:type="band1Horz">
      <w:tblPr/>
      <w:tcPr>
        <w:tcBorders>
          <w:insideH w:val="single" w:sz="6" w:space="0" w:color="E6643C" w:themeColor="accent6"/>
          <w:insideV w:val="single" w:sz="6" w:space="0" w:color="E6643C" w:themeColor="accent6"/>
        </w:tcBorders>
        <w:shd w:val="clear" w:color="auto" w:fill="F2B19D"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086DB5"/>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086DB5"/>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CCAD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B242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B242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B242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B242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995A9"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995A9" w:themeFill="accent1" w:themeFillTint="7F"/>
      </w:tcPr>
    </w:tblStylePr>
  </w:style>
  <w:style w:type="table" w:styleId="MediumGrid3-Accent2">
    <w:name w:val="Medium Grid 3 Accent 2"/>
    <w:basedOn w:val="TableNormal"/>
    <w:uiPriority w:val="69"/>
    <w:semiHidden/>
    <w:rsid w:val="00086DB5"/>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2F2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586"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586"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586"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586"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3E6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3E6FF" w:themeFill="accent2" w:themeFillTint="7F"/>
      </w:tcPr>
    </w:tblStylePr>
  </w:style>
  <w:style w:type="table" w:styleId="MediumGrid3-Accent3">
    <w:name w:val="Medium Grid 3 Accent 3"/>
    <w:basedOn w:val="TableNormal"/>
    <w:uiPriority w:val="69"/>
    <w:semiHidden/>
    <w:rsid w:val="00086DB5"/>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ED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AB9EB"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AB9EB"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AB9EB"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AB9EB"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DCF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DCF5" w:themeFill="accent3" w:themeFillTint="7F"/>
      </w:tcPr>
    </w:tblStylePr>
  </w:style>
  <w:style w:type="table" w:styleId="MediumGrid3-Accent4">
    <w:name w:val="Medium Grid 3 Accent 4"/>
    <w:basedOn w:val="TableNormal"/>
    <w:uiPriority w:val="69"/>
    <w:semiHidden/>
    <w:rsid w:val="00086DB5"/>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4" w:themeFillTint="7F"/>
      </w:tcPr>
    </w:tblStylePr>
  </w:style>
  <w:style w:type="table" w:styleId="MediumGrid3-Accent5">
    <w:name w:val="Medium Grid 3 Accent 5"/>
    <w:basedOn w:val="TableNormal"/>
    <w:uiPriority w:val="69"/>
    <w:semiHidden/>
    <w:rsid w:val="00086DB5"/>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AD8"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AAA6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AAA6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AAA6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AAA6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D4B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D4B1" w:themeFill="accent5" w:themeFillTint="7F"/>
      </w:tcPr>
    </w:tblStylePr>
  </w:style>
  <w:style w:type="table" w:styleId="MediumGrid3-Accent6">
    <w:name w:val="Medium Grid 3 Accent 6"/>
    <w:basedOn w:val="TableNormal"/>
    <w:uiPriority w:val="69"/>
    <w:semiHidden/>
    <w:rsid w:val="00086DB5"/>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D8CE"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6643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6643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6643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6643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B19D"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B19D" w:themeFill="accent6" w:themeFillTint="7F"/>
      </w:tcPr>
    </w:tblStylePr>
  </w:style>
  <w:style w:type="table" w:styleId="MediumList1">
    <w:name w:val="Medium List 1"/>
    <w:basedOn w:val="TableNormal"/>
    <w:uiPriority w:val="65"/>
    <w:semiHidden/>
    <w:rsid w:val="00086DB5"/>
    <w:pPr>
      <w:spacing w:before="0"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758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086DB5"/>
    <w:pPr>
      <w:spacing w:before="0" w:after="0" w:line="240" w:lineRule="auto"/>
    </w:pPr>
    <w:rPr>
      <w:color w:val="000000" w:themeColor="text1"/>
    </w:rPr>
    <w:tblPr>
      <w:tblStyleRowBandSize w:val="1"/>
      <w:tblStyleColBandSize w:val="1"/>
      <w:tblBorders>
        <w:top w:val="single" w:sz="8" w:space="0" w:color="1B242A" w:themeColor="accent1"/>
        <w:bottom w:val="single" w:sz="8" w:space="0" w:color="1B242A" w:themeColor="accent1"/>
      </w:tblBorders>
    </w:tblPr>
    <w:tblStylePr w:type="firstRow">
      <w:rPr>
        <w:rFonts w:asciiTheme="majorHAnsi" w:eastAsiaTheme="majorEastAsia" w:hAnsiTheme="majorHAnsi" w:cstheme="majorBidi"/>
      </w:rPr>
      <w:tblPr/>
      <w:tcPr>
        <w:tcBorders>
          <w:top w:val="nil"/>
          <w:bottom w:val="single" w:sz="8" w:space="0" w:color="1B242A" w:themeColor="accent1"/>
        </w:tcBorders>
      </w:tcPr>
    </w:tblStylePr>
    <w:tblStylePr w:type="lastRow">
      <w:rPr>
        <w:b/>
        <w:bCs/>
        <w:color w:val="007586" w:themeColor="text2"/>
      </w:rPr>
      <w:tblPr/>
      <w:tcPr>
        <w:tcBorders>
          <w:top w:val="single" w:sz="8" w:space="0" w:color="1B242A" w:themeColor="accent1"/>
          <w:bottom w:val="single" w:sz="8" w:space="0" w:color="1B242A" w:themeColor="accent1"/>
        </w:tcBorders>
      </w:tcPr>
    </w:tblStylePr>
    <w:tblStylePr w:type="firstCol">
      <w:rPr>
        <w:b/>
        <w:bCs/>
      </w:rPr>
    </w:tblStylePr>
    <w:tblStylePr w:type="lastCol">
      <w:rPr>
        <w:b/>
        <w:bCs/>
      </w:rPr>
      <w:tblPr/>
      <w:tcPr>
        <w:tcBorders>
          <w:top w:val="single" w:sz="8" w:space="0" w:color="1B242A" w:themeColor="accent1"/>
          <w:bottom w:val="single" w:sz="8" w:space="0" w:color="1B242A" w:themeColor="accent1"/>
        </w:tcBorders>
      </w:tcPr>
    </w:tblStylePr>
    <w:tblStylePr w:type="band1Vert">
      <w:tblPr/>
      <w:tcPr>
        <w:shd w:val="clear" w:color="auto" w:fill="BCCAD4" w:themeFill="accent1" w:themeFillTint="3F"/>
      </w:tcPr>
    </w:tblStylePr>
    <w:tblStylePr w:type="band1Horz">
      <w:tblPr/>
      <w:tcPr>
        <w:shd w:val="clear" w:color="auto" w:fill="BCCAD4" w:themeFill="accent1" w:themeFillTint="3F"/>
      </w:tcPr>
    </w:tblStylePr>
  </w:style>
  <w:style w:type="table" w:styleId="MediumList1-Accent2">
    <w:name w:val="Medium List 1 Accent 2"/>
    <w:basedOn w:val="TableNormal"/>
    <w:uiPriority w:val="65"/>
    <w:semiHidden/>
    <w:rsid w:val="00086DB5"/>
    <w:pPr>
      <w:spacing w:before="0" w:after="0" w:line="240" w:lineRule="auto"/>
    </w:pPr>
    <w:rPr>
      <w:color w:val="000000" w:themeColor="text1"/>
    </w:rPr>
    <w:tblPr>
      <w:tblStyleRowBandSize w:val="1"/>
      <w:tblStyleColBandSize w:val="1"/>
      <w:tblBorders>
        <w:top w:val="single" w:sz="8" w:space="0" w:color="007586" w:themeColor="accent2"/>
        <w:bottom w:val="single" w:sz="8" w:space="0" w:color="007586" w:themeColor="accent2"/>
      </w:tblBorders>
    </w:tblPr>
    <w:tblStylePr w:type="firstRow">
      <w:rPr>
        <w:rFonts w:asciiTheme="majorHAnsi" w:eastAsiaTheme="majorEastAsia" w:hAnsiTheme="majorHAnsi" w:cstheme="majorBidi"/>
      </w:rPr>
      <w:tblPr/>
      <w:tcPr>
        <w:tcBorders>
          <w:top w:val="nil"/>
          <w:bottom w:val="single" w:sz="8" w:space="0" w:color="007586" w:themeColor="accent2"/>
        </w:tcBorders>
      </w:tcPr>
    </w:tblStylePr>
    <w:tblStylePr w:type="lastRow">
      <w:rPr>
        <w:b/>
        <w:bCs/>
        <w:color w:val="007586" w:themeColor="text2"/>
      </w:rPr>
      <w:tblPr/>
      <w:tcPr>
        <w:tcBorders>
          <w:top w:val="single" w:sz="8" w:space="0" w:color="007586" w:themeColor="accent2"/>
          <w:bottom w:val="single" w:sz="8" w:space="0" w:color="007586" w:themeColor="accent2"/>
        </w:tcBorders>
      </w:tcPr>
    </w:tblStylePr>
    <w:tblStylePr w:type="firstCol">
      <w:rPr>
        <w:b/>
        <w:bCs/>
      </w:rPr>
    </w:tblStylePr>
    <w:tblStylePr w:type="lastCol">
      <w:rPr>
        <w:b/>
        <w:bCs/>
      </w:rPr>
      <w:tblPr/>
      <w:tcPr>
        <w:tcBorders>
          <w:top w:val="single" w:sz="8" w:space="0" w:color="007586" w:themeColor="accent2"/>
          <w:bottom w:val="single" w:sz="8" w:space="0" w:color="007586" w:themeColor="accent2"/>
        </w:tcBorders>
      </w:tcPr>
    </w:tblStylePr>
    <w:tblStylePr w:type="band1Vert">
      <w:tblPr/>
      <w:tcPr>
        <w:shd w:val="clear" w:color="auto" w:fill="A2F2FF" w:themeFill="accent2" w:themeFillTint="3F"/>
      </w:tcPr>
    </w:tblStylePr>
    <w:tblStylePr w:type="band1Horz">
      <w:tblPr/>
      <w:tcPr>
        <w:shd w:val="clear" w:color="auto" w:fill="A2F2FF" w:themeFill="accent2" w:themeFillTint="3F"/>
      </w:tcPr>
    </w:tblStylePr>
  </w:style>
  <w:style w:type="table" w:styleId="MediumList1-Accent3">
    <w:name w:val="Medium List 1 Accent 3"/>
    <w:basedOn w:val="TableNormal"/>
    <w:uiPriority w:val="65"/>
    <w:semiHidden/>
    <w:rsid w:val="00086DB5"/>
    <w:pPr>
      <w:spacing w:before="0" w:after="0" w:line="240" w:lineRule="auto"/>
    </w:pPr>
    <w:rPr>
      <w:color w:val="000000" w:themeColor="text1"/>
    </w:rPr>
    <w:tblPr>
      <w:tblStyleRowBandSize w:val="1"/>
      <w:tblStyleColBandSize w:val="1"/>
      <w:tblBorders>
        <w:top w:val="single" w:sz="8" w:space="0" w:color="5AB9EB" w:themeColor="accent3"/>
        <w:bottom w:val="single" w:sz="8" w:space="0" w:color="5AB9EB" w:themeColor="accent3"/>
      </w:tblBorders>
    </w:tblPr>
    <w:tblStylePr w:type="firstRow">
      <w:rPr>
        <w:rFonts w:asciiTheme="majorHAnsi" w:eastAsiaTheme="majorEastAsia" w:hAnsiTheme="majorHAnsi" w:cstheme="majorBidi"/>
      </w:rPr>
      <w:tblPr/>
      <w:tcPr>
        <w:tcBorders>
          <w:top w:val="nil"/>
          <w:bottom w:val="single" w:sz="8" w:space="0" w:color="5AB9EB" w:themeColor="accent3"/>
        </w:tcBorders>
      </w:tcPr>
    </w:tblStylePr>
    <w:tblStylePr w:type="lastRow">
      <w:rPr>
        <w:b/>
        <w:bCs/>
        <w:color w:val="007586" w:themeColor="text2"/>
      </w:rPr>
      <w:tblPr/>
      <w:tcPr>
        <w:tcBorders>
          <w:top w:val="single" w:sz="8" w:space="0" w:color="5AB9EB" w:themeColor="accent3"/>
          <w:bottom w:val="single" w:sz="8" w:space="0" w:color="5AB9EB" w:themeColor="accent3"/>
        </w:tcBorders>
      </w:tcPr>
    </w:tblStylePr>
    <w:tblStylePr w:type="firstCol">
      <w:rPr>
        <w:b/>
        <w:bCs/>
      </w:rPr>
    </w:tblStylePr>
    <w:tblStylePr w:type="lastCol">
      <w:rPr>
        <w:b/>
        <w:bCs/>
      </w:rPr>
      <w:tblPr/>
      <w:tcPr>
        <w:tcBorders>
          <w:top w:val="single" w:sz="8" w:space="0" w:color="5AB9EB" w:themeColor="accent3"/>
          <w:bottom w:val="single" w:sz="8" w:space="0" w:color="5AB9EB" w:themeColor="accent3"/>
        </w:tcBorders>
      </w:tcPr>
    </w:tblStylePr>
    <w:tblStylePr w:type="band1Vert">
      <w:tblPr/>
      <w:tcPr>
        <w:shd w:val="clear" w:color="auto" w:fill="D5EDFA" w:themeFill="accent3" w:themeFillTint="3F"/>
      </w:tcPr>
    </w:tblStylePr>
    <w:tblStylePr w:type="band1Horz">
      <w:tblPr/>
      <w:tcPr>
        <w:shd w:val="clear" w:color="auto" w:fill="D5EDFA" w:themeFill="accent3" w:themeFillTint="3F"/>
      </w:tcPr>
    </w:tblStylePr>
  </w:style>
  <w:style w:type="table" w:styleId="MediumList1-Accent4">
    <w:name w:val="Medium List 1 Accent 4"/>
    <w:basedOn w:val="TableNormal"/>
    <w:uiPriority w:val="65"/>
    <w:semiHidden/>
    <w:rsid w:val="00086DB5"/>
    <w:pPr>
      <w:spacing w:before="0" w:after="0" w:line="240" w:lineRule="auto"/>
    </w:pPr>
    <w:rPr>
      <w:color w:val="000000" w:themeColor="text1"/>
    </w:rPr>
    <w:tblPr>
      <w:tblStyleRowBandSize w:val="1"/>
      <w:tblStyleColBandSize w:val="1"/>
      <w:tblBorders>
        <w:top w:val="single" w:sz="8" w:space="0" w:color="004C97" w:themeColor="accent4"/>
        <w:bottom w:val="single" w:sz="8" w:space="0" w:color="004C97" w:themeColor="accent4"/>
      </w:tblBorders>
    </w:tblPr>
    <w:tblStylePr w:type="firstRow">
      <w:rPr>
        <w:rFonts w:asciiTheme="majorHAnsi" w:eastAsiaTheme="majorEastAsia" w:hAnsiTheme="majorHAnsi" w:cstheme="majorBidi"/>
      </w:rPr>
      <w:tblPr/>
      <w:tcPr>
        <w:tcBorders>
          <w:top w:val="nil"/>
          <w:bottom w:val="single" w:sz="8" w:space="0" w:color="004C97" w:themeColor="accent4"/>
        </w:tcBorders>
      </w:tcPr>
    </w:tblStylePr>
    <w:tblStylePr w:type="lastRow">
      <w:rPr>
        <w:b/>
        <w:bCs/>
        <w:color w:val="007586" w:themeColor="text2"/>
      </w:rPr>
      <w:tblPr/>
      <w:tcPr>
        <w:tcBorders>
          <w:top w:val="single" w:sz="8" w:space="0" w:color="004C97" w:themeColor="accent4"/>
          <w:bottom w:val="single" w:sz="8" w:space="0" w:color="004C97" w:themeColor="accent4"/>
        </w:tcBorders>
      </w:tcPr>
    </w:tblStylePr>
    <w:tblStylePr w:type="firstCol">
      <w:rPr>
        <w:b/>
        <w:bCs/>
      </w:rPr>
    </w:tblStylePr>
    <w:tblStylePr w:type="lastCol">
      <w:rPr>
        <w:b/>
        <w:bCs/>
      </w:rPr>
      <w:tblPr/>
      <w:tcPr>
        <w:tcBorders>
          <w:top w:val="single" w:sz="8" w:space="0" w:color="004C97" w:themeColor="accent4"/>
          <w:bottom w:val="single" w:sz="8" w:space="0" w:color="004C97" w:themeColor="accent4"/>
        </w:tcBorders>
      </w:tcPr>
    </w:tblStylePr>
    <w:tblStylePr w:type="band1Vert">
      <w:tblPr/>
      <w:tcPr>
        <w:shd w:val="clear" w:color="auto" w:fill="A6D2FF" w:themeFill="accent4" w:themeFillTint="3F"/>
      </w:tcPr>
    </w:tblStylePr>
    <w:tblStylePr w:type="band1Horz">
      <w:tblPr/>
      <w:tcPr>
        <w:shd w:val="clear" w:color="auto" w:fill="A6D2FF" w:themeFill="accent4" w:themeFillTint="3F"/>
      </w:tcPr>
    </w:tblStylePr>
  </w:style>
  <w:style w:type="table" w:styleId="MediumList1-Accent5">
    <w:name w:val="Medium List 1 Accent 5"/>
    <w:basedOn w:val="TableNormal"/>
    <w:uiPriority w:val="65"/>
    <w:semiHidden/>
    <w:rsid w:val="00086DB5"/>
    <w:pPr>
      <w:spacing w:before="0" w:after="0" w:line="240" w:lineRule="auto"/>
    </w:pPr>
    <w:rPr>
      <w:color w:val="000000" w:themeColor="text1"/>
    </w:rPr>
    <w:tblPr>
      <w:tblStyleRowBandSize w:val="1"/>
      <w:tblStyleColBandSize w:val="1"/>
      <w:tblBorders>
        <w:top w:val="single" w:sz="8" w:space="0" w:color="5AAA64" w:themeColor="accent5"/>
        <w:bottom w:val="single" w:sz="8" w:space="0" w:color="5AAA64" w:themeColor="accent5"/>
      </w:tblBorders>
    </w:tblPr>
    <w:tblStylePr w:type="firstRow">
      <w:rPr>
        <w:rFonts w:asciiTheme="majorHAnsi" w:eastAsiaTheme="majorEastAsia" w:hAnsiTheme="majorHAnsi" w:cstheme="majorBidi"/>
      </w:rPr>
      <w:tblPr/>
      <w:tcPr>
        <w:tcBorders>
          <w:top w:val="nil"/>
          <w:bottom w:val="single" w:sz="8" w:space="0" w:color="5AAA64" w:themeColor="accent5"/>
        </w:tcBorders>
      </w:tcPr>
    </w:tblStylePr>
    <w:tblStylePr w:type="lastRow">
      <w:rPr>
        <w:b/>
        <w:bCs/>
        <w:color w:val="007586" w:themeColor="text2"/>
      </w:rPr>
      <w:tblPr/>
      <w:tcPr>
        <w:tcBorders>
          <w:top w:val="single" w:sz="8" w:space="0" w:color="5AAA64" w:themeColor="accent5"/>
          <w:bottom w:val="single" w:sz="8" w:space="0" w:color="5AAA64" w:themeColor="accent5"/>
        </w:tcBorders>
      </w:tcPr>
    </w:tblStylePr>
    <w:tblStylePr w:type="firstCol">
      <w:rPr>
        <w:b/>
        <w:bCs/>
      </w:rPr>
    </w:tblStylePr>
    <w:tblStylePr w:type="lastCol">
      <w:rPr>
        <w:b/>
        <w:bCs/>
      </w:rPr>
      <w:tblPr/>
      <w:tcPr>
        <w:tcBorders>
          <w:top w:val="single" w:sz="8" w:space="0" w:color="5AAA64" w:themeColor="accent5"/>
          <w:bottom w:val="single" w:sz="8" w:space="0" w:color="5AAA64" w:themeColor="accent5"/>
        </w:tcBorders>
      </w:tcPr>
    </w:tblStylePr>
    <w:tblStylePr w:type="band1Vert">
      <w:tblPr/>
      <w:tcPr>
        <w:shd w:val="clear" w:color="auto" w:fill="D6EAD8" w:themeFill="accent5" w:themeFillTint="3F"/>
      </w:tcPr>
    </w:tblStylePr>
    <w:tblStylePr w:type="band1Horz">
      <w:tblPr/>
      <w:tcPr>
        <w:shd w:val="clear" w:color="auto" w:fill="D6EAD8" w:themeFill="accent5" w:themeFillTint="3F"/>
      </w:tcPr>
    </w:tblStylePr>
  </w:style>
  <w:style w:type="table" w:styleId="MediumList1-Accent6">
    <w:name w:val="Medium List 1 Accent 6"/>
    <w:basedOn w:val="TableNormal"/>
    <w:uiPriority w:val="65"/>
    <w:semiHidden/>
    <w:rsid w:val="00086DB5"/>
    <w:pPr>
      <w:spacing w:before="0" w:after="0" w:line="240" w:lineRule="auto"/>
    </w:pPr>
    <w:rPr>
      <w:color w:val="000000" w:themeColor="text1"/>
    </w:rPr>
    <w:tblPr>
      <w:tblStyleRowBandSize w:val="1"/>
      <w:tblStyleColBandSize w:val="1"/>
      <w:tblBorders>
        <w:top w:val="single" w:sz="8" w:space="0" w:color="E6643C" w:themeColor="accent6"/>
        <w:bottom w:val="single" w:sz="8" w:space="0" w:color="E6643C" w:themeColor="accent6"/>
      </w:tblBorders>
    </w:tblPr>
    <w:tblStylePr w:type="firstRow">
      <w:rPr>
        <w:rFonts w:asciiTheme="majorHAnsi" w:eastAsiaTheme="majorEastAsia" w:hAnsiTheme="majorHAnsi" w:cstheme="majorBidi"/>
      </w:rPr>
      <w:tblPr/>
      <w:tcPr>
        <w:tcBorders>
          <w:top w:val="nil"/>
          <w:bottom w:val="single" w:sz="8" w:space="0" w:color="E6643C" w:themeColor="accent6"/>
        </w:tcBorders>
      </w:tcPr>
    </w:tblStylePr>
    <w:tblStylePr w:type="lastRow">
      <w:rPr>
        <w:b/>
        <w:bCs/>
        <w:color w:val="007586" w:themeColor="text2"/>
      </w:rPr>
      <w:tblPr/>
      <w:tcPr>
        <w:tcBorders>
          <w:top w:val="single" w:sz="8" w:space="0" w:color="E6643C" w:themeColor="accent6"/>
          <w:bottom w:val="single" w:sz="8" w:space="0" w:color="E6643C" w:themeColor="accent6"/>
        </w:tcBorders>
      </w:tcPr>
    </w:tblStylePr>
    <w:tblStylePr w:type="firstCol">
      <w:rPr>
        <w:b/>
        <w:bCs/>
      </w:rPr>
    </w:tblStylePr>
    <w:tblStylePr w:type="lastCol">
      <w:rPr>
        <w:b/>
        <w:bCs/>
      </w:rPr>
      <w:tblPr/>
      <w:tcPr>
        <w:tcBorders>
          <w:top w:val="single" w:sz="8" w:space="0" w:color="E6643C" w:themeColor="accent6"/>
          <w:bottom w:val="single" w:sz="8" w:space="0" w:color="E6643C" w:themeColor="accent6"/>
        </w:tcBorders>
      </w:tcPr>
    </w:tblStylePr>
    <w:tblStylePr w:type="band1Vert">
      <w:tblPr/>
      <w:tcPr>
        <w:shd w:val="clear" w:color="auto" w:fill="F8D8CE" w:themeFill="accent6" w:themeFillTint="3F"/>
      </w:tcPr>
    </w:tblStylePr>
    <w:tblStylePr w:type="band1Horz">
      <w:tblPr/>
      <w:tcPr>
        <w:shd w:val="clear" w:color="auto" w:fill="F8D8CE" w:themeFill="accent6" w:themeFillTint="3F"/>
      </w:tcPr>
    </w:tblStylePr>
  </w:style>
  <w:style w:type="table" w:styleId="MediumList2">
    <w:name w:val="Medium List 2"/>
    <w:basedOn w:val="TableNormal"/>
    <w:uiPriority w:val="66"/>
    <w:semiHidden/>
    <w:rsid w:val="00086DB5"/>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086DB5"/>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B242A" w:themeColor="accent1"/>
        <w:left w:val="single" w:sz="8" w:space="0" w:color="1B242A" w:themeColor="accent1"/>
        <w:bottom w:val="single" w:sz="8" w:space="0" w:color="1B242A" w:themeColor="accent1"/>
        <w:right w:val="single" w:sz="8" w:space="0" w:color="1B242A" w:themeColor="accent1"/>
      </w:tblBorders>
    </w:tblPr>
    <w:tblStylePr w:type="firstRow">
      <w:rPr>
        <w:sz w:val="24"/>
        <w:szCs w:val="24"/>
      </w:rPr>
      <w:tblPr/>
      <w:tcPr>
        <w:tcBorders>
          <w:top w:val="nil"/>
          <w:left w:val="nil"/>
          <w:bottom w:val="single" w:sz="24" w:space="0" w:color="1B242A" w:themeColor="accent1"/>
          <w:right w:val="nil"/>
          <w:insideH w:val="nil"/>
          <w:insideV w:val="nil"/>
        </w:tcBorders>
        <w:shd w:val="clear" w:color="auto" w:fill="FFFFFF" w:themeFill="background1"/>
      </w:tcPr>
    </w:tblStylePr>
    <w:tblStylePr w:type="lastRow">
      <w:tblPr/>
      <w:tcPr>
        <w:tcBorders>
          <w:top w:val="single" w:sz="8" w:space="0" w:color="1B242A"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B242A" w:themeColor="accent1"/>
          <w:insideH w:val="nil"/>
          <w:insideV w:val="nil"/>
        </w:tcBorders>
        <w:shd w:val="clear" w:color="auto" w:fill="FFFFFF" w:themeFill="background1"/>
      </w:tcPr>
    </w:tblStylePr>
    <w:tblStylePr w:type="lastCol">
      <w:tblPr/>
      <w:tcPr>
        <w:tcBorders>
          <w:top w:val="nil"/>
          <w:left w:val="single" w:sz="8" w:space="0" w:color="1B242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CCAD4" w:themeFill="accent1" w:themeFillTint="3F"/>
      </w:tcPr>
    </w:tblStylePr>
    <w:tblStylePr w:type="band1Horz">
      <w:tblPr/>
      <w:tcPr>
        <w:tcBorders>
          <w:top w:val="nil"/>
          <w:bottom w:val="nil"/>
          <w:insideH w:val="nil"/>
          <w:insideV w:val="nil"/>
        </w:tcBorders>
        <w:shd w:val="clear" w:color="auto" w:fill="BCCAD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086DB5"/>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7586" w:themeColor="accent2"/>
        <w:left w:val="single" w:sz="8" w:space="0" w:color="007586" w:themeColor="accent2"/>
        <w:bottom w:val="single" w:sz="8" w:space="0" w:color="007586" w:themeColor="accent2"/>
        <w:right w:val="single" w:sz="8" w:space="0" w:color="007586" w:themeColor="accent2"/>
      </w:tblBorders>
    </w:tblPr>
    <w:tblStylePr w:type="firstRow">
      <w:rPr>
        <w:sz w:val="24"/>
        <w:szCs w:val="24"/>
      </w:rPr>
      <w:tblPr/>
      <w:tcPr>
        <w:tcBorders>
          <w:top w:val="nil"/>
          <w:left w:val="nil"/>
          <w:bottom w:val="single" w:sz="24" w:space="0" w:color="007586" w:themeColor="accent2"/>
          <w:right w:val="nil"/>
          <w:insideH w:val="nil"/>
          <w:insideV w:val="nil"/>
        </w:tcBorders>
        <w:shd w:val="clear" w:color="auto" w:fill="FFFFFF" w:themeFill="background1"/>
      </w:tcPr>
    </w:tblStylePr>
    <w:tblStylePr w:type="lastRow">
      <w:tblPr/>
      <w:tcPr>
        <w:tcBorders>
          <w:top w:val="single" w:sz="8" w:space="0" w:color="007586"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586" w:themeColor="accent2"/>
          <w:insideH w:val="nil"/>
          <w:insideV w:val="nil"/>
        </w:tcBorders>
        <w:shd w:val="clear" w:color="auto" w:fill="FFFFFF" w:themeFill="background1"/>
      </w:tcPr>
    </w:tblStylePr>
    <w:tblStylePr w:type="lastCol">
      <w:tblPr/>
      <w:tcPr>
        <w:tcBorders>
          <w:top w:val="nil"/>
          <w:left w:val="single" w:sz="8" w:space="0" w:color="007586"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2F2FF" w:themeFill="accent2" w:themeFillTint="3F"/>
      </w:tcPr>
    </w:tblStylePr>
    <w:tblStylePr w:type="band1Horz">
      <w:tblPr/>
      <w:tcPr>
        <w:tcBorders>
          <w:top w:val="nil"/>
          <w:bottom w:val="nil"/>
          <w:insideH w:val="nil"/>
          <w:insideV w:val="nil"/>
        </w:tcBorders>
        <w:shd w:val="clear" w:color="auto" w:fill="A2F2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086DB5"/>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AB9EB" w:themeColor="accent3"/>
        <w:left w:val="single" w:sz="8" w:space="0" w:color="5AB9EB" w:themeColor="accent3"/>
        <w:bottom w:val="single" w:sz="8" w:space="0" w:color="5AB9EB" w:themeColor="accent3"/>
        <w:right w:val="single" w:sz="8" w:space="0" w:color="5AB9EB" w:themeColor="accent3"/>
      </w:tblBorders>
    </w:tblPr>
    <w:tblStylePr w:type="firstRow">
      <w:rPr>
        <w:sz w:val="24"/>
        <w:szCs w:val="24"/>
      </w:rPr>
      <w:tblPr/>
      <w:tcPr>
        <w:tcBorders>
          <w:top w:val="nil"/>
          <w:left w:val="nil"/>
          <w:bottom w:val="single" w:sz="24" w:space="0" w:color="5AB9EB" w:themeColor="accent3"/>
          <w:right w:val="nil"/>
          <w:insideH w:val="nil"/>
          <w:insideV w:val="nil"/>
        </w:tcBorders>
        <w:shd w:val="clear" w:color="auto" w:fill="FFFFFF" w:themeFill="background1"/>
      </w:tcPr>
    </w:tblStylePr>
    <w:tblStylePr w:type="lastRow">
      <w:tblPr/>
      <w:tcPr>
        <w:tcBorders>
          <w:top w:val="single" w:sz="8" w:space="0" w:color="5AB9EB"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AB9EB" w:themeColor="accent3"/>
          <w:insideH w:val="nil"/>
          <w:insideV w:val="nil"/>
        </w:tcBorders>
        <w:shd w:val="clear" w:color="auto" w:fill="FFFFFF" w:themeFill="background1"/>
      </w:tcPr>
    </w:tblStylePr>
    <w:tblStylePr w:type="lastCol">
      <w:tblPr/>
      <w:tcPr>
        <w:tcBorders>
          <w:top w:val="nil"/>
          <w:left w:val="single" w:sz="8" w:space="0" w:color="5AB9EB"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EDFA" w:themeFill="accent3" w:themeFillTint="3F"/>
      </w:tcPr>
    </w:tblStylePr>
    <w:tblStylePr w:type="band1Horz">
      <w:tblPr/>
      <w:tcPr>
        <w:tcBorders>
          <w:top w:val="nil"/>
          <w:bottom w:val="nil"/>
          <w:insideH w:val="nil"/>
          <w:insideV w:val="nil"/>
        </w:tcBorders>
        <w:shd w:val="clear" w:color="auto" w:fill="D5ED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086DB5"/>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4C97" w:themeColor="accent4"/>
        <w:left w:val="single" w:sz="8" w:space="0" w:color="004C97" w:themeColor="accent4"/>
        <w:bottom w:val="single" w:sz="8" w:space="0" w:color="004C97" w:themeColor="accent4"/>
        <w:right w:val="single" w:sz="8" w:space="0" w:color="004C97" w:themeColor="accent4"/>
      </w:tblBorders>
    </w:tblPr>
    <w:tblStylePr w:type="firstRow">
      <w:rPr>
        <w:sz w:val="24"/>
        <w:szCs w:val="24"/>
      </w:rPr>
      <w:tblPr/>
      <w:tcPr>
        <w:tcBorders>
          <w:top w:val="nil"/>
          <w:left w:val="nil"/>
          <w:bottom w:val="single" w:sz="24" w:space="0" w:color="004C97" w:themeColor="accent4"/>
          <w:right w:val="nil"/>
          <w:insideH w:val="nil"/>
          <w:insideV w:val="nil"/>
        </w:tcBorders>
        <w:shd w:val="clear" w:color="auto" w:fill="FFFFFF" w:themeFill="background1"/>
      </w:tcPr>
    </w:tblStylePr>
    <w:tblStylePr w:type="lastRow">
      <w:tblPr/>
      <w:tcPr>
        <w:tcBorders>
          <w:top w:val="single" w:sz="8" w:space="0" w:color="004C9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4"/>
          <w:insideH w:val="nil"/>
          <w:insideV w:val="nil"/>
        </w:tcBorders>
        <w:shd w:val="clear" w:color="auto" w:fill="FFFFFF" w:themeFill="background1"/>
      </w:tcPr>
    </w:tblStylePr>
    <w:tblStylePr w:type="lastCol">
      <w:tblPr/>
      <w:tcPr>
        <w:tcBorders>
          <w:top w:val="nil"/>
          <w:left w:val="single" w:sz="8" w:space="0" w:color="004C9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4" w:themeFillTint="3F"/>
      </w:tcPr>
    </w:tblStylePr>
    <w:tblStylePr w:type="band1Horz">
      <w:tblPr/>
      <w:tcPr>
        <w:tcBorders>
          <w:top w:val="nil"/>
          <w:bottom w:val="nil"/>
          <w:insideH w:val="nil"/>
          <w:insideV w:val="nil"/>
        </w:tcBorders>
        <w:shd w:val="clear" w:color="auto" w:fill="A6D2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086DB5"/>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AAA64" w:themeColor="accent5"/>
        <w:left w:val="single" w:sz="8" w:space="0" w:color="5AAA64" w:themeColor="accent5"/>
        <w:bottom w:val="single" w:sz="8" w:space="0" w:color="5AAA64" w:themeColor="accent5"/>
        <w:right w:val="single" w:sz="8" w:space="0" w:color="5AAA64" w:themeColor="accent5"/>
      </w:tblBorders>
    </w:tblPr>
    <w:tblStylePr w:type="firstRow">
      <w:rPr>
        <w:sz w:val="24"/>
        <w:szCs w:val="24"/>
      </w:rPr>
      <w:tblPr/>
      <w:tcPr>
        <w:tcBorders>
          <w:top w:val="nil"/>
          <w:left w:val="nil"/>
          <w:bottom w:val="single" w:sz="24" w:space="0" w:color="5AAA64" w:themeColor="accent5"/>
          <w:right w:val="nil"/>
          <w:insideH w:val="nil"/>
          <w:insideV w:val="nil"/>
        </w:tcBorders>
        <w:shd w:val="clear" w:color="auto" w:fill="FFFFFF" w:themeFill="background1"/>
      </w:tcPr>
    </w:tblStylePr>
    <w:tblStylePr w:type="lastRow">
      <w:tblPr/>
      <w:tcPr>
        <w:tcBorders>
          <w:top w:val="single" w:sz="8" w:space="0" w:color="5AAA6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AAA64" w:themeColor="accent5"/>
          <w:insideH w:val="nil"/>
          <w:insideV w:val="nil"/>
        </w:tcBorders>
        <w:shd w:val="clear" w:color="auto" w:fill="FFFFFF" w:themeFill="background1"/>
      </w:tcPr>
    </w:tblStylePr>
    <w:tblStylePr w:type="lastCol">
      <w:tblPr/>
      <w:tcPr>
        <w:tcBorders>
          <w:top w:val="nil"/>
          <w:left w:val="single" w:sz="8" w:space="0" w:color="5AAA6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AD8" w:themeFill="accent5" w:themeFillTint="3F"/>
      </w:tcPr>
    </w:tblStylePr>
    <w:tblStylePr w:type="band1Horz">
      <w:tblPr/>
      <w:tcPr>
        <w:tcBorders>
          <w:top w:val="nil"/>
          <w:bottom w:val="nil"/>
          <w:insideH w:val="nil"/>
          <w:insideV w:val="nil"/>
        </w:tcBorders>
        <w:shd w:val="clear" w:color="auto" w:fill="D6EAD8"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086DB5"/>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6643C" w:themeColor="accent6"/>
        <w:left w:val="single" w:sz="8" w:space="0" w:color="E6643C" w:themeColor="accent6"/>
        <w:bottom w:val="single" w:sz="8" w:space="0" w:color="E6643C" w:themeColor="accent6"/>
        <w:right w:val="single" w:sz="8" w:space="0" w:color="E6643C" w:themeColor="accent6"/>
      </w:tblBorders>
    </w:tblPr>
    <w:tblStylePr w:type="firstRow">
      <w:rPr>
        <w:sz w:val="24"/>
        <w:szCs w:val="24"/>
      </w:rPr>
      <w:tblPr/>
      <w:tcPr>
        <w:tcBorders>
          <w:top w:val="nil"/>
          <w:left w:val="nil"/>
          <w:bottom w:val="single" w:sz="24" w:space="0" w:color="E6643C" w:themeColor="accent6"/>
          <w:right w:val="nil"/>
          <w:insideH w:val="nil"/>
          <w:insideV w:val="nil"/>
        </w:tcBorders>
        <w:shd w:val="clear" w:color="auto" w:fill="FFFFFF" w:themeFill="background1"/>
      </w:tcPr>
    </w:tblStylePr>
    <w:tblStylePr w:type="lastRow">
      <w:tblPr/>
      <w:tcPr>
        <w:tcBorders>
          <w:top w:val="single" w:sz="8" w:space="0" w:color="E6643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6643C" w:themeColor="accent6"/>
          <w:insideH w:val="nil"/>
          <w:insideV w:val="nil"/>
        </w:tcBorders>
        <w:shd w:val="clear" w:color="auto" w:fill="FFFFFF" w:themeFill="background1"/>
      </w:tcPr>
    </w:tblStylePr>
    <w:tblStylePr w:type="lastCol">
      <w:tblPr/>
      <w:tcPr>
        <w:tcBorders>
          <w:top w:val="nil"/>
          <w:left w:val="single" w:sz="8" w:space="0" w:color="E6643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D8CE" w:themeFill="accent6" w:themeFillTint="3F"/>
      </w:tcPr>
    </w:tblStylePr>
    <w:tblStylePr w:type="band1Horz">
      <w:tblPr/>
      <w:tcPr>
        <w:tcBorders>
          <w:top w:val="nil"/>
          <w:bottom w:val="nil"/>
          <w:insideH w:val="nil"/>
          <w:insideV w:val="nil"/>
        </w:tcBorders>
        <w:shd w:val="clear" w:color="auto" w:fill="F8D8CE"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086DB5"/>
    <w:pPr>
      <w:spacing w:before="0"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086DB5"/>
    <w:pPr>
      <w:spacing w:before="0" w:after="0" w:line="240" w:lineRule="auto"/>
    </w:pPr>
    <w:tblPr>
      <w:tblStyleRowBandSize w:val="1"/>
      <w:tblStyleColBandSize w:val="1"/>
      <w:tblBorders>
        <w:top w:val="single" w:sz="8" w:space="0" w:color="465D6D" w:themeColor="accent1" w:themeTint="BF"/>
        <w:left w:val="single" w:sz="8" w:space="0" w:color="465D6D" w:themeColor="accent1" w:themeTint="BF"/>
        <w:bottom w:val="single" w:sz="8" w:space="0" w:color="465D6D" w:themeColor="accent1" w:themeTint="BF"/>
        <w:right w:val="single" w:sz="8" w:space="0" w:color="465D6D" w:themeColor="accent1" w:themeTint="BF"/>
        <w:insideH w:val="single" w:sz="8" w:space="0" w:color="465D6D" w:themeColor="accent1" w:themeTint="BF"/>
      </w:tblBorders>
    </w:tblPr>
    <w:tblStylePr w:type="firstRow">
      <w:pPr>
        <w:spacing w:before="0" w:after="0" w:line="240" w:lineRule="auto"/>
      </w:pPr>
      <w:rPr>
        <w:b/>
        <w:bCs/>
        <w:color w:val="FFFFFF" w:themeColor="background1"/>
      </w:rPr>
      <w:tblPr/>
      <w:tcPr>
        <w:tcBorders>
          <w:top w:val="single" w:sz="8" w:space="0" w:color="465D6D" w:themeColor="accent1" w:themeTint="BF"/>
          <w:left w:val="single" w:sz="8" w:space="0" w:color="465D6D" w:themeColor="accent1" w:themeTint="BF"/>
          <w:bottom w:val="single" w:sz="8" w:space="0" w:color="465D6D" w:themeColor="accent1" w:themeTint="BF"/>
          <w:right w:val="single" w:sz="8" w:space="0" w:color="465D6D" w:themeColor="accent1" w:themeTint="BF"/>
          <w:insideH w:val="nil"/>
          <w:insideV w:val="nil"/>
        </w:tcBorders>
        <w:shd w:val="clear" w:color="auto" w:fill="1B242A" w:themeFill="accent1"/>
      </w:tcPr>
    </w:tblStylePr>
    <w:tblStylePr w:type="lastRow">
      <w:pPr>
        <w:spacing w:before="0" w:after="0" w:line="240" w:lineRule="auto"/>
      </w:pPr>
      <w:rPr>
        <w:b/>
        <w:bCs/>
      </w:rPr>
      <w:tblPr/>
      <w:tcPr>
        <w:tcBorders>
          <w:top w:val="double" w:sz="6" w:space="0" w:color="465D6D" w:themeColor="accent1" w:themeTint="BF"/>
          <w:left w:val="single" w:sz="8" w:space="0" w:color="465D6D" w:themeColor="accent1" w:themeTint="BF"/>
          <w:bottom w:val="single" w:sz="8" w:space="0" w:color="465D6D" w:themeColor="accent1" w:themeTint="BF"/>
          <w:right w:val="single" w:sz="8" w:space="0" w:color="465D6D" w:themeColor="accent1" w:themeTint="BF"/>
          <w:insideH w:val="nil"/>
          <w:insideV w:val="nil"/>
        </w:tcBorders>
      </w:tcPr>
    </w:tblStylePr>
    <w:tblStylePr w:type="firstCol">
      <w:rPr>
        <w:b/>
        <w:bCs/>
      </w:rPr>
    </w:tblStylePr>
    <w:tblStylePr w:type="lastCol">
      <w:rPr>
        <w:b/>
        <w:bCs/>
      </w:rPr>
    </w:tblStylePr>
    <w:tblStylePr w:type="band1Vert">
      <w:tblPr/>
      <w:tcPr>
        <w:shd w:val="clear" w:color="auto" w:fill="BCCAD4" w:themeFill="accent1" w:themeFillTint="3F"/>
      </w:tcPr>
    </w:tblStylePr>
    <w:tblStylePr w:type="band1Horz">
      <w:tblPr/>
      <w:tcPr>
        <w:tcBorders>
          <w:insideH w:val="nil"/>
          <w:insideV w:val="nil"/>
        </w:tcBorders>
        <w:shd w:val="clear" w:color="auto" w:fill="BCCAD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086DB5"/>
    <w:pPr>
      <w:spacing w:before="0" w:after="0" w:line="240" w:lineRule="auto"/>
    </w:pPr>
    <w:tblPr>
      <w:tblStyleRowBandSize w:val="1"/>
      <w:tblStyleColBandSize w:val="1"/>
      <w:tblBorders>
        <w:top w:val="single" w:sz="8" w:space="0" w:color="00C6E4" w:themeColor="accent2" w:themeTint="BF"/>
        <w:left w:val="single" w:sz="8" w:space="0" w:color="00C6E4" w:themeColor="accent2" w:themeTint="BF"/>
        <w:bottom w:val="single" w:sz="8" w:space="0" w:color="00C6E4" w:themeColor="accent2" w:themeTint="BF"/>
        <w:right w:val="single" w:sz="8" w:space="0" w:color="00C6E4" w:themeColor="accent2" w:themeTint="BF"/>
        <w:insideH w:val="single" w:sz="8" w:space="0" w:color="00C6E4" w:themeColor="accent2" w:themeTint="BF"/>
      </w:tblBorders>
    </w:tblPr>
    <w:tblStylePr w:type="firstRow">
      <w:pPr>
        <w:spacing w:before="0" w:after="0" w:line="240" w:lineRule="auto"/>
      </w:pPr>
      <w:rPr>
        <w:b/>
        <w:bCs/>
        <w:color w:val="FFFFFF" w:themeColor="background1"/>
      </w:rPr>
      <w:tblPr/>
      <w:tcPr>
        <w:tcBorders>
          <w:top w:val="single" w:sz="8" w:space="0" w:color="00C6E4" w:themeColor="accent2" w:themeTint="BF"/>
          <w:left w:val="single" w:sz="8" w:space="0" w:color="00C6E4" w:themeColor="accent2" w:themeTint="BF"/>
          <w:bottom w:val="single" w:sz="8" w:space="0" w:color="00C6E4" w:themeColor="accent2" w:themeTint="BF"/>
          <w:right w:val="single" w:sz="8" w:space="0" w:color="00C6E4" w:themeColor="accent2" w:themeTint="BF"/>
          <w:insideH w:val="nil"/>
          <w:insideV w:val="nil"/>
        </w:tcBorders>
        <w:shd w:val="clear" w:color="auto" w:fill="007586" w:themeFill="accent2"/>
      </w:tcPr>
    </w:tblStylePr>
    <w:tblStylePr w:type="lastRow">
      <w:pPr>
        <w:spacing w:before="0" w:after="0" w:line="240" w:lineRule="auto"/>
      </w:pPr>
      <w:rPr>
        <w:b/>
        <w:bCs/>
      </w:rPr>
      <w:tblPr/>
      <w:tcPr>
        <w:tcBorders>
          <w:top w:val="double" w:sz="6" w:space="0" w:color="00C6E4" w:themeColor="accent2" w:themeTint="BF"/>
          <w:left w:val="single" w:sz="8" w:space="0" w:color="00C6E4" w:themeColor="accent2" w:themeTint="BF"/>
          <w:bottom w:val="single" w:sz="8" w:space="0" w:color="00C6E4" w:themeColor="accent2" w:themeTint="BF"/>
          <w:right w:val="single" w:sz="8" w:space="0" w:color="00C6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A2F2FF" w:themeFill="accent2" w:themeFillTint="3F"/>
      </w:tcPr>
    </w:tblStylePr>
    <w:tblStylePr w:type="band1Horz">
      <w:tblPr/>
      <w:tcPr>
        <w:tcBorders>
          <w:insideH w:val="nil"/>
          <w:insideV w:val="nil"/>
        </w:tcBorders>
        <w:shd w:val="clear" w:color="auto" w:fill="A2F2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086DB5"/>
    <w:pPr>
      <w:spacing w:before="0" w:after="0" w:line="240" w:lineRule="auto"/>
    </w:pPr>
    <w:tblPr>
      <w:tblStyleRowBandSize w:val="1"/>
      <w:tblStyleColBandSize w:val="1"/>
      <w:tblBorders>
        <w:top w:val="single" w:sz="8" w:space="0" w:color="83CAF0" w:themeColor="accent3" w:themeTint="BF"/>
        <w:left w:val="single" w:sz="8" w:space="0" w:color="83CAF0" w:themeColor="accent3" w:themeTint="BF"/>
        <w:bottom w:val="single" w:sz="8" w:space="0" w:color="83CAF0" w:themeColor="accent3" w:themeTint="BF"/>
        <w:right w:val="single" w:sz="8" w:space="0" w:color="83CAF0" w:themeColor="accent3" w:themeTint="BF"/>
        <w:insideH w:val="single" w:sz="8" w:space="0" w:color="83CAF0" w:themeColor="accent3" w:themeTint="BF"/>
      </w:tblBorders>
    </w:tblPr>
    <w:tblStylePr w:type="firstRow">
      <w:pPr>
        <w:spacing w:before="0" w:after="0" w:line="240" w:lineRule="auto"/>
      </w:pPr>
      <w:rPr>
        <w:b/>
        <w:bCs/>
        <w:color w:val="FFFFFF" w:themeColor="background1"/>
      </w:rPr>
      <w:tblPr/>
      <w:tcPr>
        <w:tcBorders>
          <w:top w:val="single" w:sz="8" w:space="0" w:color="83CAF0" w:themeColor="accent3" w:themeTint="BF"/>
          <w:left w:val="single" w:sz="8" w:space="0" w:color="83CAF0" w:themeColor="accent3" w:themeTint="BF"/>
          <w:bottom w:val="single" w:sz="8" w:space="0" w:color="83CAF0" w:themeColor="accent3" w:themeTint="BF"/>
          <w:right w:val="single" w:sz="8" w:space="0" w:color="83CAF0" w:themeColor="accent3" w:themeTint="BF"/>
          <w:insideH w:val="nil"/>
          <w:insideV w:val="nil"/>
        </w:tcBorders>
        <w:shd w:val="clear" w:color="auto" w:fill="5AB9EB" w:themeFill="accent3"/>
      </w:tcPr>
    </w:tblStylePr>
    <w:tblStylePr w:type="lastRow">
      <w:pPr>
        <w:spacing w:before="0" w:after="0" w:line="240" w:lineRule="auto"/>
      </w:pPr>
      <w:rPr>
        <w:b/>
        <w:bCs/>
      </w:rPr>
      <w:tblPr/>
      <w:tcPr>
        <w:tcBorders>
          <w:top w:val="double" w:sz="6" w:space="0" w:color="83CAF0" w:themeColor="accent3" w:themeTint="BF"/>
          <w:left w:val="single" w:sz="8" w:space="0" w:color="83CAF0" w:themeColor="accent3" w:themeTint="BF"/>
          <w:bottom w:val="single" w:sz="8" w:space="0" w:color="83CAF0" w:themeColor="accent3" w:themeTint="BF"/>
          <w:right w:val="single" w:sz="8" w:space="0" w:color="83CAF0"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EDFA" w:themeFill="accent3" w:themeFillTint="3F"/>
      </w:tcPr>
    </w:tblStylePr>
    <w:tblStylePr w:type="band1Horz">
      <w:tblPr/>
      <w:tcPr>
        <w:tcBorders>
          <w:insideH w:val="nil"/>
          <w:insideV w:val="nil"/>
        </w:tcBorders>
        <w:shd w:val="clear" w:color="auto" w:fill="D5ED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086DB5"/>
    <w:pPr>
      <w:spacing w:before="0" w:after="0" w:line="240" w:lineRule="auto"/>
    </w:pPr>
    <w:tblPr>
      <w:tblStyleRowBandSize w:val="1"/>
      <w:tblStyleColBandSize w:val="1"/>
      <w:tblBorders>
        <w:top w:val="single" w:sz="8" w:space="0" w:color="0078F1" w:themeColor="accent4" w:themeTint="BF"/>
        <w:left w:val="single" w:sz="8" w:space="0" w:color="0078F1" w:themeColor="accent4" w:themeTint="BF"/>
        <w:bottom w:val="single" w:sz="8" w:space="0" w:color="0078F1" w:themeColor="accent4" w:themeTint="BF"/>
        <w:right w:val="single" w:sz="8" w:space="0" w:color="0078F1" w:themeColor="accent4" w:themeTint="BF"/>
        <w:insideH w:val="single" w:sz="8" w:space="0" w:color="0078F1" w:themeColor="accent4" w:themeTint="BF"/>
      </w:tblBorders>
    </w:tblPr>
    <w:tblStylePr w:type="firstRow">
      <w:pPr>
        <w:spacing w:before="0" w:after="0" w:line="240" w:lineRule="auto"/>
      </w:pPr>
      <w:rPr>
        <w:b/>
        <w:bCs/>
        <w:color w:val="FFFFFF" w:themeColor="background1"/>
      </w:rPr>
      <w:tblPr/>
      <w:tcPr>
        <w:tcBorders>
          <w:top w:val="single" w:sz="8" w:space="0" w:color="0078F1" w:themeColor="accent4" w:themeTint="BF"/>
          <w:left w:val="single" w:sz="8" w:space="0" w:color="0078F1" w:themeColor="accent4" w:themeTint="BF"/>
          <w:bottom w:val="single" w:sz="8" w:space="0" w:color="0078F1" w:themeColor="accent4" w:themeTint="BF"/>
          <w:right w:val="single" w:sz="8" w:space="0" w:color="0078F1" w:themeColor="accent4" w:themeTint="BF"/>
          <w:insideH w:val="nil"/>
          <w:insideV w:val="nil"/>
        </w:tcBorders>
        <w:shd w:val="clear" w:color="auto" w:fill="004C97" w:themeFill="accent4"/>
      </w:tcPr>
    </w:tblStylePr>
    <w:tblStylePr w:type="lastRow">
      <w:pPr>
        <w:spacing w:before="0" w:after="0" w:line="240" w:lineRule="auto"/>
      </w:pPr>
      <w:rPr>
        <w:b/>
        <w:bCs/>
      </w:rPr>
      <w:tblPr/>
      <w:tcPr>
        <w:tcBorders>
          <w:top w:val="double" w:sz="6" w:space="0" w:color="0078F1" w:themeColor="accent4" w:themeTint="BF"/>
          <w:left w:val="single" w:sz="8" w:space="0" w:color="0078F1" w:themeColor="accent4" w:themeTint="BF"/>
          <w:bottom w:val="single" w:sz="8" w:space="0" w:color="0078F1" w:themeColor="accent4" w:themeTint="BF"/>
          <w:right w:val="single" w:sz="8" w:space="0" w:color="0078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4" w:themeFillTint="3F"/>
      </w:tcPr>
    </w:tblStylePr>
    <w:tblStylePr w:type="band1Horz">
      <w:tblPr/>
      <w:tcPr>
        <w:tcBorders>
          <w:insideH w:val="nil"/>
          <w:insideV w:val="nil"/>
        </w:tcBorders>
        <w:shd w:val="clear" w:color="auto" w:fill="A6D2F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086DB5"/>
    <w:pPr>
      <w:spacing w:before="0" w:after="0" w:line="240" w:lineRule="auto"/>
    </w:pPr>
    <w:tblPr>
      <w:tblStyleRowBandSize w:val="1"/>
      <w:tblStyleColBandSize w:val="1"/>
      <w:tblBorders>
        <w:top w:val="single" w:sz="8" w:space="0" w:color="83BF8A" w:themeColor="accent5" w:themeTint="BF"/>
        <w:left w:val="single" w:sz="8" w:space="0" w:color="83BF8A" w:themeColor="accent5" w:themeTint="BF"/>
        <w:bottom w:val="single" w:sz="8" w:space="0" w:color="83BF8A" w:themeColor="accent5" w:themeTint="BF"/>
        <w:right w:val="single" w:sz="8" w:space="0" w:color="83BF8A" w:themeColor="accent5" w:themeTint="BF"/>
        <w:insideH w:val="single" w:sz="8" w:space="0" w:color="83BF8A" w:themeColor="accent5" w:themeTint="BF"/>
      </w:tblBorders>
    </w:tblPr>
    <w:tblStylePr w:type="firstRow">
      <w:pPr>
        <w:spacing w:before="0" w:after="0" w:line="240" w:lineRule="auto"/>
      </w:pPr>
      <w:rPr>
        <w:b/>
        <w:bCs/>
        <w:color w:val="FFFFFF" w:themeColor="background1"/>
      </w:rPr>
      <w:tblPr/>
      <w:tcPr>
        <w:tcBorders>
          <w:top w:val="single" w:sz="8" w:space="0" w:color="83BF8A" w:themeColor="accent5" w:themeTint="BF"/>
          <w:left w:val="single" w:sz="8" w:space="0" w:color="83BF8A" w:themeColor="accent5" w:themeTint="BF"/>
          <w:bottom w:val="single" w:sz="8" w:space="0" w:color="83BF8A" w:themeColor="accent5" w:themeTint="BF"/>
          <w:right w:val="single" w:sz="8" w:space="0" w:color="83BF8A" w:themeColor="accent5" w:themeTint="BF"/>
          <w:insideH w:val="nil"/>
          <w:insideV w:val="nil"/>
        </w:tcBorders>
        <w:shd w:val="clear" w:color="auto" w:fill="5AAA64" w:themeFill="accent5"/>
      </w:tcPr>
    </w:tblStylePr>
    <w:tblStylePr w:type="lastRow">
      <w:pPr>
        <w:spacing w:before="0" w:after="0" w:line="240" w:lineRule="auto"/>
      </w:pPr>
      <w:rPr>
        <w:b/>
        <w:bCs/>
      </w:rPr>
      <w:tblPr/>
      <w:tcPr>
        <w:tcBorders>
          <w:top w:val="double" w:sz="6" w:space="0" w:color="83BF8A" w:themeColor="accent5" w:themeTint="BF"/>
          <w:left w:val="single" w:sz="8" w:space="0" w:color="83BF8A" w:themeColor="accent5" w:themeTint="BF"/>
          <w:bottom w:val="single" w:sz="8" w:space="0" w:color="83BF8A" w:themeColor="accent5" w:themeTint="BF"/>
          <w:right w:val="single" w:sz="8" w:space="0" w:color="83BF8A"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AD8" w:themeFill="accent5" w:themeFillTint="3F"/>
      </w:tcPr>
    </w:tblStylePr>
    <w:tblStylePr w:type="band1Horz">
      <w:tblPr/>
      <w:tcPr>
        <w:tcBorders>
          <w:insideH w:val="nil"/>
          <w:insideV w:val="nil"/>
        </w:tcBorders>
        <w:shd w:val="clear" w:color="auto" w:fill="D6EAD8"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086DB5"/>
    <w:pPr>
      <w:spacing w:before="0" w:after="0" w:line="240" w:lineRule="auto"/>
    </w:pPr>
    <w:tblPr>
      <w:tblStyleRowBandSize w:val="1"/>
      <w:tblStyleColBandSize w:val="1"/>
      <w:tblBorders>
        <w:top w:val="single" w:sz="8" w:space="0" w:color="EC8A6C" w:themeColor="accent6" w:themeTint="BF"/>
        <w:left w:val="single" w:sz="8" w:space="0" w:color="EC8A6C" w:themeColor="accent6" w:themeTint="BF"/>
        <w:bottom w:val="single" w:sz="8" w:space="0" w:color="EC8A6C" w:themeColor="accent6" w:themeTint="BF"/>
        <w:right w:val="single" w:sz="8" w:space="0" w:color="EC8A6C" w:themeColor="accent6" w:themeTint="BF"/>
        <w:insideH w:val="single" w:sz="8" w:space="0" w:color="EC8A6C" w:themeColor="accent6" w:themeTint="BF"/>
      </w:tblBorders>
    </w:tblPr>
    <w:tblStylePr w:type="firstRow">
      <w:pPr>
        <w:spacing w:before="0" w:after="0" w:line="240" w:lineRule="auto"/>
      </w:pPr>
      <w:rPr>
        <w:b/>
        <w:bCs/>
        <w:color w:val="FFFFFF" w:themeColor="background1"/>
      </w:rPr>
      <w:tblPr/>
      <w:tcPr>
        <w:tcBorders>
          <w:top w:val="single" w:sz="8" w:space="0" w:color="EC8A6C" w:themeColor="accent6" w:themeTint="BF"/>
          <w:left w:val="single" w:sz="8" w:space="0" w:color="EC8A6C" w:themeColor="accent6" w:themeTint="BF"/>
          <w:bottom w:val="single" w:sz="8" w:space="0" w:color="EC8A6C" w:themeColor="accent6" w:themeTint="BF"/>
          <w:right w:val="single" w:sz="8" w:space="0" w:color="EC8A6C" w:themeColor="accent6" w:themeTint="BF"/>
          <w:insideH w:val="nil"/>
          <w:insideV w:val="nil"/>
        </w:tcBorders>
        <w:shd w:val="clear" w:color="auto" w:fill="E6643C" w:themeFill="accent6"/>
      </w:tcPr>
    </w:tblStylePr>
    <w:tblStylePr w:type="lastRow">
      <w:pPr>
        <w:spacing w:before="0" w:after="0" w:line="240" w:lineRule="auto"/>
      </w:pPr>
      <w:rPr>
        <w:b/>
        <w:bCs/>
      </w:rPr>
      <w:tblPr/>
      <w:tcPr>
        <w:tcBorders>
          <w:top w:val="double" w:sz="6" w:space="0" w:color="EC8A6C" w:themeColor="accent6" w:themeTint="BF"/>
          <w:left w:val="single" w:sz="8" w:space="0" w:color="EC8A6C" w:themeColor="accent6" w:themeTint="BF"/>
          <w:bottom w:val="single" w:sz="8" w:space="0" w:color="EC8A6C" w:themeColor="accent6" w:themeTint="BF"/>
          <w:right w:val="single" w:sz="8" w:space="0" w:color="EC8A6C" w:themeColor="accent6" w:themeTint="BF"/>
          <w:insideH w:val="nil"/>
          <w:insideV w:val="nil"/>
        </w:tcBorders>
      </w:tcPr>
    </w:tblStylePr>
    <w:tblStylePr w:type="firstCol">
      <w:rPr>
        <w:b/>
        <w:bCs/>
      </w:rPr>
    </w:tblStylePr>
    <w:tblStylePr w:type="lastCol">
      <w:rPr>
        <w:b/>
        <w:bCs/>
      </w:rPr>
    </w:tblStylePr>
    <w:tblStylePr w:type="band1Vert">
      <w:tblPr/>
      <w:tcPr>
        <w:shd w:val="clear" w:color="auto" w:fill="F8D8CE" w:themeFill="accent6" w:themeFillTint="3F"/>
      </w:tcPr>
    </w:tblStylePr>
    <w:tblStylePr w:type="band1Horz">
      <w:tblPr/>
      <w:tcPr>
        <w:tcBorders>
          <w:insideH w:val="nil"/>
          <w:insideV w:val="nil"/>
        </w:tcBorders>
        <w:shd w:val="clear" w:color="auto" w:fill="F8D8CE"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086DB5"/>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086DB5"/>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B242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B242A" w:themeFill="accent1"/>
      </w:tcPr>
    </w:tblStylePr>
    <w:tblStylePr w:type="lastCol">
      <w:rPr>
        <w:b/>
        <w:bCs/>
        <w:color w:val="FFFFFF" w:themeColor="background1"/>
      </w:rPr>
      <w:tblPr/>
      <w:tcPr>
        <w:tcBorders>
          <w:left w:val="nil"/>
          <w:right w:val="nil"/>
          <w:insideH w:val="nil"/>
          <w:insideV w:val="nil"/>
        </w:tcBorders>
        <w:shd w:val="clear" w:color="auto" w:fill="1B242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086DB5"/>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586"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586" w:themeFill="accent2"/>
      </w:tcPr>
    </w:tblStylePr>
    <w:tblStylePr w:type="lastCol">
      <w:rPr>
        <w:b/>
        <w:bCs/>
        <w:color w:val="FFFFFF" w:themeColor="background1"/>
      </w:rPr>
      <w:tblPr/>
      <w:tcPr>
        <w:tcBorders>
          <w:left w:val="nil"/>
          <w:right w:val="nil"/>
          <w:insideH w:val="nil"/>
          <w:insideV w:val="nil"/>
        </w:tcBorders>
        <w:shd w:val="clear" w:color="auto" w:fill="007586"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086DB5"/>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AB9EB"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AB9EB" w:themeFill="accent3"/>
      </w:tcPr>
    </w:tblStylePr>
    <w:tblStylePr w:type="lastCol">
      <w:rPr>
        <w:b/>
        <w:bCs/>
        <w:color w:val="FFFFFF" w:themeColor="background1"/>
      </w:rPr>
      <w:tblPr/>
      <w:tcPr>
        <w:tcBorders>
          <w:left w:val="nil"/>
          <w:right w:val="nil"/>
          <w:insideH w:val="nil"/>
          <w:insideV w:val="nil"/>
        </w:tcBorders>
        <w:shd w:val="clear" w:color="auto" w:fill="5AB9EB"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086DB5"/>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4"/>
      </w:tcPr>
    </w:tblStylePr>
    <w:tblStylePr w:type="lastCol">
      <w:rPr>
        <w:b/>
        <w:bCs/>
        <w:color w:val="FFFFFF" w:themeColor="background1"/>
      </w:rPr>
      <w:tblPr/>
      <w:tcPr>
        <w:tcBorders>
          <w:left w:val="nil"/>
          <w:right w:val="nil"/>
          <w:insideH w:val="nil"/>
          <w:insideV w:val="nil"/>
        </w:tcBorders>
        <w:shd w:val="clear" w:color="auto" w:fill="004C9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086DB5"/>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AAA6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AAA64" w:themeFill="accent5"/>
      </w:tcPr>
    </w:tblStylePr>
    <w:tblStylePr w:type="lastCol">
      <w:rPr>
        <w:b/>
        <w:bCs/>
        <w:color w:val="FFFFFF" w:themeColor="background1"/>
      </w:rPr>
      <w:tblPr/>
      <w:tcPr>
        <w:tcBorders>
          <w:left w:val="nil"/>
          <w:right w:val="nil"/>
          <w:insideH w:val="nil"/>
          <w:insideV w:val="nil"/>
        </w:tcBorders>
        <w:shd w:val="clear" w:color="auto" w:fill="5AAA6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086DB5"/>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6643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6643C" w:themeFill="accent6"/>
      </w:tcPr>
    </w:tblStylePr>
    <w:tblStylePr w:type="lastCol">
      <w:rPr>
        <w:b/>
        <w:bCs/>
        <w:color w:val="FFFFFF" w:themeColor="background1"/>
      </w:rPr>
      <w:tblPr/>
      <w:tcPr>
        <w:tcBorders>
          <w:left w:val="nil"/>
          <w:right w:val="nil"/>
          <w:insideH w:val="nil"/>
          <w:insideV w:val="nil"/>
        </w:tcBorders>
        <w:shd w:val="clear" w:color="auto" w:fill="E6643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rsid w:val="00086DB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86DB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86DB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86DB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86DB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086DB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CVpullouttext">
    <w:name w:val="SCV pullout text"/>
    <w:basedOn w:val="SCVbody"/>
    <w:uiPriority w:val="13"/>
    <w:qFormat/>
    <w:rsid w:val="00086DB5"/>
    <w:pPr>
      <w:spacing w:after="120"/>
    </w:pPr>
    <w:rPr>
      <w:color w:val="007586" w:themeColor="text2"/>
    </w:rPr>
  </w:style>
  <w:style w:type="paragraph" w:customStyle="1" w:styleId="SCVpulloutheading">
    <w:name w:val="SCV pullout heading"/>
    <w:basedOn w:val="SCVpullouttext"/>
    <w:next w:val="SCVpullouttext"/>
    <w:uiPriority w:val="13"/>
    <w:qFormat/>
    <w:rsid w:val="00086DB5"/>
    <w:pPr>
      <w:keepNext/>
      <w:keepLines/>
      <w:spacing w:before="0" w:line="240" w:lineRule="auto"/>
    </w:pPr>
    <w:rPr>
      <w:rFonts w:asciiTheme="majorHAnsi" w:hAnsiTheme="majorHAnsi"/>
      <w:bCs/>
      <w:sz w:val="24"/>
    </w:rPr>
  </w:style>
  <w:style w:type="table" w:customStyle="1" w:styleId="SCVInformationTable">
    <w:name w:val="SCV Information Table"/>
    <w:basedOn w:val="TableNormal"/>
    <w:uiPriority w:val="99"/>
    <w:rsid w:val="00086DB5"/>
    <w:pPr>
      <w:spacing w:before="0" w:line="288" w:lineRule="auto"/>
    </w:pPr>
    <w:tblPr>
      <w:tblCellMar>
        <w:top w:w="284" w:type="dxa"/>
        <w:left w:w="284" w:type="dxa"/>
        <w:bottom w:w="284" w:type="dxa"/>
        <w:right w:w="284" w:type="dxa"/>
      </w:tblCellMar>
    </w:tblPr>
    <w:tcPr>
      <w:shd w:val="clear" w:color="auto" w:fill="F2F2F2" w:themeFill="background1" w:themeFillShade="F2"/>
    </w:tcPr>
  </w:style>
  <w:style w:type="paragraph" w:styleId="NormalWeb">
    <w:name w:val="Normal (Web)"/>
    <w:basedOn w:val="Normal"/>
    <w:uiPriority w:val="99"/>
    <w:semiHidden/>
    <w:rsid w:val="00086DB5"/>
    <w:pPr>
      <w:spacing w:before="0" w:after="0" w:line="260" w:lineRule="atLeast"/>
    </w:pPr>
    <w:rPr>
      <w:rFonts w:eastAsia="Times New Roman" w:cs="Times New Roman"/>
      <w:color w:val="000000" w:themeColor="text1"/>
      <w:szCs w:val="24"/>
    </w:rPr>
  </w:style>
  <w:style w:type="character" w:customStyle="1" w:styleId="Heading5Char">
    <w:name w:val="Heading 5 Char"/>
    <w:basedOn w:val="DefaultParagraphFont"/>
    <w:link w:val="Heading5"/>
    <w:uiPriority w:val="1"/>
    <w:semiHidden/>
    <w:rsid w:val="00086DB5"/>
    <w:rPr>
      <w:rFonts w:asciiTheme="majorHAnsi" w:eastAsiaTheme="majorEastAsia" w:hAnsiTheme="majorHAnsi" w:cstheme="majorBidi"/>
      <w:color w:val="141A1F" w:themeColor="accent1" w:themeShade="BF"/>
    </w:rPr>
  </w:style>
  <w:style w:type="paragraph" w:customStyle="1" w:styleId="SCVnumberloweralphaindent">
    <w:name w:val="SCV number lower alpha indent"/>
    <w:basedOn w:val="SCVbody"/>
    <w:uiPriority w:val="29"/>
    <w:rsid w:val="00086DB5"/>
    <w:pPr>
      <w:numPr>
        <w:ilvl w:val="1"/>
        <w:numId w:val="10"/>
      </w:numPr>
      <w:spacing w:before="60" w:after="60"/>
    </w:pPr>
    <w:rPr>
      <w:rFonts w:eastAsia="Times New Roman" w:cstheme="minorHAnsi"/>
      <w:lang w:eastAsia="en-US"/>
    </w:rPr>
  </w:style>
  <w:style w:type="paragraph" w:customStyle="1" w:styleId="SCVtablebody">
    <w:name w:val="SCV table body"/>
    <w:uiPriority w:val="22"/>
    <w:qFormat/>
    <w:rsid w:val="00086DB5"/>
    <w:pPr>
      <w:spacing w:before="80" w:after="60" w:line="240" w:lineRule="atLeast"/>
    </w:pPr>
    <w:rPr>
      <w:rFonts w:eastAsia="Times New Roman" w:cstheme="minorHAnsi"/>
      <w:sz w:val="18"/>
      <w:szCs w:val="21"/>
      <w:lang w:eastAsia="en-US"/>
    </w:rPr>
  </w:style>
  <w:style w:type="paragraph" w:customStyle="1" w:styleId="SCVnumberdigit">
    <w:name w:val="SCV number digit"/>
    <w:basedOn w:val="SCVbody"/>
    <w:uiPriority w:val="29"/>
    <w:rsid w:val="00086DB5"/>
    <w:pPr>
      <w:numPr>
        <w:numId w:val="10"/>
      </w:numPr>
      <w:spacing w:before="60" w:after="60"/>
    </w:pPr>
    <w:rPr>
      <w:rFonts w:eastAsia="Times New Roman" w:cstheme="minorHAnsi"/>
      <w:lang w:eastAsia="en-US"/>
    </w:rPr>
  </w:style>
  <w:style w:type="paragraph" w:customStyle="1" w:styleId="SCVtablecolhead">
    <w:name w:val="SCV table col head"/>
    <w:uiPriority w:val="3"/>
    <w:qFormat/>
    <w:rsid w:val="00086DB5"/>
    <w:pPr>
      <w:keepNext/>
      <w:keepLines/>
      <w:spacing w:before="80" w:after="60" w:line="240" w:lineRule="auto"/>
    </w:pPr>
    <w:rPr>
      <w:rFonts w:eastAsia="Times New Roman" w:cstheme="minorHAnsi"/>
      <w:b/>
      <w:color w:val="007586" w:themeColor="text2"/>
      <w:sz w:val="18"/>
      <w:szCs w:val="18"/>
      <w:lang w:eastAsia="en-US"/>
    </w:rPr>
  </w:style>
  <w:style w:type="paragraph" w:customStyle="1" w:styleId="SCVbodyaftertablefigure">
    <w:name w:val="SCV body after table/figure"/>
    <w:basedOn w:val="SCVbody"/>
    <w:next w:val="SCVbody"/>
    <w:uiPriority w:val="24"/>
    <w:rsid w:val="00086DB5"/>
    <w:pPr>
      <w:spacing w:before="240"/>
    </w:pPr>
    <w:rPr>
      <w:rFonts w:eastAsia="Times New Roman" w:cstheme="minorHAnsi"/>
      <w:lang w:eastAsia="en-US"/>
    </w:rPr>
  </w:style>
  <w:style w:type="paragraph" w:customStyle="1" w:styleId="SCVquote">
    <w:name w:val="SCV quote"/>
    <w:basedOn w:val="SCVbody"/>
    <w:uiPriority w:val="29"/>
    <w:rsid w:val="00086DB5"/>
    <w:pPr>
      <w:ind w:left="397"/>
    </w:pPr>
    <w:rPr>
      <w:rFonts w:eastAsia="Times New Roman" w:cstheme="minorHAnsi"/>
      <w:color w:val="007586" w:themeColor="text2"/>
      <w:szCs w:val="18"/>
      <w:lang w:eastAsia="en-US"/>
    </w:rPr>
  </w:style>
  <w:style w:type="numbering" w:customStyle="1" w:styleId="ZZBulletsafternumbers">
    <w:name w:val="ZZ Bullets after numbers"/>
    <w:basedOn w:val="NoList"/>
    <w:uiPriority w:val="99"/>
    <w:rsid w:val="00086DB5"/>
    <w:pPr>
      <w:numPr>
        <w:numId w:val="2"/>
      </w:numPr>
    </w:pPr>
  </w:style>
  <w:style w:type="paragraph" w:customStyle="1" w:styleId="SCVbulletafternumbers">
    <w:name w:val="SCV bullet after numbers"/>
    <w:basedOn w:val="SCVbody"/>
    <w:uiPriority w:val="24"/>
    <w:rsid w:val="00086DB5"/>
    <w:pPr>
      <w:numPr>
        <w:ilvl w:val="1"/>
        <w:numId w:val="9"/>
      </w:numPr>
      <w:spacing w:before="60" w:after="60"/>
    </w:pPr>
  </w:style>
  <w:style w:type="paragraph" w:customStyle="1" w:styleId="SCVquotebullet1">
    <w:name w:val="SCV quote bullet 1"/>
    <w:basedOn w:val="SCVquote"/>
    <w:uiPriority w:val="29"/>
    <w:rsid w:val="00086DB5"/>
    <w:pPr>
      <w:numPr>
        <w:numId w:val="12"/>
      </w:numPr>
      <w:spacing w:before="60" w:after="60"/>
    </w:pPr>
  </w:style>
  <w:style w:type="paragraph" w:customStyle="1" w:styleId="SCVquotebullet2">
    <w:name w:val="SCV quote bullet 2"/>
    <w:basedOn w:val="SCVquote"/>
    <w:uiPriority w:val="29"/>
    <w:rsid w:val="00086DB5"/>
    <w:pPr>
      <w:numPr>
        <w:ilvl w:val="1"/>
        <w:numId w:val="12"/>
      </w:numPr>
      <w:spacing w:before="60" w:after="60"/>
    </w:pPr>
  </w:style>
  <w:style w:type="paragraph" w:customStyle="1" w:styleId="SCVtablebullet1">
    <w:name w:val="SCV table bullet 1"/>
    <w:basedOn w:val="SCVtablebody"/>
    <w:uiPriority w:val="23"/>
    <w:qFormat/>
    <w:rsid w:val="00086DB5"/>
    <w:pPr>
      <w:numPr>
        <w:numId w:val="13"/>
      </w:numPr>
    </w:pPr>
    <w:rPr>
      <w:szCs w:val="18"/>
    </w:rPr>
  </w:style>
  <w:style w:type="paragraph" w:customStyle="1" w:styleId="SCVtablebullet2">
    <w:name w:val="SCV table bullet 2"/>
    <w:basedOn w:val="SCVtablebody"/>
    <w:uiPriority w:val="23"/>
    <w:rsid w:val="00086DB5"/>
    <w:pPr>
      <w:numPr>
        <w:ilvl w:val="1"/>
        <w:numId w:val="13"/>
      </w:numPr>
    </w:pPr>
    <w:rPr>
      <w:szCs w:val="18"/>
    </w:rPr>
  </w:style>
  <w:style w:type="character" w:customStyle="1" w:styleId="SCVbodyChar">
    <w:name w:val="SCV body Char"/>
    <w:basedOn w:val="DefaultParagraphFont"/>
    <w:link w:val="SCVbody"/>
    <w:locked/>
    <w:rsid w:val="00086DB5"/>
    <w:rPr>
      <w:sz w:val="19"/>
      <w:szCs w:val="19"/>
    </w:rPr>
  </w:style>
  <w:style w:type="numbering" w:customStyle="1" w:styleId="ZZNumbersdigit">
    <w:name w:val="ZZ Numbers digit"/>
    <w:rsid w:val="00086DB5"/>
    <w:pPr>
      <w:numPr>
        <w:numId w:val="3"/>
      </w:numPr>
    </w:pPr>
  </w:style>
  <w:style w:type="numbering" w:customStyle="1" w:styleId="ZZTablebullets">
    <w:name w:val="ZZ Table bullets"/>
    <w:rsid w:val="00086DB5"/>
    <w:pPr>
      <w:numPr>
        <w:numId w:val="6"/>
      </w:numPr>
    </w:pPr>
  </w:style>
  <w:style w:type="numbering" w:customStyle="1" w:styleId="ZZQuotebullets">
    <w:name w:val="ZZ Quote bullets"/>
    <w:rsid w:val="00086DB5"/>
    <w:pPr>
      <w:numPr>
        <w:numId w:val="5"/>
      </w:numPr>
    </w:pPr>
  </w:style>
  <w:style w:type="paragraph" w:customStyle="1" w:styleId="SCVheader">
    <w:name w:val="SCV header"/>
    <w:basedOn w:val="Header"/>
    <w:uiPriority w:val="1"/>
    <w:rsid w:val="00086DB5"/>
    <w:pPr>
      <w:pBdr>
        <w:bottom w:val="single" w:sz="24" w:space="1" w:color="CCCCD0"/>
      </w:pBdr>
    </w:pPr>
  </w:style>
  <w:style w:type="paragraph" w:customStyle="1" w:styleId="SCVtablerowhead">
    <w:name w:val="SCV table row head"/>
    <w:basedOn w:val="SCVtablecolhead"/>
    <w:uiPriority w:val="21"/>
    <w:qFormat/>
    <w:rsid w:val="00086DB5"/>
    <w:rPr>
      <w:rFonts w:cs="Times New Roman"/>
    </w:rPr>
  </w:style>
  <w:style w:type="paragraph" w:customStyle="1" w:styleId="SCVaccessibilitypara">
    <w:name w:val="SCV accessibility para"/>
    <w:basedOn w:val="SCVbody"/>
    <w:uiPriority w:val="29"/>
    <w:rsid w:val="00086DB5"/>
    <w:rPr>
      <w:sz w:val="24"/>
    </w:rPr>
  </w:style>
  <w:style w:type="character" w:styleId="UnresolvedMention">
    <w:name w:val="Unresolved Mention"/>
    <w:basedOn w:val="DefaultParagraphFont"/>
    <w:uiPriority w:val="99"/>
    <w:semiHidden/>
    <w:unhideWhenUsed/>
    <w:rsid w:val="00086DB5"/>
    <w:rPr>
      <w:color w:val="605E5C"/>
      <w:shd w:val="clear" w:color="auto" w:fill="E1DFDD"/>
    </w:rPr>
  </w:style>
  <w:style w:type="character" w:styleId="FollowedHyperlink">
    <w:name w:val="FollowedHyperlink"/>
    <w:basedOn w:val="DefaultParagraphFont"/>
    <w:uiPriority w:val="1"/>
    <w:rsid w:val="00086DB5"/>
    <w:rPr>
      <w:color w:val="007586" w:themeColor="text2"/>
      <w:u w:val="single"/>
    </w:rPr>
  </w:style>
  <w:style w:type="table" w:customStyle="1" w:styleId="SCVpulloutbox">
    <w:name w:val="SCV pullout box"/>
    <w:basedOn w:val="PlainTable1"/>
    <w:uiPriority w:val="99"/>
    <w:rsid w:val="00086DB5"/>
    <w:pPr>
      <w:spacing w:before="0" w:after="120" w:line="280" w:lineRule="atLeast"/>
    </w:pPr>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4" w:type="dxa"/>
        <w:left w:w="284" w:type="dxa"/>
        <w:bottom w:w="113" w:type="dxa"/>
        <w:right w:w="284" w:type="dxa"/>
      </w:tblCellMar>
    </w:tblPr>
    <w:tcPr>
      <w:shd w:val="clear" w:color="auto" w:fill="EDF5F7"/>
    </w:tc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ZZTablenumbers">
    <w:name w:val="ZZ Table numbers"/>
    <w:basedOn w:val="NoList"/>
    <w:uiPriority w:val="99"/>
    <w:rsid w:val="00086DB5"/>
    <w:pPr>
      <w:numPr>
        <w:numId w:val="7"/>
      </w:numPr>
    </w:pPr>
  </w:style>
  <w:style w:type="paragraph" w:customStyle="1" w:styleId="SCVtablenumber1">
    <w:name w:val="SCV table number 1"/>
    <w:basedOn w:val="SCVtablebody"/>
    <w:uiPriority w:val="29"/>
    <w:rsid w:val="00086DB5"/>
    <w:pPr>
      <w:numPr>
        <w:numId w:val="14"/>
      </w:numPr>
    </w:pPr>
  </w:style>
  <w:style w:type="paragraph" w:customStyle="1" w:styleId="SCVtablenumber2">
    <w:name w:val="SCV table number 2"/>
    <w:basedOn w:val="SCVtablebody"/>
    <w:uiPriority w:val="29"/>
    <w:rsid w:val="00086DB5"/>
    <w:pPr>
      <w:numPr>
        <w:ilvl w:val="1"/>
        <w:numId w:val="14"/>
      </w:numPr>
      <w:spacing w:before="60" w:line="192" w:lineRule="atLeast"/>
    </w:pPr>
    <w:rPr>
      <w:rFonts w:eastAsiaTheme="minorHAnsi"/>
    </w:rPr>
  </w:style>
  <w:style w:type="paragraph" w:customStyle="1" w:styleId="SCVTOCheading">
    <w:name w:val="SCV TOC heading"/>
    <w:basedOn w:val="Heading1"/>
    <w:uiPriority w:val="29"/>
    <w:rsid w:val="00086DB5"/>
  </w:style>
  <w:style w:type="paragraph" w:customStyle="1" w:styleId="SCVprotectivemarkingbelowsubtitle">
    <w:name w:val="SCV protective marking below subtitle"/>
    <w:basedOn w:val="SCVbody"/>
    <w:uiPriority w:val="1"/>
    <w:rsid w:val="00086DB5"/>
    <w:pPr>
      <w:spacing w:before="400" w:after="400" w:line="240" w:lineRule="auto"/>
    </w:pPr>
    <w:rPr>
      <w:caps/>
      <w:sz w:val="24"/>
      <w:szCs w:val="24"/>
    </w:rPr>
  </w:style>
  <w:style w:type="character" w:styleId="CommentReference">
    <w:name w:val="annotation reference"/>
    <w:basedOn w:val="DefaultParagraphFont"/>
    <w:uiPriority w:val="99"/>
    <w:semiHidden/>
    <w:unhideWhenUsed/>
    <w:rsid w:val="00086DB5"/>
    <w:rPr>
      <w:sz w:val="16"/>
      <w:szCs w:val="16"/>
    </w:rPr>
  </w:style>
  <w:style w:type="paragraph" w:styleId="CommentText">
    <w:name w:val="annotation text"/>
    <w:basedOn w:val="Normal"/>
    <w:link w:val="CommentTextChar"/>
    <w:uiPriority w:val="1"/>
    <w:unhideWhenUsed/>
    <w:rsid w:val="00086DB5"/>
    <w:pPr>
      <w:spacing w:line="240" w:lineRule="auto"/>
    </w:pPr>
  </w:style>
  <w:style w:type="character" w:customStyle="1" w:styleId="CommentTextChar">
    <w:name w:val="Comment Text Char"/>
    <w:basedOn w:val="DefaultParagraphFont"/>
    <w:link w:val="CommentText"/>
    <w:uiPriority w:val="1"/>
    <w:rsid w:val="00086DB5"/>
  </w:style>
  <w:style w:type="paragraph" w:styleId="CommentSubject">
    <w:name w:val="annotation subject"/>
    <w:basedOn w:val="CommentText"/>
    <w:next w:val="CommentText"/>
    <w:link w:val="CommentSubjectChar"/>
    <w:uiPriority w:val="1"/>
    <w:semiHidden/>
    <w:unhideWhenUsed/>
    <w:rsid w:val="00086DB5"/>
    <w:rPr>
      <w:b/>
      <w:bCs/>
    </w:rPr>
  </w:style>
  <w:style w:type="character" w:customStyle="1" w:styleId="CommentSubjectChar">
    <w:name w:val="Comment Subject Char"/>
    <w:basedOn w:val="CommentTextChar"/>
    <w:link w:val="CommentSubject"/>
    <w:uiPriority w:val="1"/>
    <w:semiHidden/>
    <w:rsid w:val="00086DB5"/>
    <w:rPr>
      <w:b/>
      <w:bCs/>
    </w:rPr>
  </w:style>
  <w:style w:type="paragraph" w:styleId="Revision">
    <w:name w:val="Revision"/>
    <w:hidden/>
    <w:uiPriority w:val="99"/>
    <w:semiHidden/>
    <w:rsid w:val="005416D7"/>
    <w:pPr>
      <w:spacing w:before="0" w:after="0" w:line="240" w:lineRule="auto"/>
    </w:pPr>
  </w:style>
  <w:style w:type="paragraph" w:customStyle="1" w:styleId="SCVimprint">
    <w:name w:val="SCV imprint"/>
    <w:basedOn w:val="SCVbody"/>
    <w:uiPriority w:val="1"/>
    <w:rsid w:val="00086DB5"/>
    <w:pPr>
      <w:spacing w:before="0" w:after="120"/>
    </w:pPr>
    <w:rPr>
      <w:sz w:val="18"/>
      <w:szCs w:val="18"/>
    </w:rPr>
  </w:style>
  <w:style w:type="paragraph" w:customStyle="1" w:styleId="SCVpulloutbullet">
    <w:name w:val="SCV pullout bullet"/>
    <w:basedOn w:val="SCVpullouttext"/>
    <w:uiPriority w:val="1"/>
    <w:rsid w:val="00086DB5"/>
    <w:pPr>
      <w:numPr>
        <w:numId w:val="11"/>
      </w:numPr>
      <w:spacing w:before="0"/>
    </w:pPr>
  </w:style>
  <w:style w:type="numbering" w:customStyle="1" w:styleId="ZZPulloutbullets">
    <w:name w:val="ZZ Pullout bullets"/>
    <w:basedOn w:val="NoList"/>
    <w:uiPriority w:val="99"/>
    <w:rsid w:val="00086DB5"/>
    <w:pPr>
      <w:numPr>
        <w:numId w:val="4"/>
      </w:numPr>
    </w:pPr>
  </w:style>
  <w:style w:type="paragraph" w:customStyle="1" w:styleId="SCVdate">
    <w:name w:val="SCV date"/>
    <w:basedOn w:val="SCVbody"/>
    <w:uiPriority w:val="1"/>
    <w:rsid w:val="00086DB5"/>
    <w:pPr>
      <w:spacing w:before="0" w:after="0"/>
    </w:pPr>
    <w:rPr>
      <w:b/>
      <w:bCs/>
      <w:sz w:val="28"/>
      <w:szCs w:val="28"/>
    </w:rPr>
  </w:style>
  <w:style w:type="paragraph" w:customStyle="1" w:styleId="SCVborderabovetitle">
    <w:name w:val="SCV border above title"/>
    <w:basedOn w:val="SCVbody"/>
    <w:uiPriority w:val="1"/>
    <w:rsid w:val="00086DB5"/>
    <w:pPr>
      <w:pBdr>
        <w:top w:val="single" w:sz="24" w:space="1" w:color="D9D9D9" w:themeColor="background1" w:themeShade="D9"/>
      </w:pBdr>
      <w:spacing w:before="0" w:after="0"/>
    </w:pPr>
    <w:rPr>
      <w:sz w:val="12"/>
    </w:rPr>
  </w:style>
  <w:style w:type="paragraph" w:customStyle="1" w:styleId="SCVfooter">
    <w:name w:val="SCV footer"/>
    <w:basedOn w:val="Footer"/>
    <w:uiPriority w:val="99"/>
    <w:rsid w:val="00086DB5"/>
    <w:pPr>
      <w:pBdr>
        <w:top w:val="single" w:sz="8" w:space="6" w:color="CCCCD0"/>
      </w:pBdr>
      <w:spacing w:line="240" w:lineRule="auto"/>
    </w:pPr>
    <w:rPr>
      <w:sz w:val="18"/>
    </w:rPr>
  </w:style>
  <w:style w:type="paragraph" w:customStyle="1" w:styleId="SCVfactsheettitle">
    <w:name w:val="SCV factsheet title"/>
    <w:uiPriority w:val="29"/>
    <w:rsid w:val="00053702"/>
    <w:pPr>
      <w:keepLines/>
      <w:suppressAutoHyphens/>
      <w:spacing w:line="216" w:lineRule="auto"/>
    </w:pPr>
    <w:rPr>
      <w:rFonts w:asciiTheme="majorHAnsi" w:eastAsia="Times New Roman" w:hAnsiTheme="majorHAnsi" w:cstheme="majorHAnsi"/>
      <w:b/>
      <w:color w:val="007586" w:themeColor="text2"/>
      <w:spacing w:val="-2"/>
      <w:sz w:val="48"/>
      <w:szCs w:val="48"/>
    </w:rPr>
  </w:style>
  <w:style w:type="paragraph" w:customStyle="1" w:styleId="SCVfactsheetsubtitle">
    <w:name w:val="SCV factsheet subtitle"/>
    <w:uiPriority w:val="29"/>
    <w:rsid w:val="00053702"/>
    <w:pPr>
      <w:keepLines/>
      <w:spacing w:before="0" w:line="240" w:lineRule="auto"/>
    </w:pPr>
    <w:rPr>
      <w:rFonts w:asciiTheme="majorHAnsi" w:eastAsia="Times New Roman" w:hAnsiTheme="majorHAnsi" w:cstheme="majorHAnsi"/>
      <w:color w:val="000000" w:themeColor="text1"/>
      <w:sz w:val="36"/>
      <w:szCs w:val="36"/>
    </w:rPr>
  </w:style>
  <w:style w:type="character" w:styleId="Mention">
    <w:name w:val="Mention"/>
    <w:basedOn w:val="DefaultParagraphFont"/>
    <w:uiPriority w:val="99"/>
    <w:unhideWhenUsed/>
    <w:rsid w:val="00053702"/>
    <w:rPr>
      <w:color w:val="2B579A"/>
      <w:shd w:val="clear" w:color="auto" w:fill="E1DFDD"/>
    </w:rPr>
  </w:style>
  <w:style w:type="paragraph" w:customStyle="1" w:styleId="pf0">
    <w:name w:val="pf0"/>
    <w:basedOn w:val="Normal"/>
    <w:rsid w:val="0005370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053702"/>
    <w:rPr>
      <w:rFonts w:ascii="Segoe UI" w:hAnsi="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81469">
      <w:bodyDiv w:val="1"/>
      <w:marLeft w:val="0"/>
      <w:marRight w:val="0"/>
      <w:marTop w:val="0"/>
      <w:marBottom w:val="0"/>
      <w:divBdr>
        <w:top w:val="none" w:sz="0" w:space="0" w:color="auto"/>
        <w:left w:val="none" w:sz="0" w:space="0" w:color="auto"/>
        <w:bottom w:val="none" w:sz="0" w:space="0" w:color="auto"/>
        <w:right w:val="none" w:sz="0" w:space="0" w:color="auto"/>
      </w:divBdr>
    </w:div>
    <w:div w:id="61026969">
      <w:bodyDiv w:val="1"/>
      <w:marLeft w:val="0"/>
      <w:marRight w:val="0"/>
      <w:marTop w:val="0"/>
      <w:marBottom w:val="0"/>
      <w:divBdr>
        <w:top w:val="none" w:sz="0" w:space="0" w:color="auto"/>
        <w:left w:val="none" w:sz="0" w:space="0" w:color="auto"/>
        <w:bottom w:val="none" w:sz="0" w:space="0" w:color="auto"/>
        <w:right w:val="none" w:sz="0" w:space="0" w:color="auto"/>
      </w:divBdr>
    </w:div>
    <w:div w:id="175197944">
      <w:bodyDiv w:val="1"/>
      <w:marLeft w:val="0"/>
      <w:marRight w:val="0"/>
      <w:marTop w:val="0"/>
      <w:marBottom w:val="0"/>
      <w:divBdr>
        <w:top w:val="none" w:sz="0" w:space="0" w:color="auto"/>
        <w:left w:val="none" w:sz="0" w:space="0" w:color="auto"/>
        <w:bottom w:val="none" w:sz="0" w:space="0" w:color="auto"/>
        <w:right w:val="none" w:sz="0" w:space="0" w:color="auto"/>
      </w:divBdr>
    </w:div>
    <w:div w:id="209846884">
      <w:bodyDiv w:val="1"/>
      <w:marLeft w:val="0"/>
      <w:marRight w:val="0"/>
      <w:marTop w:val="0"/>
      <w:marBottom w:val="0"/>
      <w:divBdr>
        <w:top w:val="none" w:sz="0" w:space="0" w:color="auto"/>
        <w:left w:val="none" w:sz="0" w:space="0" w:color="auto"/>
        <w:bottom w:val="none" w:sz="0" w:space="0" w:color="auto"/>
        <w:right w:val="none" w:sz="0" w:space="0" w:color="auto"/>
      </w:divBdr>
    </w:div>
    <w:div w:id="258368106">
      <w:bodyDiv w:val="1"/>
      <w:marLeft w:val="0"/>
      <w:marRight w:val="0"/>
      <w:marTop w:val="0"/>
      <w:marBottom w:val="0"/>
      <w:divBdr>
        <w:top w:val="none" w:sz="0" w:space="0" w:color="auto"/>
        <w:left w:val="none" w:sz="0" w:space="0" w:color="auto"/>
        <w:bottom w:val="none" w:sz="0" w:space="0" w:color="auto"/>
        <w:right w:val="none" w:sz="0" w:space="0" w:color="auto"/>
      </w:divBdr>
    </w:div>
    <w:div w:id="322897077">
      <w:bodyDiv w:val="1"/>
      <w:marLeft w:val="0"/>
      <w:marRight w:val="0"/>
      <w:marTop w:val="0"/>
      <w:marBottom w:val="0"/>
      <w:divBdr>
        <w:top w:val="none" w:sz="0" w:space="0" w:color="auto"/>
        <w:left w:val="none" w:sz="0" w:space="0" w:color="auto"/>
        <w:bottom w:val="none" w:sz="0" w:space="0" w:color="auto"/>
        <w:right w:val="none" w:sz="0" w:space="0" w:color="auto"/>
      </w:divBdr>
    </w:div>
    <w:div w:id="391854816">
      <w:bodyDiv w:val="1"/>
      <w:marLeft w:val="0"/>
      <w:marRight w:val="0"/>
      <w:marTop w:val="0"/>
      <w:marBottom w:val="0"/>
      <w:divBdr>
        <w:top w:val="none" w:sz="0" w:space="0" w:color="auto"/>
        <w:left w:val="none" w:sz="0" w:space="0" w:color="auto"/>
        <w:bottom w:val="none" w:sz="0" w:space="0" w:color="auto"/>
        <w:right w:val="none" w:sz="0" w:space="0" w:color="auto"/>
      </w:divBdr>
    </w:div>
    <w:div w:id="733353250">
      <w:bodyDiv w:val="1"/>
      <w:marLeft w:val="0"/>
      <w:marRight w:val="0"/>
      <w:marTop w:val="0"/>
      <w:marBottom w:val="0"/>
      <w:divBdr>
        <w:top w:val="none" w:sz="0" w:space="0" w:color="auto"/>
        <w:left w:val="none" w:sz="0" w:space="0" w:color="auto"/>
        <w:bottom w:val="none" w:sz="0" w:space="0" w:color="auto"/>
        <w:right w:val="none" w:sz="0" w:space="0" w:color="auto"/>
      </w:divBdr>
    </w:div>
    <w:div w:id="750584430">
      <w:bodyDiv w:val="1"/>
      <w:marLeft w:val="0"/>
      <w:marRight w:val="0"/>
      <w:marTop w:val="0"/>
      <w:marBottom w:val="0"/>
      <w:divBdr>
        <w:top w:val="none" w:sz="0" w:space="0" w:color="auto"/>
        <w:left w:val="none" w:sz="0" w:space="0" w:color="auto"/>
        <w:bottom w:val="none" w:sz="0" w:space="0" w:color="auto"/>
        <w:right w:val="none" w:sz="0" w:space="0" w:color="auto"/>
      </w:divBdr>
    </w:div>
    <w:div w:id="815031036">
      <w:bodyDiv w:val="1"/>
      <w:marLeft w:val="0"/>
      <w:marRight w:val="0"/>
      <w:marTop w:val="0"/>
      <w:marBottom w:val="0"/>
      <w:divBdr>
        <w:top w:val="none" w:sz="0" w:space="0" w:color="auto"/>
        <w:left w:val="none" w:sz="0" w:space="0" w:color="auto"/>
        <w:bottom w:val="none" w:sz="0" w:space="0" w:color="auto"/>
        <w:right w:val="none" w:sz="0" w:space="0" w:color="auto"/>
      </w:divBdr>
    </w:div>
    <w:div w:id="843667623">
      <w:bodyDiv w:val="1"/>
      <w:marLeft w:val="0"/>
      <w:marRight w:val="0"/>
      <w:marTop w:val="0"/>
      <w:marBottom w:val="0"/>
      <w:divBdr>
        <w:top w:val="none" w:sz="0" w:space="0" w:color="auto"/>
        <w:left w:val="none" w:sz="0" w:space="0" w:color="auto"/>
        <w:bottom w:val="none" w:sz="0" w:space="0" w:color="auto"/>
        <w:right w:val="none" w:sz="0" w:space="0" w:color="auto"/>
      </w:divBdr>
    </w:div>
    <w:div w:id="844511306">
      <w:bodyDiv w:val="1"/>
      <w:marLeft w:val="0"/>
      <w:marRight w:val="0"/>
      <w:marTop w:val="0"/>
      <w:marBottom w:val="0"/>
      <w:divBdr>
        <w:top w:val="none" w:sz="0" w:space="0" w:color="auto"/>
        <w:left w:val="none" w:sz="0" w:space="0" w:color="auto"/>
        <w:bottom w:val="none" w:sz="0" w:space="0" w:color="auto"/>
        <w:right w:val="none" w:sz="0" w:space="0" w:color="auto"/>
      </w:divBdr>
    </w:div>
    <w:div w:id="930091415">
      <w:bodyDiv w:val="1"/>
      <w:marLeft w:val="0"/>
      <w:marRight w:val="0"/>
      <w:marTop w:val="0"/>
      <w:marBottom w:val="0"/>
      <w:divBdr>
        <w:top w:val="none" w:sz="0" w:space="0" w:color="auto"/>
        <w:left w:val="none" w:sz="0" w:space="0" w:color="auto"/>
        <w:bottom w:val="none" w:sz="0" w:space="0" w:color="auto"/>
        <w:right w:val="none" w:sz="0" w:space="0" w:color="auto"/>
      </w:divBdr>
    </w:div>
    <w:div w:id="1213082831">
      <w:bodyDiv w:val="1"/>
      <w:marLeft w:val="0"/>
      <w:marRight w:val="0"/>
      <w:marTop w:val="0"/>
      <w:marBottom w:val="0"/>
      <w:divBdr>
        <w:top w:val="none" w:sz="0" w:space="0" w:color="auto"/>
        <w:left w:val="none" w:sz="0" w:space="0" w:color="auto"/>
        <w:bottom w:val="none" w:sz="0" w:space="0" w:color="auto"/>
        <w:right w:val="none" w:sz="0" w:space="0" w:color="auto"/>
      </w:divBdr>
    </w:div>
    <w:div w:id="1400245653">
      <w:bodyDiv w:val="1"/>
      <w:marLeft w:val="0"/>
      <w:marRight w:val="0"/>
      <w:marTop w:val="0"/>
      <w:marBottom w:val="0"/>
      <w:divBdr>
        <w:top w:val="none" w:sz="0" w:space="0" w:color="auto"/>
        <w:left w:val="none" w:sz="0" w:space="0" w:color="auto"/>
        <w:bottom w:val="none" w:sz="0" w:space="0" w:color="auto"/>
        <w:right w:val="none" w:sz="0" w:space="0" w:color="auto"/>
      </w:divBdr>
    </w:div>
    <w:div w:id="1557662094">
      <w:bodyDiv w:val="1"/>
      <w:marLeft w:val="0"/>
      <w:marRight w:val="0"/>
      <w:marTop w:val="0"/>
      <w:marBottom w:val="0"/>
      <w:divBdr>
        <w:top w:val="none" w:sz="0" w:space="0" w:color="auto"/>
        <w:left w:val="none" w:sz="0" w:space="0" w:color="auto"/>
        <w:bottom w:val="none" w:sz="0" w:space="0" w:color="auto"/>
        <w:right w:val="none" w:sz="0" w:space="0" w:color="auto"/>
      </w:divBdr>
    </w:div>
    <w:div w:id="1656911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2.png"/><Relationship Id="rId26" Type="http://schemas.openxmlformats.org/officeDocument/2006/relationships/header" Target="header6.xml"/><Relationship Id="rId39" Type="http://schemas.openxmlformats.org/officeDocument/2006/relationships/fontTable" Target="fontTable.xml"/><Relationship Id="rId21" Type="http://schemas.openxmlformats.org/officeDocument/2006/relationships/footer" Target="footer3.xml"/><Relationship Id="rId34" Type="http://schemas.openxmlformats.org/officeDocument/2006/relationships/header" Target="header8.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www.safercare.vic" TargetMode="External"/><Relationship Id="rId25" Type="http://schemas.openxmlformats.org/officeDocument/2006/relationships/header" Target="header5.xml"/><Relationship Id="rId33" Type="http://schemas.openxmlformats.org/officeDocument/2006/relationships/header" Target="header7.xml"/><Relationship Id="rId38" Type="http://schemas.openxmlformats.org/officeDocument/2006/relationships/footer" Target="footer9.xml"/><Relationship Id="rId2" Type="http://schemas.openxmlformats.org/officeDocument/2006/relationships/customXml" Target="../customXml/item2.xml"/><Relationship Id="rId16" Type="http://schemas.openxmlformats.org/officeDocument/2006/relationships/hyperlink" Target="https://www.safercare.vic.gov.au" TargetMode="External"/><Relationship Id="rId20" Type="http://schemas.openxmlformats.org/officeDocument/2006/relationships/header" Target="header3.xml"/><Relationship Id="rId29" Type="http://schemas.openxmlformats.org/officeDocument/2006/relationships/hyperlink" Target="https://www.dentalboard.gov.au/Codes-Guidelines/Policies-Codes-Guidelines/Guidelines-Scope-of-practice.asp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5.xml"/><Relationship Id="rId32" Type="http://schemas.openxmlformats.org/officeDocument/2006/relationships/hyperlink" Target="https://www.ahpra.gov.au/Registration/Employer-Services/External-data-exchange-services/Practitioner-information-exchange.aspx" TargetMode="External"/><Relationship Id="rId37" Type="http://schemas.openxmlformats.org/officeDocument/2006/relationships/footer" Target="footer8.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safercarevictoria@dhhs.vic" TargetMode="External"/><Relationship Id="rId23" Type="http://schemas.openxmlformats.org/officeDocument/2006/relationships/header" Target="header4.xml"/><Relationship Id="rId28" Type="http://schemas.openxmlformats.org/officeDocument/2006/relationships/footer" Target="footer7.xml"/><Relationship Id="rId36" Type="http://schemas.openxmlformats.org/officeDocument/2006/relationships/header" Target="header10.xml"/><Relationship Id="rId10" Type="http://schemas.openxmlformats.org/officeDocument/2006/relationships/endnotes" Target="endnotes.xml"/><Relationship Id="rId19" Type="http://schemas.openxmlformats.org/officeDocument/2006/relationships/header" Target="header2.xml"/><Relationship Id="rId31" Type="http://schemas.openxmlformats.org/officeDocument/2006/relationships/hyperlink" Target="https://www.safercare.vic.gov.au/publications/victorian-safety-culture-guid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safercarevictoria.vic.gov.au" TargetMode="External"/><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hyperlink" Target="https://www.safercare.vic.gov.au/best-practice-improvement/clinical-governance/framework" TargetMode="External"/><Relationship Id="rId35" Type="http://schemas.openxmlformats.org/officeDocument/2006/relationships/header" Target="header9.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9.xml.rels><?xml version="1.0" encoding="UTF-8" standalone="yes"?>
<Relationships xmlns="http://schemas.openxmlformats.org/package/2006/relationships"><Relationship Id="rId1" Type="http://schemas.openxmlformats.org/officeDocument/2006/relationships/image" Target="media/image4.jpeg"/></Relationships>
</file>

<file path=word/_rels/header10.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Safer Care Victoria">
      <a:dk1>
        <a:srgbClr val="000000"/>
      </a:dk1>
      <a:lt1>
        <a:srgbClr val="FFFFFF"/>
      </a:lt1>
      <a:dk2>
        <a:srgbClr val="007586"/>
      </a:dk2>
      <a:lt2>
        <a:srgbClr val="EDF5F7"/>
      </a:lt2>
      <a:accent1>
        <a:srgbClr val="1B242A"/>
      </a:accent1>
      <a:accent2>
        <a:srgbClr val="007586"/>
      </a:accent2>
      <a:accent3>
        <a:srgbClr val="5AB9EB"/>
      </a:accent3>
      <a:accent4>
        <a:srgbClr val="004C97"/>
      </a:accent4>
      <a:accent5>
        <a:srgbClr val="5AAA64"/>
      </a:accent5>
      <a:accent6>
        <a:srgbClr val="E6643C"/>
      </a:accent6>
      <a:hlink>
        <a:srgbClr val="004C97"/>
      </a:hlink>
      <a:folHlink>
        <a:srgbClr val="007586"/>
      </a:folHlink>
    </a:clrScheme>
    <a:fontScheme name="VIC Semibold + VIC">
      <a:majorFont>
        <a:latin typeface="VIC SemiBold"/>
        <a:ea typeface="Arial"/>
        <a:cs typeface="Arial"/>
      </a:majorFont>
      <a:minorFont>
        <a:latin typeface="ViC"/>
        <a:ea typeface="Arial"/>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4ad00312-14bb-479d-806c-21cb409f5252">
      <UserInfo>
        <DisplayName>Angie Lam (Health)</DisplayName>
        <AccountId>563</AccountId>
        <AccountType/>
      </UserInfo>
      <UserInfo>
        <DisplayName>Haroula Vaniotis (DHHS)</DisplayName>
        <AccountId>606</AccountId>
        <AccountType/>
      </UserInfo>
    </SharedWithUsers>
    <lcf76f155ced4ddcb4097134ff3c332f xmlns="46317f61-c490-4cb9-bb9b-e317ad5a6137">
      <Terms xmlns="http://schemas.microsoft.com/office/infopath/2007/PartnerControls"/>
    </lcf76f155ced4ddcb4097134ff3c332f>
    <TaxCatchAll xmlns="4ad00312-14bb-479d-806c-21cb409f5252"/>
    <No xmlns="46317f61-c490-4cb9-bb9b-e317ad5a6137">1</No>
    <Number xmlns="46317f61-c490-4cb9-bb9b-e317ad5a6137" xsi:nil="true"/>
    <Order0 xmlns="46317f61-c490-4cb9-bb9b-e317ad5a6137" xsi:nil="true"/>
    <_Flow_SignoffStatus xmlns="46317f61-c490-4cb9-bb9b-e317ad5a613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DFC3F77DFC31A48A7830C8F752803B7" ma:contentTypeVersion="20" ma:contentTypeDescription="Create a new document." ma:contentTypeScope="" ma:versionID="81d51de3d91030ed780ef54e9158ff73">
  <xsd:schema xmlns:xsd="http://www.w3.org/2001/XMLSchema" xmlns:xs="http://www.w3.org/2001/XMLSchema" xmlns:p="http://schemas.microsoft.com/office/2006/metadata/properties" xmlns:ns2="46317f61-c490-4cb9-bb9b-e317ad5a6137" xmlns:ns3="4ad00312-14bb-479d-806c-21cb409f5252" targetNamespace="http://schemas.microsoft.com/office/2006/metadata/properties" ma:root="true" ma:fieldsID="414a0c0766567a1d2abdddcf25ba7f02" ns2:_="" ns3:_="">
    <xsd:import namespace="46317f61-c490-4cb9-bb9b-e317ad5a6137"/>
    <xsd:import namespace="4ad00312-14bb-479d-806c-21cb409f525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OCR" minOccurs="0"/>
                <xsd:element ref="ns2:Order0" minOccurs="0"/>
                <xsd:element ref="ns2:No" minOccurs="0"/>
                <xsd:element ref="ns2:Number" minOccurs="0"/>
                <xsd:element ref="ns2:MediaServiceLocation" minOccurs="0"/>
                <xsd:element ref="ns2:MediaServiceObjectDetectorVersions" minOccurs="0"/>
                <xsd:element ref="ns2:MediaServiceSearchProperties" minOccurs="0"/>
                <xsd:element ref="ns2:MediaServiceBillingMetadata"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317f61-c490-4cb9-bb9b-e317ad5a61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Order0" ma:index="20" nillable="true" ma:displayName="Order" ma:format="Dropdown" ma:internalName="Order0" ma:percentage="FALSE">
      <xsd:simpleType>
        <xsd:restriction base="dms:Number"/>
      </xsd:simpleType>
    </xsd:element>
    <xsd:element name="No" ma:index="21" nillable="true" ma:displayName="No" ma:default="1" ma:format="Dropdown" ma:internalName="No" ma:percentage="FALSE">
      <xsd:simpleType>
        <xsd:restriction base="dms:Number"/>
      </xsd:simpleType>
    </xsd:element>
    <xsd:element name="Number" ma:index="22" nillable="true" ma:displayName="Number" ma:format="Dropdown" ma:internalName="Number" ma:percentage="FALSE">
      <xsd:simpleType>
        <xsd:restriction base="dms:Number"/>
      </xsd:simple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_Flow_SignoffStatus" ma:index="27"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d00312-14bb-479d-806c-21cb409f525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95f7065-d89c-4952-b1bb-9c35ce0c0d09}" ma:internalName="TaxCatchAll" ma:showField="CatchAllData" ma:web="4ad00312-14bb-479d-806c-21cb409f5252">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5DC87D-56E9-4BC4-A39D-7E6DF4B2D359}">
  <ds:schemaRefs>
    <ds:schemaRef ds:uri="http://schemas.microsoft.com/sharepoint/v3/contenttype/forms"/>
  </ds:schemaRefs>
</ds:datastoreItem>
</file>

<file path=customXml/itemProps2.xml><?xml version="1.0" encoding="utf-8"?>
<ds:datastoreItem xmlns:ds="http://schemas.openxmlformats.org/officeDocument/2006/customXml" ds:itemID="{83F09FBA-26F3-4195-A062-C1D8868DAE33}">
  <ds:schemaRefs>
    <ds:schemaRef ds:uri="http://schemas.microsoft.com/office/2006/metadata/properties"/>
    <ds:schemaRef ds:uri="http://schemas.microsoft.com/office/infopath/2007/PartnerControls"/>
    <ds:schemaRef ds:uri="4ad00312-14bb-479d-806c-21cb409f5252"/>
    <ds:schemaRef ds:uri="46317f61-c490-4cb9-bb9b-e317ad5a6137"/>
  </ds:schemaRefs>
</ds:datastoreItem>
</file>

<file path=customXml/itemProps3.xml><?xml version="1.0" encoding="utf-8"?>
<ds:datastoreItem xmlns:ds="http://schemas.openxmlformats.org/officeDocument/2006/customXml" ds:itemID="{9BADE039-3B98-4E61-B72B-759AC43D9F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317f61-c490-4cb9-bb9b-e317ad5a6137"/>
    <ds:schemaRef ds:uri="4ad00312-14bb-479d-806c-21cb409f52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0439C66-9861-48D1-85C1-8EDD55D58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8447</Words>
  <Characters>50685</Characters>
  <Application>Microsoft Office Word</Application>
  <DocSecurity>0</DocSecurity>
  <Lines>804</Lines>
  <Paragraphs>505</Paragraphs>
  <ScaleCrop>false</ScaleCrop>
  <HeadingPairs>
    <vt:vector size="2" baseType="variant">
      <vt:variant>
        <vt:lpstr>Title</vt:lpstr>
      </vt:variant>
      <vt:variant>
        <vt:i4>1</vt:i4>
      </vt:variant>
    </vt:vector>
  </HeadingPairs>
  <TitlesOfParts>
    <vt:vector size="1" baseType="lpstr">
      <vt:lpstr>Insert title here</vt:lpstr>
    </vt:vector>
  </TitlesOfParts>
  <Manager/>
  <Company>Safer Care Victoria</Company>
  <LinksUpToDate>false</LinksUpToDate>
  <CharactersWithSpaces>58627</CharactersWithSpaces>
  <SharedDoc>false</SharedDoc>
  <HyperlinkBase/>
  <HLinks>
    <vt:vector size="306" baseType="variant">
      <vt:variant>
        <vt:i4>6815821</vt:i4>
      </vt:variant>
      <vt:variant>
        <vt:i4>279</vt:i4>
      </vt:variant>
      <vt:variant>
        <vt:i4>0</vt:i4>
      </vt:variant>
      <vt:variant>
        <vt:i4>5</vt:i4>
      </vt:variant>
      <vt:variant>
        <vt:lpwstr/>
      </vt:variant>
      <vt:variant>
        <vt:lpwstr>_Medical_and_dental</vt:lpwstr>
      </vt:variant>
      <vt:variant>
        <vt:i4>7405681</vt:i4>
      </vt:variant>
      <vt:variant>
        <vt:i4>276</vt:i4>
      </vt:variant>
      <vt:variant>
        <vt:i4>0</vt:i4>
      </vt:variant>
      <vt:variant>
        <vt:i4>5</vt:i4>
      </vt:variant>
      <vt:variant>
        <vt:lpwstr/>
      </vt:variant>
      <vt:variant>
        <vt:lpwstr>_Credentialing_Process</vt:lpwstr>
      </vt:variant>
      <vt:variant>
        <vt:i4>6815783</vt:i4>
      </vt:variant>
      <vt:variant>
        <vt:i4>273</vt:i4>
      </vt:variant>
      <vt:variant>
        <vt:i4>0</vt:i4>
      </vt:variant>
      <vt:variant>
        <vt:i4>5</vt:i4>
      </vt:variant>
      <vt:variant>
        <vt:lpwstr>https://www.ahpra.gov.au/Registration/Employer-Services/External-data-exchange-services/Practitioner-information-exchange.aspx</vt:lpwstr>
      </vt:variant>
      <vt:variant>
        <vt:lpwstr/>
      </vt:variant>
      <vt:variant>
        <vt:i4>1572869</vt:i4>
      </vt:variant>
      <vt:variant>
        <vt:i4>270</vt:i4>
      </vt:variant>
      <vt:variant>
        <vt:i4>0</vt:i4>
      </vt:variant>
      <vt:variant>
        <vt:i4>5</vt:i4>
      </vt:variant>
      <vt:variant>
        <vt:lpwstr>https://www.safercare.vic.gov.au/publications/victorian-safety-culture-guide</vt:lpwstr>
      </vt:variant>
      <vt:variant>
        <vt:lpwstr/>
      </vt:variant>
      <vt:variant>
        <vt:i4>327759</vt:i4>
      </vt:variant>
      <vt:variant>
        <vt:i4>267</vt:i4>
      </vt:variant>
      <vt:variant>
        <vt:i4>0</vt:i4>
      </vt:variant>
      <vt:variant>
        <vt:i4>5</vt:i4>
      </vt:variant>
      <vt:variant>
        <vt:lpwstr>https://www.safercare.vic.gov.au/best-practice-improvement/clinical-governance/framework</vt:lpwstr>
      </vt:variant>
      <vt:variant>
        <vt:lpwstr/>
      </vt:variant>
      <vt:variant>
        <vt:i4>7929965</vt:i4>
      </vt:variant>
      <vt:variant>
        <vt:i4>264</vt:i4>
      </vt:variant>
      <vt:variant>
        <vt:i4>0</vt:i4>
      </vt:variant>
      <vt:variant>
        <vt:i4>5</vt:i4>
      </vt:variant>
      <vt:variant>
        <vt:lpwstr>https://www.dentalboard.gov.au/Codes-Guidelines/Policies-Codes-Guidelines/Guidelines-Scope-of-practice.aspx</vt:lpwstr>
      </vt:variant>
      <vt:variant>
        <vt:lpwstr/>
      </vt:variant>
      <vt:variant>
        <vt:i4>1572914</vt:i4>
      </vt:variant>
      <vt:variant>
        <vt:i4>257</vt:i4>
      </vt:variant>
      <vt:variant>
        <vt:i4>0</vt:i4>
      </vt:variant>
      <vt:variant>
        <vt:i4>5</vt:i4>
      </vt:variant>
      <vt:variant>
        <vt:lpwstr/>
      </vt:variant>
      <vt:variant>
        <vt:lpwstr>_Toc244012591</vt:lpwstr>
      </vt:variant>
      <vt:variant>
        <vt:i4>1572914</vt:i4>
      </vt:variant>
      <vt:variant>
        <vt:i4>251</vt:i4>
      </vt:variant>
      <vt:variant>
        <vt:i4>0</vt:i4>
      </vt:variant>
      <vt:variant>
        <vt:i4>5</vt:i4>
      </vt:variant>
      <vt:variant>
        <vt:lpwstr/>
      </vt:variant>
      <vt:variant>
        <vt:lpwstr>_Toc244012590</vt:lpwstr>
      </vt:variant>
      <vt:variant>
        <vt:i4>1638450</vt:i4>
      </vt:variant>
      <vt:variant>
        <vt:i4>245</vt:i4>
      </vt:variant>
      <vt:variant>
        <vt:i4>0</vt:i4>
      </vt:variant>
      <vt:variant>
        <vt:i4>5</vt:i4>
      </vt:variant>
      <vt:variant>
        <vt:lpwstr/>
      </vt:variant>
      <vt:variant>
        <vt:lpwstr>_Toc244012589</vt:lpwstr>
      </vt:variant>
      <vt:variant>
        <vt:i4>1638450</vt:i4>
      </vt:variant>
      <vt:variant>
        <vt:i4>239</vt:i4>
      </vt:variant>
      <vt:variant>
        <vt:i4>0</vt:i4>
      </vt:variant>
      <vt:variant>
        <vt:i4>5</vt:i4>
      </vt:variant>
      <vt:variant>
        <vt:lpwstr/>
      </vt:variant>
      <vt:variant>
        <vt:lpwstr>_Toc244012588</vt:lpwstr>
      </vt:variant>
      <vt:variant>
        <vt:i4>1638450</vt:i4>
      </vt:variant>
      <vt:variant>
        <vt:i4>233</vt:i4>
      </vt:variant>
      <vt:variant>
        <vt:i4>0</vt:i4>
      </vt:variant>
      <vt:variant>
        <vt:i4>5</vt:i4>
      </vt:variant>
      <vt:variant>
        <vt:lpwstr/>
      </vt:variant>
      <vt:variant>
        <vt:lpwstr>_Toc244012587</vt:lpwstr>
      </vt:variant>
      <vt:variant>
        <vt:i4>1638450</vt:i4>
      </vt:variant>
      <vt:variant>
        <vt:i4>227</vt:i4>
      </vt:variant>
      <vt:variant>
        <vt:i4>0</vt:i4>
      </vt:variant>
      <vt:variant>
        <vt:i4>5</vt:i4>
      </vt:variant>
      <vt:variant>
        <vt:lpwstr/>
      </vt:variant>
      <vt:variant>
        <vt:lpwstr>_Toc244012586</vt:lpwstr>
      </vt:variant>
      <vt:variant>
        <vt:i4>1638450</vt:i4>
      </vt:variant>
      <vt:variant>
        <vt:i4>221</vt:i4>
      </vt:variant>
      <vt:variant>
        <vt:i4>0</vt:i4>
      </vt:variant>
      <vt:variant>
        <vt:i4>5</vt:i4>
      </vt:variant>
      <vt:variant>
        <vt:lpwstr/>
      </vt:variant>
      <vt:variant>
        <vt:lpwstr>_Toc244012585</vt:lpwstr>
      </vt:variant>
      <vt:variant>
        <vt:i4>1638450</vt:i4>
      </vt:variant>
      <vt:variant>
        <vt:i4>215</vt:i4>
      </vt:variant>
      <vt:variant>
        <vt:i4>0</vt:i4>
      </vt:variant>
      <vt:variant>
        <vt:i4>5</vt:i4>
      </vt:variant>
      <vt:variant>
        <vt:lpwstr/>
      </vt:variant>
      <vt:variant>
        <vt:lpwstr>_Toc244012584</vt:lpwstr>
      </vt:variant>
      <vt:variant>
        <vt:i4>1638450</vt:i4>
      </vt:variant>
      <vt:variant>
        <vt:i4>209</vt:i4>
      </vt:variant>
      <vt:variant>
        <vt:i4>0</vt:i4>
      </vt:variant>
      <vt:variant>
        <vt:i4>5</vt:i4>
      </vt:variant>
      <vt:variant>
        <vt:lpwstr/>
      </vt:variant>
      <vt:variant>
        <vt:lpwstr>_Toc244012583</vt:lpwstr>
      </vt:variant>
      <vt:variant>
        <vt:i4>1638450</vt:i4>
      </vt:variant>
      <vt:variant>
        <vt:i4>203</vt:i4>
      </vt:variant>
      <vt:variant>
        <vt:i4>0</vt:i4>
      </vt:variant>
      <vt:variant>
        <vt:i4>5</vt:i4>
      </vt:variant>
      <vt:variant>
        <vt:lpwstr/>
      </vt:variant>
      <vt:variant>
        <vt:lpwstr>_Toc244012582</vt:lpwstr>
      </vt:variant>
      <vt:variant>
        <vt:i4>1638450</vt:i4>
      </vt:variant>
      <vt:variant>
        <vt:i4>197</vt:i4>
      </vt:variant>
      <vt:variant>
        <vt:i4>0</vt:i4>
      </vt:variant>
      <vt:variant>
        <vt:i4>5</vt:i4>
      </vt:variant>
      <vt:variant>
        <vt:lpwstr/>
      </vt:variant>
      <vt:variant>
        <vt:lpwstr>_Toc244012581</vt:lpwstr>
      </vt:variant>
      <vt:variant>
        <vt:i4>1638450</vt:i4>
      </vt:variant>
      <vt:variant>
        <vt:i4>191</vt:i4>
      </vt:variant>
      <vt:variant>
        <vt:i4>0</vt:i4>
      </vt:variant>
      <vt:variant>
        <vt:i4>5</vt:i4>
      </vt:variant>
      <vt:variant>
        <vt:lpwstr/>
      </vt:variant>
      <vt:variant>
        <vt:lpwstr>_Toc244012580</vt:lpwstr>
      </vt:variant>
      <vt:variant>
        <vt:i4>1441842</vt:i4>
      </vt:variant>
      <vt:variant>
        <vt:i4>185</vt:i4>
      </vt:variant>
      <vt:variant>
        <vt:i4>0</vt:i4>
      </vt:variant>
      <vt:variant>
        <vt:i4>5</vt:i4>
      </vt:variant>
      <vt:variant>
        <vt:lpwstr/>
      </vt:variant>
      <vt:variant>
        <vt:lpwstr>_Toc244012579</vt:lpwstr>
      </vt:variant>
      <vt:variant>
        <vt:i4>1441842</vt:i4>
      </vt:variant>
      <vt:variant>
        <vt:i4>179</vt:i4>
      </vt:variant>
      <vt:variant>
        <vt:i4>0</vt:i4>
      </vt:variant>
      <vt:variant>
        <vt:i4>5</vt:i4>
      </vt:variant>
      <vt:variant>
        <vt:lpwstr/>
      </vt:variant>
      <vt:variant>
        <vt:lpwstr>_Toc244012578</vt:lpwstr>
      </vt:variant>
      <vt:variant>
        <vt:i4>1441842</vt:i4>
      </vt:variant>
      <vt:variant>
        <vt:i4>173</vt:i4>
      </vt:variant>
      <vt:variant>
        <vt:i4>0</vt:i4>
      </vt:variant>
      <vt:variant>
        <vt:i4>5</vt:i4>
      </vt:variant>
      <vt:variant>
        <vt:lpwstr/>
      </vt:variant>
      <vt:variant>
        <vt:lpwstr>_Toc244012577</vt:lpwstr>
      </vt:variant>
      <vt:variant>
        <vt:i4>1441842</vt:i4>
      </vt:variant>
      <vt:variant>
        <vt:i4>167</vt:i4>
      </vt:variant>
      <vt:variant>
        <vt:i4>0</vt:i4>
      </vt:variant>
      <vt:variant>
        <vt:i4>5</vt:i4>
      </vt:variant>
      <vt:variant>
        <vt:lpwstr/>
      </vt:variant>
      <vt:variant>
        <vt:lpwstr>_Toc244012576</vt:lpwstr>
      </vt:variant>
      <vt:variant>
        <vt:i4>1441842</vt:i4>
      </vt:variant>
      <vt:variant>
        <vt:i4>161</vt:i4>
      </vt:variant>
      <vt:variant>
        <vt:i4>0</vt:i4>
      </vt:variant>
      <vt:variant>
        <vt:i4>5</vt:i4>
      </vt:variant>
      <vt:variant>
        <vt:lpwstr/>
      </vt:variant>
      <vt:variant>
        <vt:lpwstr>_Toc244012575</vt:lpwstr>
      </vt:variant>
      <vt:variant>
        <vt:i4>1441842</vt:i4>
      </vt:variant>
      <vt:variant>
        <vt:i4>155</vt:i4>
      </vt:variant>
      <vt:variant>
        <vt:i4>0</vt:i4>
      </vt:variant>
      <vt:variant>
        <vt:i4>5</vt:i4>
      </vt:variant>
      <vt:variant>
        <vt:lpwstr/>
      </vt:variant>
      <vt:variant>
        <vt:lpwstr>_Toc244012574</vt:lpwstr>
      </vt:variant>
      <vt:variant>
        <vt:i4>1441842</vt:i4>
      </vt:variant>
      <vt:variant>
        <vt:i4>149</vt:i4>
      </vt:variant>
      <vt:variant>
        <vt:i4>0</vt:i4>
      </vt:variant>
      <vt:variant>
        <vt:i4>5</vt:i4>
      </vt:variant>
      <vt:variant>
        <vt:lpwstr/>
      </vt:variant>
      <vt:variant>
        <vt:lpwstr>_Toc244012573</vt:lpwstr>
      </vt:variant>
      <vt:variant>
        <vt:i4>1441842</vt:i4>
      </vt:variant>
      <vt:variant>
        <vt:i4>143</vt:i4>
      </vt:variant>
      <vt:variant>
        <vt:i4>0</vt:i4>
      </vt:variant>
      <vt:variant>
        <vt:i4>5</vt:i4>
      </vt:variant>
      <vt:variant>
        <vt:lpwstr/>
      </vt:variant>
      <vt:variant>
        <vt:lpwstr>_Toc244012572</vt:lpwstr>
      </vt:variant>
      <vt:variant>
        <vt:i4>1441842</vt:i4>
      </vt:variant>
      <vt:variant>
        <vt:i4>137</vt:i4>
      </vt:variant>
      <vt:variant>
        <vt:i4>0</vt:i4>
      </vt:variant>
      <vt:variant>
        <vt:i4>5</vt:i4>
      </vt:variant>
      <vt:variant>
        <vt:lpwstr/>
      </vt:variant>
      <vt:variant>
        <vt:lpwstr>_Toc244012571</vt:lpwstr>
      </vt:variant>
      <vt:variant>
        <vt:i4>1441842</vt:i4>
      </vt:variant>
      <vt:variant>
        <vt:i4>131</vt:i4>
      </vt:variant>
      <vt:variant>
        <vt:i4>0</vt:i4>
      </vt:variant>
      <vt:variant>
        <vt:i4>5</vt:i4>
      </vt:variant>
      <vt:variant>
        <vt:lpwstr/>
      </vt:variant>
      <vt:variant>
        <vt:lpwstr>_Toc244012570</vt:lpwstr>
      </vt:variant>
      <vt:variant>
        <vt:i4>1507378</vt:i4>
      </vt:variant>
      <vt:variant>
        <vt:i4>125</vt:i4>
      </vt:variant>
      <vt:variant>
        <vt:i4>0</vt:i4>
      </vt:variant>
      <vt:variant>
        <vt:i4>5</vt:i4>
      </vt:variant>
      <vt:variant>
        <vt:lpwstr/>
      </vt:variant>
      <vt:variant>
        <vt:lpwstr>_Toc244012569</vt:lpwstr>
      </vt:variant>
      <vt:variant>
        <vt:i4>1507378</vt:i4>
      </vt:variant>
      <vt:variant>
        <vt:i4>119</vt:i4>
      </vt:variant>
      <vt:variant>
        <vt:i4>0</vt:i4>
      </vt:variant>
      <vt:variant>
        <vt:i4>5</vt:i4>
      </vt:variant>
      <vt:variant>
        <vt:lpwstr/>
      </vt:variant>
      <vt:variant>
        <vt:lpwstr>_Toc244012568</vt:lpwstr>
      </vt:variant>
      <vt:variant>
        <vt:i4>1507378</vt:i4>
      </vt:variant>
      <vt:variant>
        <vt:i4>113</vt:i4>
      </vt:variant>
      <vt:variant>
        <vt:i4>0</vt:i4>
      </vt:variant>
      <vt:variant>
        <vt:i4>5</vt:i4>
      </vt:variant>
      <vt:variant>
        <vt:lpwstr/>
      </vt:variant>
      <vt:variant>
        <vt:lpwstr>_Toc244012567</vt:lpwstr>
      </vt:variant>
      <vt:variant>
        <vt:i4>1507378</vt:i4>
      </vt:variant>
      <vt:variant>
        <vt:i4>107</vt:i4>
      </vt:variant>
      <vt:variant>
        <vt:i4>0</vt:i4>
      </vt:variant>
      <vt:variant>
        <vt:i4>5</vt:i4>
      </vt:variant>
      <vt:variant>
        <vt:lpwstr/>
      </vt:variant>
      <vt:variant>
        <vt:lpwstr>_Toc244012566</vt:lpwstr>
      </vt:variant>
      <vt:variant>
        <vt:i4>1507378</vt:i4>
      </vt:variant>
      <vt:variant>
        <vt:i4>101</vt:i4>
      </vt:variant>
      <vt:variant>
        <vt:i4>0</vt:i4>
      </vt:variant>
      <vt:variant>
        <vt:i4>5</vt:i4>
      </vt:variant>
      <vt:variant>
        <vt:lpwstr/>
      </vt:variant>
      <vt:variant>
        <vt:lpwstr>_Toc244012565</vt:lpwstr>
      </vt:variant>
      <vt:variant>
        <vt:i4>1507378</vt:i4>
      </vt:variant>
      <vt:variant>
        <vt:i4>95</vt:i4>
      </vt:variant>
      <vt:variant>
        <vt:i4>0</vt:i4>
      </vt:variant>
      <vt:variant>
        <vt:i4>5</vt:i4>
      </vt:variant>
      <vt:variant>
        <vt:lpwstr/>
      </vt:variant>
      <vt:variant>
        <vt:lpwstr>_Toc244012564</vt:lpwstr>
      </vt:variant>
      <vt:variant>
        <vt:i4>1507378</vt:i4>
      </vt:variant>
      <vt:variant>
        <vt:i4>89</vt:i4>
      </vt:variant>
      <vt:variant>
        <vt:i4>0</vt:i4>
      </vt:variant>
      <vt:variant>
        <vt:i4>5</vt:i4>
      </vt:variant>
      <vt:variant>
        <vt:lpwstr/>
      </vt:variant>
      <vt:variant>
        <vt:lpwstr>_Toc244012563</vt:lpwstr>
      </vt:variant>
      <vt:variant>
        <vt:i4>1507378</vt:i4>
      </vt:variant>
      <vt:variant>
        <vt:i4>83</vt:i4>
      </vt:variant>
      <vt:variant>
        <vt:i4>0</vt:i4>
      </vt:variant>
      <vt:variant>
        <vt:i4>5</vt:i4>
      </vt:variant>
      <vt:variant>
        <vt:lpwstr/>
      </vt:variant>
      <vt:variant>
        <vt:lpwstr>_Toc244012562</vt:lpwstr>
      </vt:variant>
      <vt:variant>
        <vt:i4>1507378</vt:i4>
      </vt:variant>
      <vt:variant>
        <vt:i4>77</vt:i4>
      </vt:variant>
      <vt:variant>
        <vt:i4>0</vt:i4>
      </vt:variant>
      <vt:variant>
        <vt:i4>5</vt:i4>
      </vt:variant>
      <vt:variant>
        <vt:lpwstr/>
      </vt:variant>
      <vt:variant>
        <vt:lpwstr>_Toc244012561</vt:lpwstr>
      </vt:variant>
      <vt:variant>
        <vt:i4>1507378</vt:i4>
      </vt:variant>
      <vt:variant>
        <vt:i4>71</vt:i4>
      </vt:variant>
      <vt:variant>
        <vt:i4>0</vt:i4>
      </vt:variant>
      <vt:variant>
        <vt:i4>5</vt:i4>
      </vt:variant>
      <vt:variant>
        <vt:lpwstr/>
      </vt:variant>
      <vt:variant>
        <vt:lpwstr>_Toc244012560</vt:lpwstr>
      </vt:variant>
      <vt:variant>
        <vt:i4>1310770</vt:i4>
      </vt:variant>
      <vt:variant>
        <vt:i4>65</vt:i4>
      </vt:variant>
      <vt:variant>
        <vt:i4>0</vt:i4>
      </vt:variant>
      <vt:variant>
        <vt:i4>5</vt:i4>
      </vt:variant>
      <vt:variant>
        <vt:lpwstr/>
      </vt:variant>
      <vt:variant>
        <vt:lpwstr>_Toc244012559</vt:lpwstr>
      </vt:variant>
      <vt:variant>
        <vt:i4>1310770</vt:i4>
      </vt:variant>
      <vt:variant>
        <vt:i4>59</vt:i4>
      </vt:variant>
      <vt:variant>
        <vt:i4>0</vt:i4>
      </vt:variant>
      <vt:variant>
        <vt:i4>5</vt:i4>
      </vt:variant>
      <vt:variant>
        <vt:lpwstr/>
      </vt:variant>
      <vt:variant>
        <vt:lpwstr>_Toc244012558</vt:lpwstr>
      </vt:variant>
      <vt:variant>
        <vt:i4>1310770</vt:i4>
      </vt:variant>
      <vt:variant>
        <vt:i4>53</vt:i4>
      </vt:variant>
      <vt:variant>
        <vt:i4>0</vt:i4>
      </vt:variant>
      <vt:variant>
        <vt:i4>5</vt:i4>
      </vt:variant>
      <vt:variant>
        <vt:lpwstr/>
      </vt:variant>
      <vt:variant>
        <vt:lpwstr>_Toc244012557</vt:lpwstr>
      </vt:variant>
      <vt:variant>
        <vt:i4>1310770</vt:i4>
      </vt:variant>
      <vt:variant>
        <vt:i4>47</vt:i4>
      </vt:variant>
      <vt:variant>
        <vt:i4>0</vt:i4>
      </vt:variant>
      <vt:variant>
        <vt:i4>5</vt:i4>
      </vt:variant>
      <vt:variant>
        <vt:lpwstr/>
      </vt:variant>
      <vt:variant>
        <vt:lpwstr>_Toc244012556</vt:lpwstr>
      </vt:variant>
      <vt:variant>
        <vt:i4>1310770</vt:i4>
      </vt:variant>
      <vt:variant>
        <vt:i4>41</vt:i4>
      </vt:variant>
      <vt:variant>
        <vt:i4>0</vt:i4>
      </vt:variant>
      <vt:variant>
        <vt:i4>5</vt:i4>
      </vt:variant>
      <vt:variant>
        <vt:lpwstr/>
      </vt:variant>
      <vt:variant>
        <vt:lpwstr>_Toc244012555</vt:lpwstr>
      </vt:variant>
      <vt:variant>
        <vt:i4>1310770</vt:i4>
      </vt:variant>
      <vt:variant>
        <vt:i4>35</vt:i4>
      </vt:variant>
      <vt:variant>
        <vt:i4>0</vt:i4>
      </vt:variant>
      <vt:variant>
        <vt:i4>5</vt:i4>
      </vt:variant>
      <vt:variant>
        <vt:lpwstr/>
      </vt:variant>
      <vt:variant>
        <vt:lpwstr>_Toc244012554</vt:lpwstr>
      </vt:variant>
      <vt:variant>
        <vt:i4>1310770</vt:i4>
      </vt:variant>
      <vt:variant>
        <vt:i4>29</vt:i4>
      </vt:variant>
      <vt:variant>
        <vt:i4>0</vt:i4>
      </vt:variant>
      <vt:variant>
        <vt:i4>5</vt:i4>
      </vt:variant>
      <vt:variant>
        <vt:lpwstr/>
      </vt:variant>
      <vt:variant>
        <vt:lpwstr>_Toc244012553</vt:lpwstr>
      </vt:variant>
      <vt:variant>
        <vt:i4>1310770</vt:i4>
      </vt:variant>
      <vt:variant>
        <vt:i4>23</vt:i4>
      </vt:variant>
      <vt:variant>
        <vt:i4>0</vt:i4>
      </vt:variant>
      <vt:variant>
        <vt:i4>5</vt:i4>
      </vt:variant>
      <vt:variant>
        <vt:lpwstr/>
      </vt:variant>
      <vt:variant>
        <vt:lpwstr>_Toc244012552</vt:lpwstr>
      </vt:variant>
      <vt:variant>
        <vt:i4>1310770</vt:i4>
      </vt:variant>
      <vt:variant>
        <vt:i4>17</vt:i4>
      </vt:variant>
      <vt:variant>
        <vt:i4>0</vt:i4>
      </vt:variant>
      <vt:variant>
        <vt:i4>5</vt:i4>
      </vt:variant>
      <vt:variant>
        <vt:lpwstr/>
      </vt:variant>
      <vt:variant>
        <vt:lpwstr>_Toc244012551</vt:lpwstr>
      </vt:variant>
      <vt:variant>
        <vt:i4>6094850</vt:i4>
      </vt:variant>
      <vt:variant>
        <vt:i4>12</vt:i4>
      </vt:variant>
      <vt:variant>
        <vt:i4>0</vt:i4>
      </vt:variant>
      <vt:variant>
        <vt:i4>5</vt:i4>
      </vt:variant>
      <vt:variant>
        <vt:lpwstr>http://www.safercare.vic/</vt:lpwstr>
      </vt:variant>
      <vt:variant>
        <vt:lpwstr/>
      </vt:variant>
      <vt:variant>
        <vt:i4>70</vt:i4>
      </vt:variant>
      <vt:variant>
        <vt:i4>9</vt:i4>
      </vt:variant>
      <vt:variant>
        <vt:i4>0</vt:i4>
      </vt:variant>
      <vt:variant>
        <vt:i4>5</vt:i4>
      </vt:variant>
      <vt:variant>
        <vt:lpwstr>https://www.safercare.vic.gov.au/</vt:lpwstr>
      </vt:variant>
      <vt:variant>
        <vt:lpwstr/>
      </vt:variant>
      <vt:variant>
        <vt:i4>4456545</vt:i4>
      </vt:variant>
      <vt:variant>
        <vt:i4>6</vt:i4>
      </vt:variant>
      <vt:variant>
        <vt:i4>0</vt:i4>
      </vt:variant>
      <vt:variant>
        <vt:i4>5</vt:i4>
      </vt:variant>
      <vt:variant>
        <vt:lpwstr>mailto:safercarevictoria@dhhs.vic</vt:lpwstr>
      </vt:variant>
      <vt:variant>
        <vt:lpwstr/>
      </vt:variant>
      <vt:variant>
        <vt:i4>7733315</vt:i4>
      </vt:variant>
      <vt:variant>
        <vt:i4>3</vt:i4>
      </vt:variant>
      <vt:variant>
        <vt:i4>0</vt:i4>
      </vt:variant>
      <vt:variant>
        <vt:i4>5</vt:i4>
      </vt:variant>
      <vt:variant>
        <vt:lpwstr>mailto:info@safercarevictoria.vic.gov.au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Credentialing and scope of clinical practice for senior medical practitioners policy</dc:title>
  <dc:subject/>
  <dc:creator>Safer Care Victoria</dc:creator>
  <cp:keywords/>
  <dc:description/>
  <cp:lastModifiedBy>Max Arnold (Health)</cp:lastModifiedBy>
  <cp:revision>3</cp:revision>
  <cp:lastPrinted>2020-08-13T04:56:00Z</cp:lastPrinted>
  <dcterms:created xsi:type="dcterms:W3CDTF">2026-10-27T06:10:00Z</dcterms:created>
  <dcterms:modified xsi:type="dcterms:W3CDTF">2026-10-28T02:49:00Z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0x0101002DFC3F77DFC31A48A7830C8F752803B7</vt:lpwstr>
  </property>
  <property fmtid="{D5CDD505-2E9C-101B-9397-08002B2CF9AE}" pid="4" name="MSIP_Label_43e64453-338c-4f93-8a4d-0039a0a41f2a_Enabled">
    <vt:lpwstr>true</vt:lpwstr>
  </property>
  <property fmtid="{D5CDD505-2E9C-101B-9397-08002B2CF9AE}" pid="5" name="MSIP_Label_43e64453-338c-4f93-8a4d-0039a0a41f2a_SetDate">
    <vt:lpwstr>2022-06-30T05:04:02Z</vt:lpwstr>
  </property>
  <property fmtid="{D5CDD505-2E9C-101B-9397-08002B2CF9AE}" pid="6" name="MSIP_Label_43e64453-338c-4f93-8a4d-0039a0a41f2a_Method">
    <vt:lpwstr>Privileged</vt:lpwstr>
  </property>
  <property fmtid="{D5CDD505-2E9C-101B-9397-08002B2CF9AE}" pid="7" name="MSIP_Label_43e64453-338c-4f93-8a4d-0039a0a41f2a_Name">
    <vt:lpwstr>43e64453-338c-4f93-8a4d-0039a0a41f2a</vt:lpwstr>
  </property>
  <property fmtid="{D5CDD505-2E9C-101B-9397-08002B2CF9AE}" pid="8" name="MSIP_Label_43e64453-338c-4f93-8a4d-0039a0a41f2a_SiteId">
    <vt:lpwstr>c0e0601f-0fac-449c-9c88-a104c4eb9f28</vt:lpwstr>
  </property>
  <property fmtid="{D5CDD505-2E9C-101B-9397-08002B2CF9AE}" pid="9" name="MSIP_Label_43e64453-338c-4f93-8a4d-0039a0a41f2a_ActionId">
    <vt:lpwstr>fb07bdfc-0be1-441d-a3f8-ce068969af74</vt:lpwstr>
  </property>
  <property fmtid="{D5CDD505-2E9C-101B-9397-08002B2CF9AE}" pid="10" name="MSIP_Label_43e64453-338c-4f93-8a4d-0039a0a41f2a_ContentBits">
    <vt:lpwstr>2</vt:lpwstr>
  </property>
  <property fmtid="{D5CDD505-2E9C-101B-9397-08002B2CF9AE}" pid="11" name="MediaServiceImageTags">
    <vt:lpwstr/>
  </property>
</Properties>
</file>