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47C82" w14:textId="308641C6" w:rsidR="00C50A2B" w:rsidRPr="0059267A" w:rsidRDefault="001447FC" w:rsidP="00D15955">
      <w:pPr>
        <w:pStyle w:val="SCVreporttitle"/>
        <w:spacing w:before="160"/>
      </w:pPr>
      <w:r>
        <w:t xml:space="preserve">Annual </w:t>
      </w:r>
      <w:r w:rsidR="00357C5F">
        <w:t>P</w:t>
      </w:r>
      <w:r>
        <w:t>lan 2026</w:t>
      </w:r>
      <w:r w:rsidR="3EEA03B7">
        <w:t>–</w:t>
      </w:r>
      <w:r>
        <w:t xml:space="preserve">27 </w:t>
      </w:r>
    </w:p>
    <w:p w14:paraId="136A8F78" w14:textId="4493019D" w:rsidR="00C50A2B" w:rsidRPr="0059267A" w:rsidRDefault="005D1399" w:rsidP="00C50A2B">
      <w:pPr>
        <w:pStyle w:val="SCVprotectivemarkingbelowsubtitle"/>
      </w:pPr>
      <w:fldSimple w:instr="FILLIN  &quot;Type the protective marking&quot; \d OFFICIAL \o  \* MERGEFORMAT">
        <w:r>
          <w:t>OFFICIAL</w:t>
        </w:r>
      </w:fldSimple>
    </w:p>
    <w:p w14:paraId="7A0EB699" w14:textId="77777777" w:rsidR="009A35AA" w:rsidRPr="0059267A" w:rsidRDefault="009A35AA" w:rsidP="00A46288">
      <w:pPr>
        <w:pStyle w:val="NoSpacing"/>
      </w:pPr>
    </w:p>
    <w:p w14:paraId="08FCCE66" w14:textId="6B0D9FD8" w:rsidR="00A46288" w:rsidRDefault="003F4523" w:rsidP="003F4523">
      <w:pPr>
        <w:pStyle w:val="SCVbody"/>
        <w:tabs>
          <w:tab w:val="left" w:pos="4620"/>
        </w:tabs>
      </w:pPr>
      <w:r>
        <w:tab/>
      </w:r>
    </w:p>
    <w:p w14:paraId="67B8C8AB" w14:textId="77777777" w:rsidR="00F050D3" w:rsidRPr="00F050D3" w:rsidRDefault="00F050D3" w:rsidP="00F050D3"/>
    <w:p w14:paraId="439F17DD" w14:textId="77777777" w:rsidR="00F050D3" w:rsidRPr="00F050D3" w:rsidRDefault="00F050D3" w:rsidP="00F050D3">
      <w:pPr>
        <w:jc w:val="right"/>
      </w:pPr>
    </w:p>
    <w:p w14:paraId="03CBF50A" w14:textId="77777777" w:rsidR="00F050D3" w:rsidRPr="00F050D3" w:rsidRDefault="00F050D3" w:rsidP="00F050D3"/>
    <w:p w14:paraId="669BD326" w14:textId="77777777" w:rsidR="00F050D3" w:rsidRPr="00F050D3" w:rsidRDefault="00F050D3" w:rsidP="00F050D3"/>
    <w:p w14:paraId="3E3E4097" w14:textId="77777777" w:rsidR="00F050D3" w:rsidRPr="00F050D3" w:rsidRDefault="00F050D3" w:rsidP="00F050D3"/>
    <w:p w14:paraId="4EF6AAF6" w14:textId="77777777" w:rsidR="00F050D3" w:rsidRPr="00F050D3" w:rsidRDefault="00F050D3" w:rsidP="00F050D3"/>
    <w:p w14:paraId="217FFAC7" w14:textId="2F21E1E0" w:rsidR="00F050D3" w:rsidRPr="00F050D3" w:rsidRDefault="00F050D3" w:rsidP="00F050D3">
      <w:pPr>
        <w:sectPr w:rsidR="00F050D3" w:rsidRPr="00F050D3" w:rsidSect="00D15955">
          <w:headerReference w:type="even" r:id="rId11"/>
          <w:headerReference w:type="default" r:id="rId12"/>
          <w:footerReference w:type="even" r:id="rId13"/>
          <w:footerReference w:type="default" r:id="rId14"/>
          <w:headerReference w:type="first" r:id="rId15"/>
          <w:footerReference w:type="first" r:id="rId16"/>
          <w:pgSz w:w="11906" w:h="16838" w:code="9"/>
          <w:pgMar w:top="4536" w:right="3402" w:bottom="1361" w:left="851" w:header="454" w:footer="454" w:gutter="0"/>
          <w:cols w:space="284"/>
          <w:docGrid w:linePitch="360"/>
        </w:sectPr>
      </w:pPr>
    </w:p>
    <w:tbl>
      <w:tblPr>
        <w:tblStyle w:val="SCVInformationTable"/>
        <w:tblW w:w="10206" w:type="dxa"/>
        <w:shd w:val="clear" w:color="auto" w:fill="FFFFFF" w:themeFill="background1"/>
        <w:tblLook w:val="0600" w:firstRow="0" w:lastRow="0" w:firstColumn="0" w:lastColumn="0" w:noHBand="1" w:noVBand="1"/>
      </w:tblPr>
      <w:tblGrid>
        <w:gridCol w:w="10206"/>
      </w:tblGrid>
      <w:tr w:rsidR="006C73AB" w:rsidRPr="006C73AB" w14:paraId="61717BCD" w14:textId="77777777" w:rsidTr="000B6472">
        <w:trPr>
          <w:trHeight w:val="6387"/>
        </w:trPr>
        <w:tc>
          <w:tcPr>
            <w:tcW w:w="9070" w:type="dxa"/>
            <w:shd w:val="clear" w:color="auto" w:fill="FFFFFF" w:themeFill="background1"/>
          </w:tcPr>
          <w:p w14:paraId="59104D47" w14:textId="77777777" w:rsidR="006C73AB" w:rsidRPr="006C73AB" w:rsidRDefault="006C73AB" w:rsidP="006C73AB">
            <w:pPr>
              <w:rPr>
                <w:sz w:val="24"/>
              </w:rPr>
            </w:pPr>
          </w:p>
        </w:tc>
      </w:tr>
      <w:tr w:rsidR="006C73AB" w:rsidRPr="006C73AB" w14:paraId="188B3E91" w14:textId="77777777" w:rsidTr="000B6472">
        <w:trPr>
          <w:cantSplit/>
          <w:trHeight w:val="3969"/>
        </w:trPr>
        <w:tc>
          <w:tcPr>
            <w:tcW w:w="9070" w:type="dxa"/>
            <w:shd w:val="clear" w:color="auto" w:fill="FFFFFF" w:themeFill="background1"/>
          </w:tcPr>
          <w:p w14:paraId="59A74D99" w14:textId="4D2628B5" w:rsidR="006C73AB" w:rsidRPr="006C73AB" w:rsidRDefault="006C73AB" w:rsidP="006C73AB">
            <w:pPr>
              <w:rPr>
                <w:sz w:val="24"/>
              </w:rPr>
            </w:pPr>
            <w:r w:rsidRPr="006C73AB">
              <w:rPr>
                <w:sz w:val="24"/>
              </w:rPr>
              <w:t xml:space="preserve">To receive this publication in an accessible format </w:t>
            </w:r>
            <w:hyperlink r:id="rId17" w:history="1">
              <w:r w:rsidRPr="006C73AB">
                <w:rPr>
                  <w:sz w:val="24"/>
                </w:rPr>
                <w:t>email</w:t>
              </w:r>
              <w:r w:rsidRPr="007F2FD4">
                <w:rPr>
                  <w:color w:val="004C97"/>
                  <w:sz w:val="24"/>
                </w:rPr>
                <w:t xml:space="preserve"> </w:t>
              </w:r>
              <w:r w:rsidRPr="006C73AB">
                <w:rPr>
                  <w:color w:val="004C97"/>
                  <w:sz w:val="24"/>
                  <w:u w:val="single"/>
                </w:rPr>
                <w:t>Safer Care Victoria</w:t>
              </w:r>
            </w:hyperlink>
            <w:r w:rsidRPr="006C73AB">
              <w:rPr>
                <w:sz w:val="24"/>
              </w:rPr>
              <w:t xml:space="preserve"> info@</w:t>
            </w:r>
            <w:hyperlink r:id="rId18" w:history="1">
              <w:r w:rsidRPr="006C73AB">
                <w:rPr>
                  <w:sz w:val="24"/>
                </w:rPr>
                <w:t>safercare.vic</w:t>
              </w:r>
            </w:hyperlink>
            <w:r w:rsidRPr="006C73AB">
              <w:rPr>
                <w:sz w:val="24"/>
              </w:rPr>
              <w:t>.gov.au</w:t>
            </w:r>
            <w:r w:rsidR="000A6A39">
              <w:rPr>
                <w:sz w:val="24"/>
              </w:rPr>
              <w:t>.</w:t>
            </w:r>
          </w:p>
          <w:p w14:paraId="0258D687" w14:textId="77777777" w:rsidR="006C73AB" w:rsidRPr="006C73AB" w:rsidRDefault="006C73AB" w:rsidP="006C73AB">
            <w:pPr>
              <w:spacing w:after="120"/>
              <w:rPr>
                <w:sz w:val="18"/>
                <w:szCs w:val="18"/>
              </w:rPr>
            </w:pPr>
            <w:r w:rsidRPr="006C73AB">
              <w:rPr>
                <w:sz w:val="18"/>
                <w:szCs w:val="18"/>
              </w:rPr>
              <w:t xml:space="preserve">Authorised and </w:t>
            </w:r>
            <w:r w:rsidRPr="006C73AB">
              <w:rPr>
                <w:spacing w:val="-2"/>
                <w:sz w:val="18"/>
                <w:szCs w:val="18"/>
              </w:rPr>
              <w:t>published by the Victorian</w:t>
            </w:r>
            <w:r w:rsidRPr="006C73AB">
              <w:rPr>
                <w:sz w:val="18"/>
                <w:szCs w:val="18"/>
              </w:rPr>
              <w:t xml:space="preserve"> Government, 1 Treasury Place, Melbourne.</w:t>
            </w:r>
          </w:p>
          <w:p w14:paraId="252ABAC2" w14:textId="55352D70" w:rsidR="006C73AB" w:rsidRPr="006C73AB" w:rsidRDefault="006C73AB" w:rsidP="006C73AB">
            <w:pPr>
              <w:spacing w:after="120"/>
              <w:rPr>
                <w:sz w:val="18"/>
                <w:szCs w:val="18"/>
              </w:rPr>
            </w:pPr>
            <w:r w:rsidRPr="006C73AB">
              <w:rPr>
                <w:sz w:val="18"/>
                <w:szCs w:val="18"/>
              </w:rPr>
              <w:t xml:space="preserve">© State of Victoria, Australia, Safer Care Victoria, </w:t>
            </w:r>
            <w:r>
              <w:rPr>
                <w:sz w:val="18"/>
                <w:szCs w:val="18"/>
              </w:rPr>
              <w:t>October</w:t>
            </w:r>
            <w:r w:rsidRPr="006C73AB">
              <w:rPr>
                <w:sz w:val="18"/>
                <w:szCs w:val="18"/>
              </w:rPr>
              <w:t xml:space="preserve"> 202</w:t>
            </w:r>
            <w:r>
              <w:rPr>
                <w:sz w:val="18"/>
                <w:szCs w:val="18"/>
              </w:rPr>
              <w:t>6</w:t>
            </w:r>
            <w:r w:rsidRPr="006C73AB">
              <w:rPr>
                <w:sz w:val="18"/>
                <w:szCs w:val="18"/>
              </w:rPr>
              <w:t>.</w:t>
            </w:r>
          </w:p>
          <w:p w14:paraId="734B636A" w14:textId="77777777" w:rsidR="006C73AB" w:rsidRPr="006C73AB" w:rsidRDefault="006C73AB" w:rsidP="006C73AB">
            <w:pPr>
              <w:spacing w:after="120"/>
              <w:rPr>
                <w:sz w:val="18"/>
                <w:szCs w:val="18"/>
              </w:rPr>
            </w:pPr>
            <w:r w:rsidRPr="006C73AB">
              <w:rPr>
                <w:sz w:val="18"/>
                <w:szCs w:val="18"/>
              </w:rPr>
              <w:t>ISSN 2208-6927</w:t>
            </w:r>
          </w:p>
          <w:p w14:paraId="2E31E088" w14:textId="77777777" w:rsidR="006C73AB" w:rsidRPr="006C73AB" w:rsidRDefault="006C73AB" w:rsidP="006C73AB">
            <w:pPr>
              <w:spacing w:after="120"/>
              <w:rPr>
                <w:sz w:val="18"/>
                <w:szCs w:val="18"/>
              </w:rPr>
            </w:pPr>
            <w:r w:rsidRPr="006C73AB">
              <w:rPr>
                <w:sz w:val="18"/>
                <w:szCs w:val="18"/>
              </w:rPr>
              <w:t xml:space="preserve">Available at the </w:t>
            </w:r>
            <w:hyperlink r:id="rId19" w:history="1">
              <w:r w:rsidRPr="006C73AB">
                <w:rPr>
                  <w:color w:val="004C97"/>
                  <w:sz w:val="18"/>
                  <w:szCs w:val="18"/>
                  <w:u w:val="single"/>
                </w:rPr>
                <w:t>Safer Care Victoria website</w:t>
              </w:r>
            </w:hyperlink>
            <w:r w:rsidRPr="006C73AB">
              <w:rPr>
                <w:sz w:val="18"/>
                <w:szCs w:val="18"/>
              </w:rPr>
              <w:t xml:space="preserve"> &lt;https://</w:t>
            </w:r>
            <w:hyperlink r:id="rId20" w:history="1">
              <w:r w:rsidRPr="006C73AB">
                <w:rPr>
                  <w:sz w:val="18"/>
                  <w:szCs w:val="18"/>
                </w:rPr>
                <w:t>www.safercare.vic</w:t>
              </w:r>
            </w:hyperlink>
            <w:r w:rsidRPr="006C73AB">
              <w:rPr>
                <w:sz w:val="18"/>
                <w:szCs w:val="18"/>
              </w:rPr>
              <w:t>.gov.au&gt;</w:t>
            </w:r>
          </w:p>
          <w:p w14:paraId="4A7F812B" w14:textId="77777777" w:rsidR="006C73AB" w:rsidRPr="006C73AB" w:rsidRDefault="006C73AB" w:rsidP="006C73AB">
            <w:pPr>
              <w:jc w:val="right"/>
              <w:rPr>
                <w:sz w:val="22"/>
              </w:rPr>
            </w:pPr>
            <w:r w:rsidRPr="006C73AB">
              <w:rPr>
                <w:noProof/>
                <w:sz w:val="22"/>
              </w:rPr>
              <w:drawing>
                <wp:inline distT="0" distB="0" distL="0" distR="0" wp14:anchorId="30EC0264" wp14:editId="69247544">
                  <wp:extent cx="795600" cy="453600"/>
                  <wp:effectExtent l="0" t="0" r="5080" b="3810"/>
                  <wp:docPr id="16" name="Picture 16" descr="Victoria State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Victoria State Government"/>
                          <pic:cNvPicPr/>
                        </pic:nvPicPr>
                        <pic:blipFill>
                          <a:blip r:embed="rId21" cstate="print">
                            <a:extLst>
                              <a:ext uri="{28A0092B-C50C-407E-A947-70E740481C1C}">
                                <a14:useLocalDpi xmlns:a14="http://schemas.microsoft.com/office/drawing/2010/main" val="0"/>
                              </a:ext>
                            </a:extLst>
                          </a:blip>
                          <a:stretch>
                            <a:fillRect/>
                          </a:stretch>
                        </pic:blipFill>
                        <pic:spPr>
                          <a:xfrm>
                            <a:off x="0" y="0"/>
                            <a:ext cx="795600" cy="453600"/>
                          </a:xfrm>
                          <a:prstGeom prst="rect">
                            <a:avLst/>
                          </a:prstGeom>
                        </pic:spPr>
                      </pic:pic>
                    </a:graphicData>
                  </a:graphic>
                </wp:inline>
              </w:drawing>
            </w:r>
          </w:p>
        </w:tc>
      </w:tr>
    </w:tbl>
    <w:p w14:paraId="466A0762" w14:textId="60290E8E" w:rsidR="006C73AB" w:rsidRPr="006C73AB" w:rsidRDefault="006C73AB" w:rsidP="006C73AB">
      <w:pPr>
        <w:tabs>
          <w:tab w:val="left" w:pos="1230"/>
        </w:tabs>
        <w:sectPr w:rsidR="006C73AB" w:rsidRPr="006C73AB" w:rsidSect="00616087">
          <w:headerReference w:type="even" r:id="rId22"/>
          <w:headerReference w:type="default" r:id="rId23"/>
          <w:footerReference w:type="even" r:id="rId24"/>
          <w:footerReference w:type="default" r:id="rId25"/>
          <w:headerReference w:type="first" r:id="rId26"/>
          <w:footerReference w:type="first" r:id="rId27"/>
          <w:pgSz w:w="11906" w:h="16838" w:code="9"/>
          <w:pgMar w:top="3402" w:right="851" w:bottom="1361" w:left="851" w:header="851" w:footer="851" w:gutter="0"/>
          <w:pgNumType w:fmt="lowerRoman"/>
          <w:cols w:space="284"/>
          <w:docGrid w:linePitch="360"/>
        </w:sectPr>
      </w:pPr>
    </w:p>
    <w:p w14:paraId="6CAA07ED" w14:textId="2BD4EBD1" w:rsidR="00294A5A" w:rsidRPr="0059267A" w:rsidRDefault="00294A5A" w:rsidP="00EF295D">
      <w:pPr>
        <w:pStyle w:val="SCVTOCheading"/>
      </w:pPr>
      <w:bookmarkStart w:id="0" w:name="_Toc242783763"/>
      <w:r w:rsidRPr="0059267A">
        <w:t>Contents</w:t>
      </w:r>
      <w:bookmarkEnd w:id="0"/>
    </w:p>
    <w:p w14:paraId="2767A549" w14:textId="622D9863" w:rsidR="00DC6708" w:rsidRDefault="00DD5A54">
      <w:pPr>
        <w:pStyle w:val="TOC1"/>
        <w:rPr>
          <w:b w:val="0"/>
          <w:kern w:val="2"/>
          <w:sz w:val="24"/>
          <w:szCs w:val="24"/>
          <w:lang w:eastAsia="en-AU"/>
          <w14:ligatures w14:val="standardContextual"/>
        </w:rPr>
      </w:pPr>
      <w:r>
        <w:rPr>
          <w:rStyle w:val="Hyperlink"/>
          <w:b w:val="0"/>
          <w:sz w:val="19"/>
        </w:rPr>
        <w:fldChar w:fldCharType="begin"/>
      </w:r>
      <w:r>
        <w:rPr>
          <w:rStyle w:val="Hyperlink"/>
          <w:b w:val="0"/>
          <w:sz w:val="19"/>
        </w:rPr>
        <w:instrText xml:space="preserve"> TOC \o "1-1" \h \z \u </w:instrText>
      </w:r>
      <w:r>
        <w:rPr>
          <w:rStyle w:val="Hyperlink"/>
          <w:b w:val="0"/>
          <w:sz w:val="19"/>
        </w:rPr>
        <w:fldChar w:fldCharType="separate"/>
      </w:r>
      <w:hyperlink w:anchor="_Toc242783763" w:history="1">
        <w:r w:rsidR="00DC6708" w:rsidRPr="0048192D">
          <w:rPr>
            <w:rStyle w:val="Hyperlink"/>
          </w:rPr>
          <w:t>Contents</w:t>
        </w:r>
        <w:r w:rsidR="00DC6708">
          <w:rPr>
            <w:webHidden/>
          </w:rPr>
          <w:tab/>
        </w:r>
        <w:r w:rsidR="00DC6708">
          <w:rPr>
            <w:webHidden/>
          </w:rPr>
          <w:fldChar w:fldCharType="begin"/>
        </w:r>
        <w:r w:rsidR="00DC6708">
          <w:rPr>
            <w:webHidden/>
          </w:rPr>
          <w:instrText xml:space="preserve"> PAGEREF _Toc242783763 \h </w:instrText>
        </w:r>
        <w:r w:rsidR="00DC6708">
          <w:rPr>
            <w:webHidden/>
          </w:rPr>
        </w:r>
        <w:r w:rsidR="00DC6708">
          <w:rPr>
            <w:webHidden/>
          </w:rPr>
          <w:fldChar w:fldCharType="separate"/>
        </w:r>
        <w:r w:rsidR="00BA15DD">
          <w:rPr>
            <w:webHidden/>
          </w:rPr>
          <w:t>1</w:t>
        </w:r>
        <w:r w:rsidR="00DC6708">
          <w:rPr>
            <w:webHidden/>
          </w:rPr>
          <w:fldChar w:fldCharType="end"/>
        </w:r>
      </w:hyperlink>
    </w:p>
    <w:p w14:paraId="4E3CBBF5" w14:textId="374F9A79" w:rsidR="00DC6708" w:rsidRDefault="00DC6708">
      <w:pPr>
        <w:pStyle w:val="TOC1"/>
        <w:rPr>
          <w:b w:val="0"/>
          <w:kern w:val="2"/>
          <w:sz w:val="24"/>
          <w:szCs w:val="24"/>
          <w:lang w:eastAsia="en-AU"/>
          <w14:ligatures w14:val="standardContextual"/>
        </w:rPr>
      </w:pPr>
      <w:hyperlink w:anchor="_Toc242783764" w:history="1">
        <w:r w:rsidRPr="0048192D">
          <w:rPr>
            <w:rStyle w:val="Hyperlink"/>
          </w:rPr>
          <w:t>Acknowledgements</w:t>
        </w:r>
        <w:r>
          <w:rPr>
            <w:webHidden/>
          </w:rPr>
          <w:tab/>
        </w:r>
        <w:r>
          <w:rPr>
            <w:webHidden/>
          </w:rPr>
          <w:fldChar w:fldCharType="begin"/>
        </w:r>
        <w:r>
          <w:rPr>
            <w:webHidden/>
          </w:rPr>
          <w:instrText xml:space="preserve"> PAGEREF _Toc242783764 \h </w:instrText>
        </w:r>
        <w:r>
          <w:rPr>
            <w:webHidden/>
          </w:rPr>
        </w:r>
        <w:r>
          <w:rPr>
            <w:webHidden/>
          </w:rPr>
          <w:fldChar w:fldCharType="separate"/>
        </w:r>
        <w:r w:rsidR="00BA15DD">
          <w:rPr>
            <w:webHidden/>
          </w:rPr>
          <w:t>2</w:t>
        </w:r>
        <w:r>
          <w:rPr>
            <w:webHidden/>
          </w:rPr>
          <w:fldChar w:fldCharType="end"/>
        </w:r>
      </w:hyperlink>
    </w:p>
    <w:p w14:paraId="0B038910" w14:textId="279E343F" w:rsidR="00DC6708" w:rsidRDefault="00DC6708">
      <w:pPr>
        <w:pStyle w:val="TOC1"/>
        <w:rPr>
          <w:b w:val="0"/>
          <w:kern w:val="2"/>
          <w:sz w:val="24"/>
          <w:szCs w:val="24"/>
          <w:lang w:eastAsia="en-AU"/>
          <w14:ligatures w14:val="standardContextual"/>
        </w:rPr>
      </w:pPr>
      <w:hyperlink w:anchor="_Toc242783765" w:history="1">
        <w:r w:rsidRPr="0048192D">
          <w:rPr>
            <w:rStyle w:val="Hyperlink"/>
            <w:rFonts w:asciiTheme="majorHAnsi" w:eastAsiaTheme="majorEastAsia" w:hAnsiTheme="majorHAnsi" w:cstheme="majorBidi"/>
            <w:bCs/>
          </w:rPr>
          <w:t>Abbreviations used in this document</w:t>
        </w:r>
        <w:r>
          <w:rPr>
            <w:webHidden/>
          </w:rPr>
          <w:tab/>
        </w:r>
        <w:r>
          <w:rPr>
            <w:webHidden/>
          </w:rPr>
          <w:fldChar w:fldCharType="begin"/>
        </w:r>
        <w:r>
          <w:rPr>
            <w:webHidden/>
          </w:rPr>
          <w:instrText xml:space="preserve"> PAGEREF _Toc242783765 \h </w:instrText>
        </w:r>
        <w:r>
          <w:rPr>
            <w:webHidden/>
          </w:rPr>
        </w:r>
        <w:r>
          <w:rPr>
            <w:webHidden/>
          </w:rPr>
          <w:fldChar w:fldCharType="separate"/>
        </w:r>
        <w:r w:rsidR="00BA15DD">
          <w:rPr>
            <w:webHidden/>
          </w:rPr>
          <w:t>3</w:t>
        </w:r>
        <w:r>
          <w:rPr>
            <w:webHidden/>
          </w:rPr>
          <w:fldChar w:fldCharType="end"/>
        </w:r>
      </w:hyperlink>
    </w:p>
    <w:p w14:paraId="21ADE33C" w14:textId="7442EDF7" w:rsidR="00DC6708" w:rsidRDefault="00DC6708">
      <w:pPr>
        <w:pStyle w:val="TOC1"/>
        <w:rPr>
          <w:b w:val="0"/>
          <w:kern w:val="2"/>
          <w:sz w:val="24"/>
          <w:szCs w:val="24"/>
          <w:lang w:eastAsia="en-AU"/>
          <w14:ligatures w14:val="standardContextual"/>
        </w:rPr>
      </w:pPr>
      <w:hyperlink w:anchor="_Toc242783766" w:history="1">
        <w:r w:rsidRPr="0048192D">
          <w:rPr>
            <w:rStyle w:val="Hyperlink"/>
          </w:rPr>
          <w:t>A message from our CEO</w:t>
        </w:r>
        <w:r>
          <w:rPr>
            <w:webHidden/>
          </w:rPr>
          <w:tab/>
        </w:r>
        <w:r>
          <w:rPr>
            <w:webHidden/>
          </w:rPr>
          <w:fldChar w:fldCharType="begin"/>
        </w:r>
        <w:r>
          <w:rPr>
            <w:webHidden/>
          </w:rPr>
          <w:instrText xml:space="preserve"> PAGEREF _Toc242783766 \h </w:instrText>
        </w:r>
        <w:r>
          <w:rPr>
            <w:webHidden/>
          </w:rPr>
        </w:r>
        <w:r>
          <w:rPr>
            <w:webHidden/>
          </w:rPr>
          <w:fldChar w:fldCharType="separate"/>
        </w:r>
        <w:r w:rsidR="00BA15DD">
          <w:rPr>
            <w:webHidden/>
          </w:rPr>
          <w:t>4</w:t>
        </w:r>
        <w:r>
          <w:rPr>
            <w:webHidden/>
          </w:rPr>
          <w:fldChar w:fldCharType="end"/>
        </w:r>
      </w:hyperlink>
    </w:p>
    <w:p w14:paraId="26F34605" w14:textId="6AE5EA81" w:rsidR="00DC6708" w:rsidRDefault="00DC6708">
      <w:pPr>
        <w:pStyle w:val="TOC1"/>
        <w:rPr>
          <w:b w:val="0"/>
          <w:kern w:val="2"/>
          <w:sz w:val="24"/>
          <w:szCs w:val="24"/>
          <w:lang w:eastAsia="en-AU"/>
          <w14:ligatures w14:val="standardContextual"/>
        </w:rPr>
      </w:pPr>
      <w:hyperlink w:anchor="_Toc242783767" w:history="1">
        <w:r w:rsidRPr="0048192D">
          <w:rPr>
            <w:rStyle w:val="Hyperlink"/>
          </w:rPr>
          <w:t>About us</w:t>
        </w:r>
        <w:r>
          <w:rPr>
            <w:webHidden/>
          </w:rPr>
          <w:tab/>
        </w:r>
        <w:r>
          <w:rPr>
            <w:webHidden/>
          </w:rPr>
          <w:fldChar w:fldCharType="begin"/>
        </w:r>
        <w:r>
          <w:rPr>
            <w:webHidden/>
          </w:rPr>
          <w:instrText xml:space="preserve"> PAGEREF _Toc242783767 \h </w:instrText>
        </w:r>
        <w:r>
          <w:rPr>
            <w:webHidden/>
          </w:rPr>
        </w:r>
        <w:r>
          <w:rPr>
            <w:webHidden/>
          </w:rPr>
          <w:fldChar w:fldCharType="separate"/>
        </w:r>
        <w:r w:rsidR="00BA15DD">
          <w:rPr>
            <w:webHidden/>
          </w:rPr>
          <w:t>5</w:t>
        </w:r>
        <w:r>
          <w:rPr>
            <w:webHidden/>
          </w:rPr>
          <w:fldChar w:fldCharType="end"/>
        </w:r>
      </w:hyperlink>
    </w:p>
    <w:p w14:paraId="5DD203C2" w14:textId="01184284" w:rsidR="00DC6708" w:rsidRDefault="00DC6708">
      <w:pPr>
        <w:pStyle w:val="TOC1"/>
        <w:rPr>
          <w:b w:val="0"/>
          <w:kern w:val="2"/>
          <w:sz w:val="24"/>
          <w:szCs w:val="24"/>
          <w:lang w:eastAsia="en-AU"/>
          <w14:ligatures w14:val="standardContextual"/>
        </w:rPr>
      </w:pPr>
      <w:hyperlink w:anchor="_Toc242783768" w:history="1">
        <w:r w:rsidRPr="0048192D">
          <w:rPr>
            <w:rStyle w:val="Hyperlink"/>
          </w:rPr>
          <w:t xml:space="preserve">Our </w:t>
        </w:r>
        <w:r w:rsidRPr="0048192D">
          <w:rPr>
            <w:rStyle w:val="Hyperlink"/>
            <w:i/>
            <w:iCs/>
          </w:rPr>
          <w:t>Strategic Plan 2026–29</w:t>
        </w:r>
        <w:r>
          <w:rPr>
            <w:webHidden/>
          </w:rPr>
          <w:tab/>
        </w:r>
        <w:r>
          <w:rPr>
            <w:webHidden/>
          </w:rPr>
          <w:fldChar w:fldCharType="begin"/>
        </w:r>
        <w:r>
          <w:rPr>
            <w:webHidden/>
          </w:rPr>
          <w:instrText xml:space="preserve"> PAGEREF _Toc242783768 \h </w:instrText>
        </w:r>
        <w:r>
          <w:rPr>
            <w:webHidden/>
          </w:rPr>
        </w:r>
        <w:r>
          <w:rPr>
            <w:webHidden/>
          </w:rPr>
          <w:fldChar w:fldCharType="separate"/>
        </w:r>
        <w:r w:rsidR="00BA15DD">
          <w:rPr>
            <w:webHidden/>
          </w:rPr>
          <w:t>6</w:t>
        </w:r>
        <w:r>
          <w:rPr>
            <w:webHidden/>
          </w:rPr>
          <w:fldChar w:fldCharType="end"/>
        </w:r>
      </w:hyperlink>
    </w:p>
    <w:p w14:paraId="5CE7106D" w14:textId="49FD79A0" w:rsidR="00DC6708" w:rsidRDefault="00DC6708">
      <w:pPr>
        <w:pStyle w:val="TOC1"/>
        <w:rPr>
          <w:b w:val="0"/>
          <w:kern w:val="2"/>
          <w:sz w:val="24"/>
          <w:szCs w:val="24"/>
          <w:lang w:eastAsia="en-AU"/>
          <w14:ligatures w14:val="standardContextual"/>
        </w:rPr>
      </w:pPr>
      <w:hyperlink w:anchor="_Toc242783769" w:history="1">
        <w:r w:rsidRPr="0048192D">
          <w:rPr>
            <w:rStyle w:val="Hyperlink"/>
          </w:rPr>
          <w:t>Our operating context</w:t>
        </w:r>
        <w:r>
          <w:rPr>
            <w:webHidden/>
          </w:rPr>
          <w:tab/>
        </w:r>
        <w:r>
          <w:rPr>
            <w:webHidden/>
          </w:rPr>
          <w:fldChar w:fldCharType="begin"/>
        </w:r>
        <w:r>
          <w:rPr>
            <w:webHidden/>
          </w:rPr>
          <w:instrText xml:space="preserve"> PAGEREF _Toc242783769 \h </w:instrText>
        </w:r>
        <w:r>
          <w:rPr>
            <w:webHidden/>
          </w:rPr>
        </w:r>
        <w:r>
          <w:rPr>
            <w:webHidden/>
          </w:rPr>
          <w:fldChar w:fldCharType="separate"/>
        </w:r>
        <w:r w:rsidR="00BA15DD">
          <w:rPr>
            <w:webHidden/>
          </w:rPr>
          <w:t>7</w:t>
        </w:r>
        <w:r>
          <w:rPr>
            <w:webHidden/>
          </w:rPr>
          <w:fldChar w:fldCharType="end"/>
        </w:r>
      </w:hyperlink>
    </w:p>
    <w:p w14:paraId="276E1578" w14:textId="72A6119F" w:rsidR="00DC6708" w:rsidRDefault="00DC6708">
      <w:pPr>
        <w:pStyle w:val="TOC1"/>
        <w:rPr>
          <w:b w:val="0"/>
          <w:kern w:val="2"/>
          <w:sz w:val="24"/>
          <w:szCs w:val="24"/>
          <w:lang w:eastAsia="en-AU"/>
          <w14:ligatures w14:val="standardContextual"/>
        </w:rPr>
      </w:pPr>
      <w:hyperlink w:anchor="_Toc242783770" w:history="1">
        <w:r w:rsidRPr="0048192D">
          <w:rPr>
            <w:rStyle w:val="Hyperlink"/>
          </w:rPr>
          <w:t>Our priorities in 2026–27</w:t>
        </w:r>
        <w:r>
          <w:rPr>
            <w:webHidden/>
          </w:rPr>
          <w:tab/>
        </w:r>
        <w:r>
          <w:rPr>
            <w:webHidden/>
          </w:rPr>
          <w:fldChar w:fldCharType="begin"/>
        </w:r>
        <w:r>
          <w:rPr>
            <w:webHidden/>
          </w:rPr>
          <w:instrText xml:space="preserve"> PAGEREF _Toc242783770 \h </w:instrText>
        </w:r>
        <w:r>
          <w:rPr>
            <w:webHidden/>
          </w:rPr>
        </w:r>
        <w:r>
          <w:rPr>
            <w:webHidden/>
          </w:rPr>
          <w:fldChar w:fldCharType="separate"/>
        </w:r>
        <w:r w:rsidR="00BA15DD">
          <w:rPr>
            <w:webHidden/>
          </w:rPr>
          <w:t>11</w:t>
        </w:r>
        <w:r>
          <w:rPr>
            <w:webHidden/>
          </w:rPr>
          <w:fldChar w:fldCharType="end"/>
        </w:r>
      </w:hyperlink>
    </w:p>
    <w:p w14:paraId="55C31D36" w14:textId="453A5756" w:rsidR="00FE25D0" w:rsidRPr="0059267A" w:rsidRDefault="00DD5A54" w:rsidP="00A45CB0">
      <w:pPr>
        <w:pStyle w:val="SCVbody"/>
        <w:rPr>
          <w:lang w:eastAsia="en-US"/>
        </w:rPr>
        <w:sectPr w:rsidR="00FE25D0" w:rsidRPr="0059267A" w:rsidSect="00C46F27">
          <w:headerReference w:type="even" r:id="rId28"/>
          <w:headerReference w:type="default" r:id="rId29"/>
          <w:footerReference w:type="even" r:id="rId30"/>
          <w:footerReference w:type="default" r:id="rId31"/>
          <w:pgSz w:w="11906" w:h="16838" w:code="9"/>
          <w:pgMar w:top="3402" w:right="851" w:bottom="1361" w:left="851" w:header="851" w:footer="851" w:gutter="0"/>
          <w:pgNumType w:start="1"/>
          <w:cols w:space="284"/>
          <w:docGrid w:linePitch="360"/>
        </w:sectPr>
      </w:pPr>
      <w:r>
        <w:rPr>
          <w:rStyle w:val="Hyperlink"/>
          <w:b/>
          <w:sz w:val="19"/>
          <w:lang w:eastAsia="en-US"/>
        </w:rPr>
        <w:fldChar w:fldCharType="end"/>
      </w:r>
    </w:p>
    <w:p w14:paraId="2AF93EBC" w14:textId="77777777" w:rsidR="00892583" w:rsidRDefault="00892583" w:rsidP="00892583">
      <w:pPr>
        <w:pStyle w:val="Heading1"/>
      </w:pPr>
      <w:bookmarkStart w:id="1" w:name="_Toc242783764"/>
      <w:r>
        <w:t>Acknowledgements</w:t>
      </w:r>
      <w:bookmarkEnd w:id="1"/>
    </w:p>
    <w:p w14:paraId="36E881B9" w14:textId="77777777" w:rsidR="00892583" w:rsidRDefault="00892583" w:rsidP="00892583">
      <w:pPr>
        <w:pStyle w:val="Heading2"/>
      </w:pPr>
      <w:r>
        <w:t xml:space="preserve">Acknowledgement of </w:t>
      </w:r>
      <w:r w:rsidRPr="00034E43">
        <w:t>Country</w:t>
      </w:r>
    </w:p>
    <w:p w14:paraId="10C55E5E" w14:textId="77777777" w:rsidR="00892583" w:rsidRDefault="00892583" w:rsidP="00892583">
      <w:pPr>
        <w:pStyle w:val="SCVbodyafterheading"/>
      </w:pPr>
      <w:r>
        <w:t>Safer Care Victoria acknowledges the strength, power and resilience of Aboriginal people as members of the world’s oldest living culture. We recognise Aboriginal people as Australia’s First Peoples and honour the richness and diversity of all Traditional Owners across Victoria.</w:t>
      </w:r>
    </w:p>
    <w:p w14:paraId="7EC1EC8C" w14:textId="77777777" w:rsidR="00892583" w:rsidRPr="00614C6F" w:rsidRDefault="00892583" w:rsidP="00892583">
      <w:pPr>
        <w:pStyle w:val="SCVbody"/>
      </w:pPr>
      <w:r>
        <w:t xml:space="preserve">We respect the lore, customs and languages practised by Aboriginal people in Victoria and their deep spiritual and cultural connections to land and water. We are committed to a future </w:t>
      </w:r>
      <w:r w:rsidRPr="00614C6F">
        <w:t>based on equality, truth and justice and recognise the ongoing systemic injustices faced by Aboriginal people. Victoria’s treaty and truth-telling processes offer a chance to address these wrongs, empowering Aboriginal people to make decisions for their communities.</w:t>
      </w:r>
    </w:p>
    <w:p w14:paraId="709CC419" w14:textId="77777777" w:rsidR="00892583" w:rsidRDefault="00892583" w:rsidP="00892583">
      <w:pPr>
        <w:pStyle w:val="SCVbody"/>
      </w:pPr>
      <w:r w:rsidRPr="00614C6F">
        <w:t>We pay our deepest respects to ancestors, Elders and leaders, past and present, whose strength and fortitude have paved the way for future generations.</w:t>
      </w:r>
    </w:p>
    <w:p w14:paraId="491BDC0E" w14:textId="77777777" w:rsidR="00892583" w:rsidRDefault="00892583" w:rsidP="00892583">
      <w:pPr>
        <w:pStyle w:val="Heading2"/>
      </w:pPr>
      <w:r>
        <w:t>Acknowledgement of lived experience</w:t>
      </w:r>
    </w:p>
    <w:p w14:paraId="4CD5F15B" w14:textId="77777777" w:rsidR="00892583" w:rsidRDefault="00892583" w:rsidP="00892583">
      <w:pPr>
        <w:pStyle w:val="SCVbodyafterheading"/>
      </w:pPr>
      <w:r>
        <w:t xml:space="preserve">Safer Care Victoria acknowledges the consumers, families, carers, friends and loved ones who have experienced, or have been affected by, </w:t>
      </w:r>
      <w:r w:rsidRPr="00150B7F">
        <w:t>harm across the system</w:t>
      </w:r>
      <w:r>
        <w:t>. We are deeply sorry for their distress and grief. We bear witness to their stories in the sincere hope of improving care for others.</w:t>
      </w:r>
    </w:p>
    <w:p w14:paraId="46991BF5" w14:textId="77777777" w:rsidR="00892583" w:rsidRDefault="00892583" w:rsidP="00892583">
      <w:pPr>
        <w:pStyle w:val="Heading2"/>
      </w:pPr>
      <w:r>
        <w:t>Acknowledgement of contribution</w:t>
      </w:r>
    </w:p>
    <w:p w14:paraId="7AD24F0E" w14:textId="77777777" w:rsidR="00892583" w:rsidRDefault="00892583" w:rsidP="00892583">
      <w:pPr>
        <w:pStyle w:val="SCVbodyafterheading"/>
      </w:pPr>
      <w:r>
        <w:t>Safer Care Victoria succeeds because of the collective efforts of consumers, clinicians, health sector partners and our staff. Through collaboration, we have identified opportunities for improvement, strengthened healthcare performance monitoring and developed effective responses to safety concerns.</w:t>
      </w:r>
    </w:p>
    <w:p w14:paraId="712FD01B" w14:textId="77777777" w:rsidR="00892583" w:rsidRDefault="00892583" w:rsidP="00892583">
      <w:pPr>
        <w:pStyle w:val="SCVbody"/>
      </w:pPr>
      <w:r>
        <w:t>We are deeply grateful for the expertise, skill and strategic insight contributed by leaders across health care, academia and the safety and improvement community. Your input has shaped vital system advancements and forged the connections necessary to deliver safer, more effective care across services and agencies.</w:t>
      </w:r>
    </w:p>
    <w:p w14:paraId="5EB098EA" w14:textId="340CFA9E" w:rsidR="007A717D" w:rsidRPr="00DB35DE" w:rsidRDefault="007A717D" w:rsidP="007A717D">
      <w:pPr>
        <w:keepNext/>
        <w:keepLines/>
        <w:pageBreakBefore/>
        <w:suppressAutoHyphens/>
        <w:spacing w:before="0" w:after="320" w:line="240" w:lineRule="auto"/>
        <w:outlineLvl w:val="0"/>
        <w:rPr>
          <w:rFonts w:asciiTheme="majorHAnsi" w:eastAsiaTheme="majorEastAsia" w:hAnsiTheme="majorHAnsi" w:cstheme="majorBidi"/>
          <w:b/>
          <w:bCs/>
          <w:color w:val="007586" w:themeColor="text2"/>
          <w:sz w:val="48"/>
          <w:szCs w:val="32"/>
        </w:rPr>
      </w:pPr>
      <w:bookmarkStart w:id="2" w:name="_Toc242783765"/>
      <w:r w:rsidRPr="00DB35DE">
        <w:rPr>
          <w:rFonts w:asciiTheme="majorHAnsi" w:eastAsiaTheme="majorEastAsia" w:hAnsiTheme="majorHAnsi" w:cstheme="majorBidi"/>
          <w:b/>
          <w:bCs/>
          <w:color w:val="007586" w:themeColor="text2"/>
          <w:sz w:val="48"/>
          <w:szCs w:val="32"/>
        </w:rPr>
        <w:t>Abbreviations used in this document</w:t>
      </w:r>
      <w:bookmarkEnd w:id="2"/>
    </w:p>
    <w:tbl>
      <w:tblPr>
        <w:tblStyle w:val="PlainTable4"/>
        <w:tblW w:w="0" w:type="auto"/>
        <w:tblLook w:val="04A0" w:firstRow="1" w:lastRow="0" w:firstColumn="1" w:lastColumn="0" w:noHBand="0" w:noVBand="1"/>
      </w:tblPr>
      <w:tblGrid>
        <w:gridCol w:w="1985"/>
        <w:gridCol w:w="8219"/>
      </w:tblGrid>
      <w:tr w:rsidR="007A717D" w:rsidRPr="00DB35DE" w14:paraId="3F251042" w14:textId="77777777" w:rsidTr="00DA228B">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985" w:type="dxa"/>
          </w:tcPr>
          <w:p w14:paraId="37E72C70" w14:textId="77777777" w:rsidR="007A717D" w:rsidRPr="00DB35DE" w:rsidRDefault="007A717D" w:rsidP="00DA228B">
            <w:pPr>
              <w:spacing w:before="80" w:after="60" w:line="240" w:lineRule="atLeast"/>
              <w:rPr>
                <w:rFonts w:eastAsia="Times New Roman" w:cstheme="minorHAnsi"/>
                <w:sz w:val="21"/>
                <w:szCs w:val="21"/>
                <w:lang w:eastAsia="en-US"/>
              </w:rPr>
            </w:pPr>
            <w:r>
              <w:rPr>
                <w:rFonts w:eastAsia="Times New Roman" w:cstheme="minorHAnsi"/>
                <w:sz w:val="21"/>
                <w:szCs w:val="21"/>
                <w:lang w:eastAsia="en-US"/>
              </w:rPr>
              <w:t>ATP</w:t>
            </w:r>
          </w:p>
        </w:tc>
        <w:tc>
          <w:tcPr>
            <w:tcW w:w="8219" w:type="dxa"/>
          </w:tcPr>
          <w:p w14:paraId="3AA09FF3" w14:textId="77777777" w:rsidR="007A717D" w:rsidRPr="00DB35DE" w:rsidRDefault="007A717D" w:rsidP="00DA228B">
            <w:pPr>
              <w:spacing w:before="80" w:after="60" w:line="240" w:lineRule="atLeast"/>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sz w:val="21"/>
                <w:szCs w:val="21"/>
                <w:lang w:eastAsia="en-US"/>
              </w:rPr>
            </w:pPr>
            <w:r>
              <w:rPr>
                <w:rFonts w:eastAsia="Times New Roman" w:cstheme="minorHAnsi"/>
                <w:b w:val="0"/>
                <w:bCs w:val="0"/>
                <w:sz w:val="21"/>
                <w:szCs w:val="21"/>
                <w:lang w:eastAsia="en-US"/>
              </w:rPr>
              <w:t>Australian Teletrial Project</w:t>
            </w:r>
          </w:p>
        </w:tc>
      </w:tr>
      <w:tr w:rsidR="007A717D" w:rsidRPr="00DB35DE" w14:paraId="578E07EC" w14:textId="77777777" w:rsidTr="00DA228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985" w:type="dxa"/>
          </w:tcPr>
          <w:p w14:paraId="0BED8BCC" w14:textId="77777777" w:rsidR="007A717D" w:rsidRPr="00DB35DE" w:rsidRDefault="007A717D" w:rsidP="00DA228B">
            <w:pPr>
              <w:spacing w:before="80" w:after="60" w:line="240" w:lineRule="atLeast"/>
              <w:rPr>
                <w:rFonts w:eastAsia="Times New Roman" w:cstheme="minorHAnsi"/>
                <w:sz w:val="21"/>
                <w:szCs w:val="21"/>
                <w:lang w:eastAsia="en-US"/>
              </w:rPr>
            </w:pPr>
            <w:r w:rsidRPr="00DB35DE">
              <w:rPr>
                <w:rFonts w:eastAsia="Times New Roman" w:cstheme="minorHAnsi"/>
                <w:sz w:val="21"/>
                <w:szCs w:val="21"/>
                <w:lang w:eastAsia="en-US"/>
              </w:rPr>
              <w:t>CCOPMM</w:t>
            </w:r>
          </w:p>
        </w:tc>
        <w:tc>
          <w:tcPr>
            <w:tcW w:w="8219" w:type="dxa"/>
          </w:tcPr>
          <w:p w14:paraId="3318C017" w14:textId="77777777" w:rsidR="007A717D" w:rsidRPr="00DB35DE" w:rsidRDefault="007A717D" w:rsidP="00DA228B">
            <w:pPr>
              <w:spacing w:before="80" w:after="60" w:line="24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sz w:val="21"/>
                <w:szCs w:val="21"/>
                <w:lang w:eastAsia="en-US"/>
              </w:rPr>
            </w:pPr>
            <w:r w:rsidRPr="00DB35DE">
              <w:rPr>
                <w:rFonts w:eastAsia="Times New Roman" w:cstheme="minorHAnsi"/>
                <w:sz w:val="21"/>
                <w:szCs w:val="21"/>
                <w:lang w:eastAsia="en-US"/>
              </w:rPr>
              <w:t>Consultative Council on Obstetric and Paediatric Mortality and Morbidity</w:t>
            </w:r>
          </w:p>
        </w:tc>
      </w:tr>
      <w:tr w:rsidR="007A717D" w:rsidRPr="00DB35DE" w14:paraId="2EB2AD05" w14:textId="77777777" w:rsidTr="00DA228B">
        <w:trPr>
          <w:trHeight w:val="340"/>
        </w:trPr>
        <w:tc>
          <w:tcPr>
            <w:cnfStyle w:val="001000000000" w:firstRow="0" w:lastRow="0" w:firstColumn="1" w:lastColumn="0" w:oddVBand="0" w:evenVBand="0" w:oddHBand="0" w:evenHBand="0" w:firstRowFirstColumn="0" w:firstRowLastColumn="0" w:lastRowFirstColumn="0" w:lastRowLastColumn="0"/>
            <w:tcW w:w="1985" w:type="dxa"/>
          </w:tcPr>
          <w:p w14:paraId="7ED2D334" w14:textId="77777777" w:rsidR="007A717D" w:rsidRPr="00DB35DE" w:rsidRDefault="007A717D" w:rsidP="00DA228B">
            <w:pPr>
              <w:spacing w:before="80" w:after="60" w:line="240" w:lineRule="atLeast"/>
              <w:rPr>
                <w:rFonts w:eastAsia="Times New Roman" w:cstheme="minorHAnsi"/>
                <w:sz w:val="21"/>
                <w:szCs w:val="21"/>
                <w:lang w:eastAsia="en-US"/>
              </w:rPr>
            </w:pPr>
            <w:r w:rsidRPr="00DB35DE">
              <w:rPr>
                <w:rFonts w:eastAsia="Times New Roman" w:cstheme="minorHAnsi"/>
                <w:sz w:val="21"/>
                <w:szCs w:val="21"/>
                <w:lang w:eastAsia="en-US"/>
              </w:rPr>
              <w:t>MARAM</w:t>
            </w:r>
          </w:p>
        </w:tc>
        <w:tc>
          <w:tcPr>
            <w:tcW w:w="8219" w:type="dxa"/>
          </w:tcPr>
          <w:p w14:paraId="78FD765C" w14:textId="77777777" w:rsidR="007A717D" w:rsidRPr="00DB35DE" w:rsidRDefault="007A717D" w:rsidP="00DA228B">
            <w:pPr>
              <w:spacing w:before="80" w:after="60" w:line="24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sz w:val="21"/>
                <w:szCs w:val="21"/>
                <w:lang w:eastAsia="en-US"/>
              </w:rPr>
            </w:pPr>
            <w:r w:rsidRPr="00DB35DE">
              <w:rPr>
                <w:rFonts w:eastAsia="Times New Roman" w:cstheme="minorHAnsi"/>
                <w:sz w:val="21"/>
                <w:szCs w:val="21"/>
                <w:lang w:eastAsia="en-US"/>
              </w:rPr>
              <w:t>Multi-Agency Risk Assessment and Management (framework)</w:t>
            </w:r>
          </w:p>
        </w:tc>
      </w:tr>
      <w:tr w:rsidR="007A717D" w:rsidRPr="00DB35DE" w14:paraId="573C7A37" w14:textId="77777777" w:rsidTr="00DA228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985" w:type="dxa"/>
          </w:tcPr>
          <w:p w14:paraId="17A46D90" w14:textId="12D0D7EC" w:rsidR="007A717D" w:rsidRPr="00DB35DE" w:rsidRDefault="00D35848" w:rsidP="00DA228B">
            <w:pPr>
              <w:spacing w:before="80" w:after="60" w:line="240" w:lineRule="atLeast"/>
              <w:rPr>
                <w:rFonts w:eastAsia="Times New Roman" w:cstheme="minorHAnsi"/>
                <w:sz w:val="21"/>
                <w:szCs w:val="21"/>
                <w:lang w:eastAsia="en-US"/>
              </w:rPr>
            </w:pPr>
            <w:r>
              <w:rPr>
                <w:rFonts w:eastAsia="Times New Roman" w:cstheme="minorHAnsi"/>
                <w:sz w:val="21"/>
                <w:szCs w:val="21"/>
                <w:lang w:eastAsia="en-US"/>
              </w:rPr>
              <w:t xml:space="preserve">The </w:t>
            </w:r>
            <w:r w:rsidR="007A717D" w:rsidRPr="00DB35DE">
              <w:rPr>
                <w:rFonts w:eastAsia="Times New Roman" w:cstheme="minorHAnsi"/>
                <w:sz w:val="21"/>
                <w:szCs w:val="21"/>
                <w:lang w:eastAsia="en-US"/>
              </w:rPr>
              <w:t>MHIP</w:t>
            </w:r>
          </w:p>
        </w:tc>
        <w:tc>
          <w:tcPr>
            <w:tcW w:w="8219" w:type="dxa"/>
          </w:tcPr>
          <w:p w14:paraId="1A0BF180" w14:textId="77777777" w:rsidR="007A717D" w:rsidRPr="00DB35DE" w:rsidRDefault="007A717D" w:rsidP="00DA228B">
            <w:pPr>
              <w:spacing w:before="80" w:after="60" w:line="24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sz w:val="21"/>
                <w:szCs w:val="21"/>
                <w:lang w:eastAsia="en-US"/>
              </w:rPr>
            </w:pPr>
            <w:r w:rsidRPr="00DB35DE">
              <w:rPr>
                <w:rFonts w:eastAsia="Times New Roman" w:cstheme="minorHAnsi"/>
                <w:sz w:val="21"/>
                <w:szCs w:val="21"/>
                <w:lang w:eastAsia="en-US"/>
              </w:rPr>
              <w:t xml:space="preserve">Mental Health Improvement Program </w:t>
            </w:r>
          </w:p>
        </w:tc>
      </w:tr>
      <w:tr w:rsidR="007A717D" w:rsidRPr="00DB35DE" w14:paraId="5FD3B4E5" w14:textId="77777777" w:rsidTr="00DA228B">
        <w:trPr>
          <w:trHeight w:val="340"/>
        </w:trPr>
        <w:tc>
          <w:tcPr>
            <w:cnfStyle w:val="001000000000" w:firstRow="0" w:lastRow="0" w:firstColumn="1" w:lastColumn="0" w:oddVBand="0" w:evenVBand="0" w:oddHBand="0" w:evenHBand="0" w:firstRowFirstColumn="0" w:firstRowLastColumn="0" w:lastRowFirstColumn="0" w:lastRowLastColumn="0"/>
            <w:tcW w:w="1985" w:type="dxa"/>
          </w:tcPr>
          <w:p w14:paraId="46296B18" w14:textId="77777777" w:rsidR="007A717D" w:rsidRPr="00DB35DE" w:rsidRDefault="007A717D" w:rsidP="00DA228B">
            <w:pPr>
              <w:spacing w:before="80" w:after="60" w:line="240" w:lineRule="atLeast"/>
              <w:rPr>
                <w:rFonts w:eastAsia="Times New Roman" w:cstheme="minorHAnsi"/>
                <w:sz w:val="21"/>
                <w:szCs w:val="21"/>
                <w:lang w:eastAsia="en-US"/>
              </w:rPr>
            </w:pPr>
            <w:r w:rsidRPr="00DB35DE">
              <w:rPr>
                <w:rFonts w:eastAsia="Times New Roman" w:cstheme="minorHAnsi"/>
                <w:sz w:val="21"/>
                <w:szCs w:val="21"/>
                <w:lang w:eastAsia="en-US"/>
              </w:rPr>
              <w:t>SCV</w:t>
            </w:r>
          </w:p>
        </w:tc>
        <w:tc>
          <w:tcPr>
            <w:tcW w:w="8219" w:type="dxa"/>
          </w:tcPr>
          <w:p w14:paraId="3DFE4CC3" w14:textId="77777777" w:rsidR="007A717D" w:rsidRPr="00DB35DE" w:rsidRDefault="007A717D" w:rsidP="00DA228B">
            <w:pPr>
              <w:spacing w:before="80" w:after="60" w:line="24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sz w:val="21"/>
                <w:szCs w:val="21"/>
                <w:lang w:eastAsia="en-US"/>
              </w:rPr>
            </w:pPr>
            <w:r w:rsidRPr="00DB35DE">
              <w:rPr>
                <w:rFonts w:eastAsia="Times New Roman" w:cstheme="minorHAnsi"/>
                <w:sz w:val="21"/>
                <w:szCs w:val="21"/>
                <w:lang w:eastAsia="en-US"/>
              </w:rPr>
              <w:t>Safer Care Victoria</w:t>
            </w:r>
          </w:p>
        </w:tc>
      </w:tr>
      <w:tr w:rsidR="007A717D" w:rsidRPr="00DB35DE" w14:paraId="48EF95D4" w14:textId="77777777" w:rsidTr="00DA228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985" w:type="dxa"/>
          </w:tcPr>
          <w:p w14:paraId="57CFB026" w14:textId="77777777" w:rsidR="007A717D" w:rsidRPr="00DB35DE" w:rsidRDefault="007A717D" w:rsidP="00DA228B">
            <w:pPr>
              <w:spacing w:before="80" w:after="60" w:line="240" w:lineRule="atLeast"/>
              <w:rPr>
                <w:rFonts w:eastAsia="Times New Roman" w:cstheme="minorHAnsi"/>
                <w:sz w:val="21"/>
                <w:szCs w:val="21"/>
                <w:lang w:eastAsia="en-US"/>
              </w:rPr>
            </w:pPr>
            <w:r w:rsidRPr="00DB35DE">
              <w:rPr>
                <w:rFonts w:eastAsia="Times New Roman" w:cstheme="minorHAnsi"/>
                <w:sz w:val="21"/>
                <w:szCs w:val="21"/>
                <w:lang w:eastAsia="en-US"/>
              </w:rPr>
              <w:t>The department</w:t>
            </w:r>
          </w:p>
        </w:tc>
        <w:tc>
          <w:tcPr>
            <w:tcW w:w="8219" w:type="dxa"/>
          </w:tcPr>
          <w:p w14:paraId="55A57E6A" w14:textId="77777777" w:rsidR="007A717D" w:rsidRPr="00DB35DE" w:rsidRDefault="007A717D" w:rsidP="00DA228B">
            <w:pPr>
              <w:spacing w:before="80" w:after="60" w:line="24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sz w:val="21"/>
                <w:szCs w:val="21"/>
                <w:lang w:eastAsia="en-US"/>
              </w:rPr>
            </w:pPr>
            <w:r w:rsidRPr="00DB35DE">
              <w:rPr>
                <w:rFonts w:eastAsia="Times New Roman" w:cstheme="minorHAnsi"/>
                <w:sz w:val="21"/>
                <w:szCs w:val="21"/>
                <w:lang w:eastAsia="en-US"/>
              </w:rPr>
              <w:t>Department of Health</w:t>
            </w:r>
          </w:p>
        </w:tc>
      </w:tr>
      <w:tr w:rsidR="007A717D" w:rsidRPr="00DB35DE" w14:paraId="558CC40F" w14:textId="77777777" w:rsidTr="00DA228B">
        <w:trPr>
          <w:trHeight w:val="340"/>
        </w:trPr>
        <w:tc>
          <w:tcPr>
            <w:cnfStyle w:val="001000000000" w:firstRow="0" w:lastRow="0" w:firstColumn="1" w:lastColumn="0" w:oddVBand="0" w:evenVBand="0" w:oddHBand="0" w:evenHBand="0" w:firstRowFirstColumn="0" w:firstRowLastColumn="0" w:lastRowFirstColumn="0" w:lastRowLastColumn="0"/>
            <w:tcW w:w="1985" w:type="dxa"/>
          </w:tcPr>
          <w:p w14:paraId="2A53C061" w14:textId="77777777" w:rsidR="007A717D" w:rsidRPr="00DB35DE" w:rsidRDefault="007A717D" w:rsidP="00DA228B">
            <w:pPr>
              <w:spacing w:before="80" w:after="60" w:line="240" w:lineRule="atLeast"/>
              <w:rPr>
                <w:rFonts w:eastAsia="Times New Roman" w:cstheme="minorHAnsi"/>
                <w:sz w:val="21"/>
                <w:szCs w:val="21"/>
                <w:lang w:eastAsia="en-US"/>
              </w:rPr>
            </w:pPr>
            <w:r>
              <w:rPr>
                <w:rFonts w:eastAsia="Times New Roman" w:cstheme="minorHAnsi"/>
                <w:sz w:val="21"/>
                <w:szCs w:val="21"/>
                <w:lang w:eastAsia="en-US"/>
              </w:rPr>
              <w:t>The formulary</w:t>
            </w:r>
          </w:p>
        </w:tc>
        <w:tc>
          <w:tcPr>
            <w:tcW w:w="8219" w:type="dxa"/>
          </w:tcPr>
          <w:p w14:paraId="6A082553" w14:textId="77777777" w:rsidR="007A717D" w:rsidRPr="00DB35DE" w:rsidRDefault="007A717D" w:rsidP="00DA228B">
            <w:pPr>
              <w:spacing w:before="80" w:after="60" w:line="24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sz w:val="21"/>
                <w:szCs w:val="21"/>
                <w:lang w:eastAsia="en-US"/>
              </w:rPr>
            </w:pPr>
            <w:r>
              <w:rPr>
                <w:rFonts w:eastAsia="Times New Roman" w:cstheme="minorHAnsi"/>
                <w:sz w:val="21"/>
                <w:szCs w:val="21"/>
                <w:lang w:eastAsia="en-US"/>
              </w:rPr>
              <w:t>Victorian Medicines Formulary</w:t>
            </w:r>
          </w:p>
        </w:tc>
      </w:tr>
      <w:tr w:rsidR="007A717D" w:rsidRPr="00DB35DE" w14:paraId="0A6F3B19" w14:textId="77777777" w:rsidTr="00DA228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985" w:type="dxa"/>
          </w:tcPr>
          <w:p w14:paraId="144A444D" w14:textId="77777777" w:rsidR="007A717D" w:rsidRPr="00DB35DE" w:rsidRDefault="007A717D" w:rsidP="00DA228B">
            <w:pPr>
              <w:spacing w:before="80" w:after="60" w:line="240" w:lineRule="atLeast"/>
              <w:rPr>
                <w:rFonts w:eastAsia="Times New Roman" w:cstheme="minorHAnsi"/>
                <w:sz w:val="21"/>
                <w:szCs w:val="21"/>
                <w:lang w:eastAsia="en-US"/>
              </w:rPr>
            </w:pPr>
            <w:r w:rsidRPr="00DB35DE">
              <w:rPr>
                <w:rFonts w:eastAsia="Times New Roman" w:cstheme="minorHAnsi"/>
                <w:sz w:val="21"/>
                <w:szCs w:val="21"/>
                <w:lang w:eastAsia="en-US"/>
              </w:rPr>
              <w:t>VPCC</w:t>
            </w:r>
          </w:p>
        </w:tc>
        <w:tc>
          <w:tcPr>
            <w:tcW w:w="8219" w:type="dxa"/>
          </w:tcPr>
          <w:p w14:paraId="002AF114" w14:textId="77777777" w:rsidR="007A717D" w:rsidRPr="00DB35DE" w:rsidRDefault="007A717D" w:rsidP="00DA228B">
            <w:pPr>
              <w:spacing w:before="80" w:after="60" w:line="24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sz w:val="21"/>
                <w:szCs w:val="21"/>
                <w:lang w:eastAsia="en-US"/>
              </w:rPr>
            </w:pPr>
            <w:r w:rsidRPr="00DB35DE">
              <w:rPr>
                <w:rFonts w:eastAsia="Times New Roman" w:cstheme="minorHAnsi"/>
                <w:sz w:val="21"/>
                <w:szCs w:val="21"/>
                <w:lang w:eastAsia="en-US"/>
              </w:rPr>
              <w:t>Victorian Perioperative Consultative Council</w:t>
            </w:r>
          </w:p>
        </w:tc>
      </w:tr>
    </w:tbl>
    <w:p w14:paraId="11203B5D" w14:textId="45CC724D" w:rsidR="008E0D2B" w:rsidRDefault="008E0D2B" w:rsidP="00620668">
      <w:pPr>
        <w:sectPr w:rsidR="008E0D2B" w:rsidSect="00F740E1">
          <w:headerReference w:type="even" r:id="rId32"/>
          <w:headerReference w:type="default" r:id="rId33"/>
          <w:pgSz w:w="11906" w:h="16838" w:code="9"/>
          <w:pgMar w:top="1985" w:right="851" w:bottom="1361" w:left="851" w:header="851" w:footer="851" w:gutter="0"/>
          <w:cols w:space="284"/>
          <w:docGrid w:linePitch="360"/>
        </w:sectPr>
      </w:pPr>
    </w:p>
    <w:p w14:paraId="6B8B887B" w14:textId="73CA320D" w:rsidR="0057761B" w:rsidRDefault="0057761B" w:rsidP="009E4CB1">
      <w:pPr>
        <w:pStyle w:val="Heading1"/>
      </w:pPr>
      <w:bookmarkStart w:id="3" w:name="_Toc242783766"/>
      <w:bookmarkStart w:id="4" w:name="_Toc205304206"/>
      <w:bookmarkStart w:id="5" w:name="_Toc205551841"/>
      <w:r>
        <w:t xml:space="preserve">A message from </w:t>
      </w:r>
      <w:r w:rsidR="00632784">
        <w:t>our</w:t>
      </w:r>
      <w:r>
        <w:t xml:space="preserve"> CEO</w:t>
      </w:r>
      <w:bookmarkEnd w:id="3"/>
    </w:p>
    <w:p w14:paraId="4F919D97" w14:textId="29A523EC" w:rsidR="003C047C" w:rsidRPr="00983ACA" w:rsidRDefault="003C047C" w:rsidP="003C047C">
      <w:r w:rsidRPr="00983ACA">
        <w:t xml:space="preserve">It is my pleasure to present Safer Care Victoria’s </w:t>
      </w:r>
      <w:r w:rsidRPr="002F4E73">
        <w:rPr>
          <w:i/>
        </w:rPr>
        <w:t xml:space="preserve">Annual </w:t>
      </w:r>
      <w:r w:rsidR="00283BEA">
        <w:rPr>
          <w:i/>
        </w:rPr>
        <w:t>P</w:t>
      </w:r>
      <w:r w:rsidR="6D76FAD5" w:rsidRPr="002F4E73">
        <w:rPr>
          <w:i/>
        </w:rPr>
        <w:t>lan</w:t>
      </w:r>
      <w:r w:rsidRPr="002F4E73">
        <w:rPr>
          <w:i/>
        </w:rPr>
        <w:t xml:space="preserve"> 2026–27</w:t>
      </w:r>
      <w:r w:rsidRPr="00983ACA">
        <w:t xml:space="preserve">. This year marks an important milestone, with both the conclusion of our </w:t>
      </w:r>
      <w:r w:rsidR="008478AC" w:rsidRPr="00723880">
        <w:rPr>
          <w:i/>
          <w:iCs/>
        </w:rPr>
        <w:t>s</w:t>
      </w:r>
      <w:r w:rsidRPr="002F4E73">
        <w:rPr>
          <w:i/>
        </w:rPr>
        <w:t xml:space="preserve">trategic </w:t>
      </w:r>
      <w:r w:rsidR="008478AC">
        <w:rPr>
          <w:i/>
        </w:rPr>
        <w:t>p</w:t>
      </w:r>
      <w:r w:rsidR="6D76FAD5" w:rsidRPr="002F4E73">
        <w:rPr>
          <w:i/>
          <w:iCs/>
        </w:rPr>
        <w:t>lan</w:t>
      </w:r>
      <w:r w:rsidRPr="002F4E73">
        <w:rPr>
          <w:i/>
        </w:rPr>
        <w:t xml:space="preserve"> 2023–26</w:t>
      </w:r>
      <w:r w:rsidRPr="00983ACA">
        <w:t xml:space="preserve"> and </w:t>
      </w:r>
      <w:r w:rsidR="0CF30392">
        <w:t>10</w:t>
      </w:r>
      <w:r w:rsidRPr="00983ACA">
        <w:t xml:space="preserve"> years since Safer Care Victoria was established. I am proud of what we have achieved together</w:t>
      </w:r>
      <w:r w:rsidR="005F281E">
        <w:t xml:space="preserve"> </w:t>
      </w:r>
      <w:r w:rsidRPr="00983ACA">
        <w:t xml:space="preserve">and </w:t>
      </w:r>
      <w:r w:rsidR="000F4EA8">
        <w:t xml:space="preserve">of </w:t>
      </w:r>
      <w:r w:rsidR="6D76FAD5">
        <w:t>the</w:t>
      </w:r>
      <w:r w:rsidRPr="00983ACA">
        <w:t xml:space="preserve"> sustained impact we continue to have on the quality and safety of care for Victorians.</w:t>
      </w:r>
    </w:p>
    <w:p w14:paraId="20578CEA" w14:textId="3E51AAD4" w:rsidR="003C047C" w:rsidRPr="00983ACA" w:rsidRDefault="003C047C" w:rsidP="003C047C">
      <w:r w:rsidRPr="00983ACA">
        <w:t>Over the past year, I have heard directly from health services, clinicians, consumers and system leaders about what matters most. There is a shared commitment to safer care, alongside a clear expectation that we go further</w:t>
      </w:r>
      <w:r w:rsidR="005F281E">
        <w:t>. This includes</w:t>
      </w:r>
      <w:r w:rsidRPr="00983ACA">
        <w:t xml:space="preserve"> supporting care that is safe, effective, person-centred and equitable</w:t>
      </w:r>
      <w:r w:rsidR="005F281E">
        <w:t xml:space="preserve"> –</w:t>
      </w:r>
      <w:r w:rsidRPr="00983ACA">
        <w:t xml:space="preserve"> and delivered consistently across the system.</w:t>
      </w:r>
    </w:p>
    <w:p w14:paraId="30910D87" w14:textId="77777777" w:rsidR="00D114AE" w:rsidRPr="00D114AE" w:rsidRDefault="00D114AE" w:rsidP="00D114AE">
      <w:r w:rsidRPr="00D114AE">
        <w:t xml:space="preserve">In response, we are evolving our approach through </w:t>
      </w:r>
      <w:r w:rsidRPr="004621CD">
        <w:t>Safer Together</w:t>
      </w:r>
      <w:r w:rsidRPr="00D114AE">
        <w:t>, strengthening how we partner with and support the sector to drive system-wide improvement. This reflects a deliberate shift to a more connected and collaborative model, aligning effort around shared priorities to deliver better outcomes for Victorians.</w:t>
      </w:r>
    </w:p>
    <w:p w14:paraId="0E683E30" w14:textId="58A6DC25" w:rsidR="003C047C" w:rsidRPr="00983ACA" w:rsidRDefault="003C047C" w:rsidP="003C047C">
      <w:r w:rsidRPr="00983ACA">
        <w:t>At the heart of this is our commitment to a learning health system</w:t>
      </w:r>
      <w:r w:rsidR="00725823">
        <w:t xml:space="preserve">. </w:t>
      </w:r>
      <w:r w:rsidR="00703B95">
        <w:t>We aim for a system</w:t>
      </w:r>
      <w:r w:rsidRPr="00983ACA">
        <w:t xml:space="preserve"> where evidence, data and lived experience inform decisions, and where learning is actively translated into practice and shared at scale. This is how we move from isolated effort to collective impact, while continuing to recognise the importance of local leadership and context.</w:t>
      </w:r>
    </w:p>
    <w:p w14:paraId="50266704" w14:textId="66757FB2" w:rsidR="003C047C" w:rsidRPr="00983ACA" w:rsidRDefault="003C047C" w:rsidP="003C047C">
      <w:r w:rsidRPr="00983ACA">
        <w:t>Through this approach, we are strengthening the foundations that enable better care</w:t>
      </w:r>
      <w:r w:rsidR="00703B95">
        <w:t>. Th</w:t>
      </w:r>
      <w:r w:rsidR="00653465">
        <w:t>ese include</w:t>
      </w:r>
      <w:r w:rsidRPr="00983ACA">
        <w:t xml:space="preserve"> clinical governance, partnering with consumers and a culture of continuous improvement. We are working alongside health services to translate insight into action and to scale what we know makes a difference.</w:t>
      </w:r>
    </w:p>
    <w:p w14:paraId="1135BE4A" w14:textId="5796B0AA" w:rsidR="003C047C" w:rsidRPr="00983ACA" w:rsidRDefault="003C047C" w:rsidP="003C047C">
      <w:r w:rsidRPr="00983ACA">
        <w:t xml:space="preserve">In 2026–27, our focus is on embedding this way of working while continuing to deliver high-impact initiatives. This includes implementing the Victorian Medicines Formulary, accelerating evidence-based improvement through </w:t>
      </w:r>
      <w:r w:rsidR="008D7055">
        <w:t xml:space="preserve">a </w:t>
      </w:r>
      <w:r w:rsidRPr="00983ACA">
        <w:t xml:space="preserve">partnership with Local Health Service Networks, refreshing the Partnering in Healthcare Framework, and </w:t>
      </w:r>
      <w:r w:rsidR="000D1550">
        <w:t>continu</w:t>
      </w:r>
      <w:r w:rsidR="00040918">
        <w:t>ing</w:t>
      </w:r>
      <w:r w:rsidR="000D1550">
        <w:t xml:space="preserve"> to </w:t>
      </w:r>
      <w:r w:rsidRPr="00983ACA">
        <w:t xml:space="preserve">strengthen clinical governance. We will publish the </w:t>
      </w:r>
      <w:r w:rsidRPr="004001E2">
        <w:rPr>
          <w:i/>
          <w:iCs/>
        </w:rPr>
        <w:t xml:space="preserve">Sentinel </w:t>
      </w:r>
      <w:r w:rsidRPr="0060490C">
        <w:rPr>
          <w:i/>
          <w:iCs/>
        </w:rPr>
        <w:t>Event A</w:t>
      </w:r>
      <w:r w:rsidRPr="004001E2">
        <w:rPr>
          <w:i/>
          <w:iCs/>
        </w:rPr>
        <w:t>nnual Report</w:t>
      </w:r>
      <w:r w:rsidRPr="00983ACA">
        <w:t xml:space="preserve"> and update key policy and </w:t>
      </w:r>
      <w:r w:rsidR="00F34342">
        <w:t xml:space="preserve">related resources </w:t>
      </w:r>
      <w:r w:rsidRPr="00983ACA">
        <w:t xml:space="preserve">to reflect emerging risks and system learning, including </w:t>
      </w:r>
      <w:r w:rsidR="00D0574E">
        <w:t xml:space="preserve">insights </w:t>
      </w:r>
      <w:r w:rsidRPr="00983ACA">
        <w:t xml:space="preserve">from recent maternity, neonatal and paediatric reviews. We will also progress the Health Complaints Commissioner </w:t>
      </w:r>
      <w:r w:rsidR="00132ACB">
        <w:t xml:space="preserve">transition </w:t>
      </w:r>
      <w:r w:rsidRPr="00983ACA">
        <w:t xml:space="preserve">into Safer Care Victoria and support more equitable access to clinical trials through initiatives such as the Australian Teletrial Program, improving </w:t>
      </w:r>
      <w:r w:rsidR="00770548" w:rsidRPr="00770548">
        <w:t>standard of care by embedding clinical trials</w:t>
      </w:r>
      <w:r w:rsidRPr="00983ACA">
        <w:t xml:space="preserve"> across </w:t>
      </w:r>
      <w:r w:rsidR="00770548" w:rsidRPr="00770548">
        <w:t>Victoria</w:t>
      </w:r>
      <w:r w:rsidR="00770548">
        <w:t>.</w:t>
      </w:r>
      <w:r w:rsidR="00455B2C">
        <w:t xml:space="preserve"> </w:t>
      </w:r>
      <w:r w:rsidRPr="00983ACA">
        <w:t>Equity remains central to this work. We are committed to improving outcomes for Aboriginal and Torres Strait Islander peoples, culturally and linguistically diverse communities, and all Victorians.</w:t>
      </w:r>
    </w:p>
    <w:p w14:paraId="55D1D7B3" w14:textId="1D3A6AF7" w:rsidR="003C047C" w:rsidRPr="00983ACA" w:rsidRDefault="003C047C" w:rsidP="003C047C">
      <w:r w:rsidRPr="00983ACA">
        <w:t xml:space="preserve">We are delivering this in a constrained environment, making it even more important that we are focused, connected and working in partnership. </w:t>
      </w:r>
      <w:r w:rsidRPr="004621CD">
        <w:rPr>
          <w:iCs/>
        </w:rPr>
        <w:t>Safer Together</w:t>
      </w:r>
      <w:r w:rsidRPr="00983ACA">
        <w:t xml:space="preserve"> provides a clear and deliberate path forward, aligning effort, strengthening </w:t>
      </w:r>
      <w:r w:rsidR="00C60385">
        <w:t xml:space="preserve">clinical governance, </w:t>
      </w:r>
      <w:r w:rsidRPr="00983ACA">
        <w:t>capability and ensuring that learning is shared and sustained across the system</w:t>
      </w:r>
      <w:r w:rsidR="00C60385">
        <w:t>.</w:t>
      </w:r>
    </w:p>
    <w:p w14:paraId="419EF308" w14:textId="22BC7ADC" w:rsidR="0057761B" w:rsidRPr="0057761B" w:rsidRDefault="003C047C" w:rsidP="000524E8">
      <w:r w:rsidRPr="00983ACA">
        <w:t xml:space="preserve">I thank the staff of Safer Care Victoria, and our partners across the system, for your ongoing commitment and collaboration. Together, we will continue to strengthen quality and safety and enable </w:t>
      </w:r>
      <w:r w:rsidR="004B5BC1">
        <w:t xml:space="preserve">improved outcomes </w:t>
      </w:r>
      <w:r w:rsidRPr="00983ACA">
        <w:t>for all Victorians.</w:t>
      </w:r>
    </w:p>
    <w:p w14:paraId="6C7853B5" w14:textId="5AE5602A" w:rsidR="009E4CB1" w:rsidRPr="001C1683" w:rsidRDefault="009E4CB1" w:rsidP="009E4CB1">
      <w:pPr>
        <w:pStyle w:val="Heading1"/>
      </w:pPr>
      <w:bookmarkStart w:id="6" w:name="_Toc242783767"/>
      <w:r w:rsidRPr="001C1683">
        <w:t xml:space="preserve">About </w:t>
      </w:r>
      <w:bookmarkEnd w:id="4"/>
      <w:bookmarkEnd w:id="5"/>
      <w:r w:rsidR="0061170F">
        <w:t>us</w:t>
      </w:r>
      <w:bookmarkEnd w:id="6"/>
    </w:p>
    <w:p w14:paraId="3EA34312" w14:textId="77777777" w:rsidR="00467C11" w:rsidRPr="00467C11" w:rsidRDefault="00467C11" w:rsidP="00467C11">
      <w:pPr>
        <w:pStyle w:val="SCVbodyafterheading"/>
      </w:pPr>
      <w:r w:rsidRPr="00467C11">
        <w:t xml:space="preserve">Safer Care Victoria (SCV) is the lead quality and safety improvement agency for healthcare across the state. </w:t>
      </w:r>
    </w:p>
    <w:p w14:paraId="41CABB92" w14:textId="7D3EBCAD" w:rsidR="00467C11" w:rsidRPr="00467C11" w:rsidRDefault="00467C11" w:rsidP="00467C11">
      <w:pPr>
        <w:pStyle w:val="SCVbody"/>
      </w:pPr>
      <w:r w:rsidRPr="00467C11">
        <w:t>We were established as an Administrative Office of the Victorian Department of Health (the department) in 201</w:t>
      </w:r>
      <w:r w:rsidR="000954E8">
        <w:t>6</w:t>
      </w:r>
      <w:r w:rsidR="000206A0">
        <w:t xml:space="preserve"> </w:t>
      </w:r>
      <w:r w:rsidRPr="00467C11">
        <w:t xml:space="preserve">following recommendations made to the Victorian Government in the </w:t>
      </w:r>
      <w:hyperlink r:id="rId34" w:history="1">
        <w:r w:rsidRPr="000206A0">
          <w:rPr>
            <w:rStyle w:val="Hyperlink"/>
          </w:rPr>
          <w:t>Targeting Zero Report</w:t>
        </w:r>
      </w:hyperlink>
      <w:r w:rsidRPr="00467C11">
        <w:t xml:space="preserve"> in response to patient safety concerns. </w:t>
      </w:r>
    </w:p>
    <w:p w14:paraId="198AAF93" w14:textId="77777777" w:rsidR="00467C11" w:rsidRPr="00467C11" w:rsidRDefault="00467C11" w:rsidP="000206A0">
      <w:pPr>
        <w:pStyle w:val="Heading2"/>
      </w:pPr>
      <w:r w:rsidRPr="00467C11">
        <w:t xml:space="preserve">Our role </w:t>
      </w:r>
    </w:p>
    <w:p w14:paraId="35B5247B" w14:textId="1DC717A6" w:rsidR="00467C11" w:rsidRPr="00467C11" w:rsidRDefault="00467C11" w:rsidP="00467C11">
      <w:pPr>
        <w:pStyle w:val="SCVbody"/>
      </w:pPr>
      <w:r w:rsidRPr="00467C11">
        <w:t xml:space="preserve">SCV’s primary focus is quality and safety improvements within state publicly funded health services. We also provide support across the sector, including private providers that are regulated by the department. We work with health services, the department, clinicians, consumers, carers, safety bodies, research bodies and other key stakeholders. </w:t>
      </w:r>
    </w:p>
    <w:p w14:paraId="5C0CBD16" w14:textId="047CB888" w:rsidR="00467C11" w:rsidRPr="00467C11" w:rsidRDefault="00467C11" w:rsidP="00467C11">
      <w:pPr>
        <w:pStyle w:val="SCVbody"/>
      </w:pPr>
      <w:r w:rsidRPr="00467C11">
        <w:t>We focus on quality and safety so that we can work with health services to deliver care that is safe, timely, effective, efficient and person-centred. We do this by:</w:t>
      </w:r>
    </w:p>
    <w:p w14:paraId="6FBECB29" w14:textId="660ABF51" w:rsidR="00467C11" w:rsidRPr="00220613" w:rsidRDefault="00467C11" w:rsidP="00421B99">
      <w:pPr>
        <w:pStyle w:val="SCVbullet1"/>
      </w:pPr>
      <w:r w:rsidRPr="00220613">
        <w:t>driving large scale improvements across the sector</w:t>
      </w:r>
    </w:p>
    <w:p w14:paraId="0584C4DB" w14:textId="13040EDF" w:rsidR="00467C11" w:rsidRPr="00220613" w:rsidRDefault="00467C11" w:rsidP="00421B99">
      <w:pPr>
        <w:pStyle w:val="SCVbullet1"/>
      </w:pPr>
      <w:r w:rsidRPr="00220613">
        <w:t>identifying opportunities for reducing avoidable harm and unwarranted variation in care</w:t>
      </w:r>
    </w:p>
    <w:p w14:paraId="5180BAD5" w14:textId="707A1D36" w:rsidR="00467C11" w:rsidRPr="00220613" w:rsidRDefault="00467C11" w:rsidP="00421B99">
      <w:pPr>
        <w:pStyle w:val="SCVbullet1"/>
      </w:pPr>
      <w:r w:rsidRPr="00220613">
        <w:t>strengthening capability in clinical governance, improvement science and safe and just culture</w:t>
      </w:r>
    </w:p>
    <w:p w14:paraId="528C5CD6" w14:textId="38A39EAD" w:rsidR="00467C11" w:rsidRPr="00220613" w:rsidRDefault="00467C11" w:rsidP="00421B99">
      <w:pPr>
        <w:pStyle w:val="SCVbullet1"/>
      </w:pPr>
      <w:r w:rsidRPr="00220613">
        <w:t>providing insights, resources and support to health services</w:t>
      </w:r>
    </w:p>
    <w:p w14:paraId="3BD265A5" w14:textId="4F32736F" w:rsidR="00467C11" w:rsidRPr="00467C11" w:rsidRDefault="00467C11" w:rsidP="00421B99">
      <w:pPr>
        <w:pStyle w:val="SCVbullet1"/>
      </w:pPr>
      <w:r w:rsidRPr="00467C11">
        <w:t>supporting translational research and clinical trials in health services and universities to drive evidence-based improvements into practice.</w:t>
      </w:r>
    </w:p>
    <w:p w14:paraId="4EF3B9BA" w14:textId="7331A492" w:rsidR="0087135B" w:rsidRDefault="00467C11" w:rsidP="00467C11">
      <w:pPr>
        <w:pStyle w:val="SCVbody"/>
      </w:pPr>
      <w:r w:rsidRPr="00467C11">
        <w:t xml:space="preserve">SCV’s full responsibilities are outlined by the Victorian Minister for Health in a </w:t>
      </w:r>
      <w:r w:rsidR="00FE53C8">
        <w:t>trien</w:t>
      </w:r>
      <w:r w:rsidR="00F020EF">
        <w:t>nial</w:t>
      </w:r>
      <w:r w:rsidRPr="00467C11">
        <w:t xml:space="preserve"> </w:t>
      </w:r>
      <w:hyperlink r:id="rId35" w:history="1">
        <w:r w:rsidRPr="0087135B">
          <w:rPr>
            <w:rStyle w:val="Hyperlink"/>
          </w:rPr>
          <w:t>Statement of Expectation</w:t>
        </w:r>
      </w:hyperlink>
      <w:r w:rsidR="00F020EF" w:rsidRPr="0050740B">
        <w:rPr>
          <w:color w:val="003871" w:themeColor="accent4" w:themeShade="BF"/>
          <w:u w:val="single"/>
        </w:rPr>
        <w:t>s</w:t>
      </w:r>
      <w:r>
        <w:t>.</w:t>
      </w:r>
      <w:r w:rsidR="000F7286">
        <w:rPr>
          <w:rStyle w:val="FootnoteReference"/>
        </w:rPr>
        <w:footnoteReference w:id="1"/>
      </w:r>
    </w:p>
    <w:p w14:paraId="4FCAF03B" w14:textId="123F6975" w:rsidR="009637A6" w:rsidRDefault="009637A6" w:rsidP="009637A6">
      <w:pPr>
        <w:pStyle w:val="Heading1"/>
      </w:pPr>
      <w:bookmarkStart w:id="7" w:name="_Toc242783768"/>
      <w:r w:rsidRPr="001C1683">
        <w:t>O</w:t>
      </w:r>
      <w:r>
        <w:t>u</w:t>
      </w:r>
      <w:r w:rsidRPr="001C1683">
        <w:t xml:space="preserve">r </w:t>
      </w:r>
      <w:r w:rsidRPr="0001493B">
        <w:rPr>
          <w:i/>
          <w:iCs/>
        </w:rPr>
        <w:t>Strategic Plan 2026</w:t>
      </w:r>
      <w:r w:rsidR="00220613" w:rsidRPr="0001493B">
        <w:rPr>
          <w:i/>
          <w:iCs/>
        </w:rPr>
        <w:t>–</w:t>
      </w:r>
      <w:r w:rsidRPr="0001493B">
        <w:rPr>
          <w:i/>
          <w:iCs/>
        </w:rPr>
        <w:t>29</w:t>
      </w:r>
      <w:bookmarkEnd w:id="7"/>
    </w:p>
    <w:p w14:paraId="376ED450" w14:textId="5EC4600C" w:rsidR="009637A6" w:rsidRDefault="009637A6" w:rsidP="009637A6">
      <w:pPr>
        <w:pStyle w:val="SCVbody"/>
      </w:pPr>
      <w:r>
        <w:t xml:space="preserve">In </w:t>
      </w:r>
      <w:r w:rsidR="004010B5">
        <w:t>September</w:t>
      </w:r>
      <w:r w:rsidRPr="00B24BCE">
        <w:t xml:space="preserve"> 2026</w:t>
      </w:r>
      <w:r w:rsidR="00220613">
        <w:t>,</w:t>
      </w:r>
      <w:r>
        <w:t xml:space="preserve"> we launched our new strategic plan for 2026</w:t>
      </w:r>
      <w:r w:rsidR="00220613">
        <w:t>–</w:t>
      </w:r>
      <w:r>
        <w:t xml:space="preserve">29, setting out our vision, aim, and strategic priorities for the next </w:t>
      </w:r>
      <w:r w:rsidR="00087114">
        <w:t>3</w:t>
      </w:r>
      <w:r>
        <w:t xml:space="preserve"> years. The full strategic plan can be found </w:t>
      </w:r>
      <w:r w:rsidR="006F51A1">
        <w:t xml:space="preserve">on the </w:t>
      </w:r>
      <w:hyperlink r:id="rId36" w:history="1">
        <w:r w:rsidR="006F51A1" w:rsidRPr="006F51A1">
          <w:rPr>
            <w:rStyle w:val="Hyperlink"/>
          </w:rPr>
          <w:t xml:space="preserve">SCV </w:t>
        </w:r>
        <w:r w:rsidRPr="006F51A1">
          <w:rPr>
            <w:rStyle w:val="Hyperlink"/>
          </w:rPr>
          <w:t>website</w:t>
        </w:r>
      </w:hyperlink>
      <w:r>
        <w:t>.</w:t>
      </w:r>
      <w:r w:rsidR="006F51A1">
        <w:rPr>
          <w:rStyle w:val="FootnoteReference"/>
        </w:rPr>
        <w:footnoteReference w:id="2"/>
      </w:r>
    </w:p>
    <w:p w14:paraId="5F8BD802" w14:textId="77777777" w:rsidR="009637A6" w:rsidRPr="002C0393" w:rsidRDefault="009637A6" w:rsidP="009637A6">
      <w:pPr>
        <w:pStyle w:val="SCVbody"/>
      </w:pPr>
      <w:r w:rsidRPr="00743DD7">
        <w:t>Safer Care Victoria is the state lead for quality and safety in publicly funded health services and across the sector.</w:t>
      </w:r>
    </w:p>
    <w:p w14:paraId="353F92AB" w14:textId="4706D2DB" w:rsidR="009637A6" w:rsidRDefault="009637A6" w:rsidP="009637A6">
      <w:pPr>
        <w:pStyle w:val="SCVbody"/>
      </w:pPr>
      <w:r w:rsidRPr="00123294">
        <w:t>We drive improvements in partnership with health services, the department, clinicians, consumers and carers, safety bodies</w:t>
      </w:r>
      <w:r>
        <w:t>, research bodies</w:t>
      </w:r>
      <w:r w:rsidRPr="00123294">
        <w:t xml:space="preserve"> and other key stakeholders.</w:t>
      </w:r>
      <w:r w:rsidR="00A6031C">
        <w:t xml:space="preserve"> </w:t>
      </w:r>
    </w:p>
    <w:tbl>
      <w:tblPr>
        <w:tblStyle w:val="TableGrid"/>
        <w:tblW w:w="103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3435"/>
        <w:gridCol w:w="1725"/>
        <w:gridCol w:w="1709"/>
        <w:gridCol w:w="3442"/>
      </w:tblGrid>
      <w:tr w:rsidR="00A6031C" w:rsidRPr="004C7AEB" w14:paraId="5615A299" w14:textId="77777777" w:rsidTr="00A6031C">
        <w:trPr>
          <w:trHeight w:val="295"/>
        </w:trPr>
        <w:tc>
          <w:tcPr>
            <w:tcW w:w="10311" w:type="dxa"/>
            <w:gridSpan w:val="4"/>
            <w:vAlign w:val="center"/>
          </w:tcPr>
          <w:p w14:paraId="2C0BA715" w14:textId="77777777" w:rsidR="00A6031C" w:rsidRPr="004C7AEB" w:rsidRDefault="00A6031C" w:rsidP="00A6031C">
            <w:pPr>
              <w:pStyle w:val="SCVtablebody"/>
              <w:jc w:val="center"/>
              <w:rPr>
                <w:b/>
                <w:bCs/>
              </w:rPr>
            </w:pPr>
            <w:r w:rsidRPr="004C7AEB">
              <w:rPr>
                <w:b/>
                <w:bCs/>
              </w:rPr>
              <w:t>Vision</w:t>
            </w:r>
            <w:r w:rsidRPr="004C7AEB">
              <w:t>:</w:t>
            </w:r>
            <w:r w:rsidRPr="004C7AEB">
              <w:rPr>
                <w:rFonts w:eastAsiaTheme="minorEastAsia" w:cstheme="minorBidi"/>
                <w:b/>
                <w:color w:val="007586"/>
                <w:kern w:val="24"/>
                <w:lang w:eastAsia="en-AU"/>
              </w:rPr>
              <w:t xml:space="preserve"> </w:t>
            </w:r>
            <w:r w:rsidRPr="004C7AEB">
              <w:rPr>
                <w:i/>
                <w:iCs/>
              </w:rPr>
              <w:t>(What we aspire to)</w:t>
            </w:r>
          </w:p>
        </w:tc>
      </w:tr>
      <w:tr w:rsidR="00A6031C" w:rsidRPr="004C7AEB" w14:paraId="38588E93" w14:textId="77777777" w:rsidTr="00A6031C">
        <w:trPr>
          <w:trHeight w:val="295"/>
        </w:trPr>
        <w:tc>
          <w:tcPr>
            <w:tcW w:w="10311" w:type="dxa"/>
            <w:gridSpan w:val="4"/>
            <w:vAlign w:val="center"/>
          </w:tcPr>
          <w:p w14:paraId="170BBCD9" w14:textId="77777777" w:rsidR="00A6031C" w:rsidRPr="004C7AEB" w:rsidRDefault="00A6031C" w:rsidP="00A6031C">
            <w:pPr>
              <w:pStyle w:val="SCVtablebody"/>
              <w:jc w:val="center"/>
              <w:rPr>
                <w:b/>
                <w:bCs/>
                <w:color w:val="007586" w:themeColor="text2"/>
                <w:sz w:val="22"/>
                <w:szCs w:val="22"/>
              </w:rPr>
            </w:pPr>
            <w:r w:rsidRPr="004C7AEB">
              <w:rPr>
                <w:b/>
                <w:bCs/>
                <w:color w:val="007586" w:themeColor="text2"/>
                <w:sz w:val="22"/>
                <w:szCs w:val="22"/>
              </w:rPr>
              <w:t>A better, safer healthcare system for all Victorians</w:t>
            </w:r>
          </w:p>
        </w:tc>
      </w:tr>
      <w:tr w:rsidR="00A6031C" w:rsidRPr="00CA2CFD" w14:paraId="32A26CEC" w14:textId="77777777" w:rsidTr="00A6031C">
        <w:trPr>
          <w:trHeight w:val="295"/>
        </w:trPr>
        <w:tc>
          <w:tcPr>
            <w:tcW w:w="10311" w:type="dxa"/>
            <w:gridSpan w:val="4"/>
            <w:vAlign w:val="center"/>
          </w:tcPr>
          <w:p w14:paraId="38626AA7" w14:textId="77777777" w:rsidR="00A6031C" w:rsidRPr="00CA2CFD" w:rsidRDefault="00A6031C" w:rsidP="00A6031C">
            <w:pPr>
              <w:pStyle w:val="SCVtablebody"/>
              <w:jc w:val="center"/>
              <w:rPr>
                <w:lang w:val="en-US"/>
              </w:rPr>
            </w:pPr>
            <w:r w:rsidRPr="004C7AEB">
              <w:rPr>
                <w:b/>
                <w:bCs/>
                <w:lang w:val="en-US"/>
              </w:rPr>
              <w:t>Aim</w:t>
            </w:r>
            <w:r w:rsidRPr="00CA2CFD">
              <w:rPr>
                <w:lang w:val="en-US"/>
              </w:rPr>
              <w:t xml:space="preserve"> </w:t>
            </w:r>
            <w:r w:rsidRPr="004C7AEB">
              <w:rPr>
                <w:i/>
                <w:iCs/>
                <w:lang w:val="en-US"/>
              </w:rPr>
              <w:t>(the specific goal we intend to accomplish to fulfil our vision).</w:t>
            </w:r>
          </w:p>
        </w:tc>
      </w:tr>
      <w:tr w:rsidR="00A6031C" w:rsidRPr="004C7AEB" w14:paraId="63475DBF" w14:textId="77777777" w:rsidTr="00A6031C">
        <w:trPr>
          <w:trHeight w:val="295"/>
        </w:trPr>
        <w:tc>
          <w:tcPr>
            <w:tcW w:w="10311" w:type="dxa"/>
            <w:gridSpan w:val="4"/>
            <w:vAlign w:val="center"/>
          </w:tcPr>
          <w:p w14:paraId="1C3974ED" w14:textId="23281ABA" w:rsidR="00A6031C" w:rsidRPr="004C7AEB" w:rsidRDefault="00A6031C" w:rsidP="00A6031C">
            <w:pPr>
              <w:pStyle w:val="SCVtablebody"/>
              <w:jc w:val="center"/>
              <w:rPr>
                <w:b/>
                <w:bCs/>
                <w:sz w:val="20"/>
                <w:szCs w:val="20"/>
                <w:lang w:val="en-US"/>
              </w:rPr>
            </w:pPr>
            <w:r w:rsidRPr="004C7AEB">
              <w:rPr>
                <w:b/>
                <w:bCs/>
                <w:color w:val="007586" w:themeColor="text2"/>
                <w:sz w:val="20"/>
                <w:szCs w:val="20"/>
                <w:lang w:val="en-US"/>
              </w:rPr>
              <w:t xml:space="preserve">Over the next </w:t>
            </w:r>
            <w:r w:rsidR="00220613">
              <w:rPr>
                <w:b/>
                <w:bCs/>
                <w:color w:val="007586" w:themeColor="text2"/>
                <w:sz w:val="20"/>
                <w:szCs w:val="20"/>
                <w:lang w:val="en-US"/>
              </w:rPr>
              <w:t>3</w:t>
            </w:r>
            <w:r w:rsidR="00220613" w:rsidRPr="004C7AEB">
              <w:rPr>
                <w:b/>
                <w:bCs/>
                <w:color w:val="007586" w:themeColor="text2"/>
                <w:sz w:val="20"/>
                <w:szCs w:val="20"/>
                <w:lang w:val="en-US"/>
              </w:rPr>
              <w:t xml:space="preserve"> </w:t>
            </w:r>
            <w:r w:rsidRPr="004C7AEB">
              <w:rPr>
                <w:b/>
                <w:bCs/>
                <w:color w:val="007586" w:themeColor="text2"/>
                <w:sz w:val="20"/>
                <w:szCs w:val="20"/>
                <w:lang w:val="en-US"/>
              </w:rPr>
              <w:t>years, we will continue</w:t>
            </w:r>
            <w:r>
              <w:rPr>
                <w:b/>
                <w:bCs/>
                <w:color w:val="007586" w:themeColor="text2"/>
                <w:sz w:val="20"/>
                <w:szCs w:val="20"/>
                <w:lang w:val="en-US"/>
              </w:rPr>
              <w:t xml:space="preserve"> to </w:t>
            </w:r>
            <w:r w:rsidRPr="004C7AEB">
              <w:rPr>
                <w:b/>
                <w:bCs/>
                <w:color w:val="007586" w:themeColor="text2"/>
                <w:sz w:val="20"/>
                <w:szCs w:val="20"/>
                <w:lang w:val="en-US"/>
              </w:rPr>
              <w:t>work with our partners to drive quality and safety healthcare improvements across Victoria</w:t>
            </w:r>
          </w:p>
        </w:tc>
      </w:tr>
      <w:tr w:rsidR="00A6031C" w:rsidRPr="00CA2CFD" w14:paraId="271DF91F" w14:textId="77777777" w:rsidTr="00A6031C">
        <w:trPr>
          <w:trHeight w:val="279"/>
        </w:trPr>
        <w:tc>
          <w:tcPr>
            <w:tcW w:w="10311" w:type="dxa"/>
            <w:gridSpan w:val="4"/>
            <w:vAlign w:val="center"/>
          </w:tcPr>
          <w:p w14:paraId="43E44453" w14:textId="56E37F2D" w:rsidR="00A6031C" w:rsidRPr="00CA2CFD" w:rsidRDefault="00A6031C" w:rsidP="00A6031C">
            <w:pPr>
              <w:pStyle w:val="SCVtablebody"/>
              <w:jc w:val="center"/>
              <w:rPr>
                <w:lang w:val="en-US"/>
              </w:rPr>
            </w:pPr>
            <w:r w:rsidRPr="004C7AEB">
              <w:rPr>
                <w:b/>
                <w:bCs/>
                <w:lang w:val="en-US"/>
              </w:rPr>
              <w:t>Strategic</w:t>
            </w:r>
            <w:r w:rsidRPr="004C7AEB">
              <w:rPr>
                <w:b/>
                <w:bCs/>
              </w:rPr>
              <w:t xml:space="preserve"> priorities</w:t>
            </w:r>
            <w:r w:rsidRPr="00CA2CFD">
              <w:t xml:space="preserve"> </w:t>
            </w:r>
            <w:r w:rsidRPr="004C7AEB">
              <w:rPr>
                <w:i/>
                <w:iCs/>
              </w:rPr>
              <w:t>(</w:t>
            </w:r>
            <w:r w:rsidRPr="004C7AEB">
              <w:rPr>
                <w:i/>
                <w:iCs/>
                <w:lang w:val="en-US"/>
              </w:rPr>
              <w:t>the key areas we should focus on to help us realise</w:t>
            </w:r>
            <w:r w:rsidR="002D1130">
              <w:rPr>
                <w:i/>
                <w:iCs/>
                <w:lang w:val="en-US"/>
              </w:rPr>
              <w:t xml:space="preserve"> </w:t>
            </w:r>
            <w:r w:rsidRPr="004C7AEB">
              <w:rPr>
                <w:i/>
                <w:iCs/>
                <w:lang w:val="en-US"/>
              </w:rPr>
              <w:t>our aim)</w:t>
            </w:r>
          </w:p>
        </w:tc>
      </w:tr>
      <w:tr w:rsidR="00A6031C" w:rsidRPr="004C7AEB" w14:paraId="00EB2E16" w14:textId="77777777" w:rsidTr="00A6031C">
        <w:trPr>
          <w:trHeight w:val="295"/>
        </w:trPr>
        <w:tc>
          <w:tcPr>
            <w:tcW w:w="3435" w:type="dxa"/>
            <w:vAlign w:val="center"/>
          </w:tcPr>
          <w:p w14:paraId="43EAF35A" w14:textId="77777777" w:rsidR="00A6031C" w:rsidRPr="004C7AEB" w:rsidRDefault="00A6031C" w:rsidP="00A6031C">
            <w:pPr>
              <w:pStyle w:val="SCVtablebody"/>
              <w:jc w:val="center"/>
              <w:rPr>
                <w:b/>
                <w:bCs/>
                <w:color w:val="007586" w:themeColor="text2"/>
                <w:sz w:val="20"/>
                <w:szCs w:val="20"/>
                <w:lang w:val="en-US"/>
              </w:rPr>
            </w:pPr>
            <w:r w:rsidRPr="004C7AEB">
              <w:rPr>
                <w:b/>
                <w:bCs/>
                <w:color w:val="007586" w:themeColor="text2"/>
                <w:sz w:val="20"/>
                <w:szCs w:val="20"/>
                <w:lang w:val="en-US"/>
              </w:rPr>
              <w:t>Leadership</w:t>
            </w:r>
          </w:p>
        </w:tc>
        <w:tc>
          <w:tcPr>
            <w:tcW w:w="3434" w:type="dxa"/>
            <w:gridSpan w:val="2"/>
            <w:vAlign w:val="center"/>
          </w:tcPr>
          <w:p w14:paraId="27869C6A" w14:textId="77777777" w:rsidR="00A6031C" w:rsidRPr="004C7AEB" w:rsidRDefault="00A6031C" w:rsidP="00A6031C">
            <w:pPr>
              <w:pStyle w:val="SCVtablebody"/>
              <w:jc w:val="center"/>
              <w:rPr>
                <w:b/>
                <w:bCs/>
                <w:color w:val="007586" w:themeColor="text2"/>
                <w:sz w:val="20"/>
                <w:szCs w:val="20"/>
                <w:lang w:val="en-US"/>
              </w:rPr>
            </w:pPr>
            <w:r w:rsidRPr="004C7AEB">
              <w:rPr>
                <w:b/>
                <w:bCs/>
                <w:color w:val="007586" w:themeColor="text2"/>
                <w:sz w:val="20"/>
                <w:szCs w:val="20"/>
                <w:lang w:val="en-US"/>
              </w:rPr>
              <w:t>Insights</w:t>
            </w:r>
          </w:p>
        </w:tc>
        <w:tc>
          <w:tcPr>
            <w:tcW w:w="3442" w:type="dxa"/>
            <w:vAlign w:val="center"/>
          </w:tcPr>
          <w:p w14:paraId="722B4461" w14:textId="77777777" w:rsidR="00A6031C" w:rsidRPr="004C7AEB" w:rsidRDefault="00A6031C" w:rsidP="00A6031C">
            <w:pPr>
              <w:pStyle w:val="SCVtablebody"/>
              <w:jc w:val="center"/>
              <w:rPr>
                <w:b/>
                <w:bCs/>
                <w:color w:val="007586" w:themeColor="text2"/>
                <w:sz w:val="20"/>
                <w:szCs w:val="20"/>
                <w:lang w:val="en-US"/>
              </w:rPr>
            </w:pPr>
            <w:r w:rsidRPr="004C7AEB">
              <w:rPr>
                <w:b/>
                <w:bCs/>
                <w:color w:val="007586" w:themeColor="text2"/>
                <w:sz w:val="20"/>
                <w:szCs w:val="20"/>
                <w:lang w:val="en-US"/>
              </w:rPr>
              <w:t>Improvement</w:t>
            </w:r>
          </w:p>
        </w:tc>
      </w:tr>
      <w:tr w:rsidR="00A6031C" w:rsidRPr="00CA2CFD" w14:paraId="3E3DE514" w14:textId="77777777" w:rsidTr="00A6031C">
        <w:trPr>
          <w:trHeight w:val="112"/>
        </w:trPr>
        <w:tc>
          <w:tcPr>
            <w:tcW w:w="3435" w:type="dxa"/>
          </w:tcPr>
          <w:p w14:paraId="5953A462" w14:textId="149ED029" w:rsidR="00A6031C" w:rsidRPr="00CA2CFD" w:rsidRDefault="00A6031C" w:rsidP="00A6031C">
            <w:pPr>
              <w:pStyle w:val="SCVtablebody"/>
              <w:rPr>
                <w:lang w:val="en-US"/>
              </w:rPr>
            </w:pPr>
            <w:r w:rsidRPr="00CA2CFD">
              <w:rPr>
                <w:lang w:val="en-US"/>
              </w:rPr>
              <w:t>Strengthen clinical governance, national reform opportunities, state</w:t>
            </w:r>
            <w:r w:rsidR="00FC61D6">
              <w:rPr>
                <w:lang w:val="en-US"/>
              </w:rPr>
              <w:t>-</w:t>
            </w:r>
            <w:r w:rsidRPr="00CA2CFD">
              <w:rPr>
                <w:lang w:val="en-US"/>
              </w:rPr>
              <w:t>wide initiatives and partnerships with health services and consumers.</w:t>
            </w:r>
          </w:p>
        </w:tc>
        <w:tc>
          <w:tcPr>
            <w:tcW w:w="3434" w:type="dxa"/>
            <w:gridSpan w:val="2"/>
          </w:tcPr>
          <w:p w14:paraId="78D62BC0" w14:textId="77777777" w:rsidR="00A6031C" w:rsidRPr="00CA2CFD" w:rsidRDefault="00A6031C" w:rsidP="00A6031C">
            <w:pPr>
              <w:pStyle w:val="SCVtablebody"/>
              <w:rPr>
                <w:lang w:val="en-US"/>
              </w:rPr>
            </w:pPr>
            <w:r w:rsidRPr="00CA2CFD">
              <w:rPr>
                <w:lang w:val="en-US"/>
              </w:rPr>
              <w:t xml:space="preserve">Harness system data, lived experience, research and frontline insights to identify and share </w:t>
            </w:r>
            <w:r>
              <w:rPr>
                <w:lang w:val="en-US"/>
              </w:rPr>
              <w:t>quality and safety</w:t>
            </w:r>
            <w:r w:rsidRPr="00CA2CFD">
              <w:rPr>
                <w:lang w:val="en-US"/>
              </w:rPr>
              <w:t xml:space="preserve"> opportunities</w:t>
            </w:r>
            <w:r>
              <w:rPr>
                <w:lang w:val="en-US"/>
              </w:rPr>
              <w:t>.</w:t>
            </w:r>
          </w:p>
        </w:tc>
        <w:tc>
          <w:tcPr>
            <w:tcW w:w="3442" w:type="dxa"/>
          </w:tcPr>
          <w:p w14:paraId="4B595C7C" w14:textId="1147D3A3" w:rsidR="00A6031C" w:rsidRPr="00CA2CFD" w:rsidRDefault="00A6031C" w:rsidP="00A6031C">
            <w:pPr>
              <w:pStyle w:val="SCVtablebody"/>
              <w:rPr>
                <w:lang w:val="en-US"/>
              </w:rPr>
            </w:pPr>
            <w:r w:rsidRPr="00CA2CFD">
              <w:rPr>
                <w:lang w:val="en-US"/>
              </w:rPr>
              <w:t xml:space="preserve">Enable </w:t>
            </w:r>
            <w:r>
              <w:rPr>
                <w:lang w:val="en-US"/>
              </w:rPr>
              <w:t>a learning health system that continuously evolves, drives whole system quality, a strong safety culture and improves system sustainability.</w:t>
            </w:r>
          </w:p>
        </w:tc>
      </w:tr>
      <w:tr w:rsidR="00A6031C" w:rsidRPr="004A0E4A" w14:paraId="32C4413C" w14:textId="77777777" w:rsidTr="00A6031C">
        <w:trPr>
          <w:trHeight w:val="295"/>
        </w:trPr>
        <w:tc>
          <w:tcPr>
            <w:tcW w:w="10311" w:type="dxa"/>
            <w:gridSpan w:val="4"/>
            <w:vAlign w:val="center"/>
          </w:tcPr>
          <w:p w14:paraId="6789F68C" w14:textId="77777777" w:rsidR="00A6031C" w:rsidRPr="004A0E4A" w:rsidRDefault="00A6031C" w:rsidP="00A6031C">
            <w:pPr>
              <w:pStyle w:val="SCVtablebody"/>
              <w:jc w:val="center"/>
              <w:rPr>
                <w:i/>
                <w:iCs/>
                <w:szCs w:val="18"/>
              </w:rPr>
            </w:pPr>
            <w:r w:rsidRPr="004A0E4A">
              <w:rPr>
                <w:i/>
                <w:iCs/>
                <w:szCs w:val="18"/>
                <w:lang w:val="en-US"/>
              </w:rPr>
              <w:t>Under each strategic priority, we articulate:</w:t>
            </w:r>
          </w:p>
        </w:tc>
      </w:tr>
      <w:tr w:rsidR="00A6031C" w:rsidRPr="004C7AEB" w14:paraId="48FBD86F" w14:textId="77777777" w:rsidTr="00A6031C">
        <w:trPr>
          <w:trHeight w:val="295"/>
        </w:trPr>
        <w:tc>
          <w:tcPr>
            <w:tcW w:w="5160" w:type="dxa"/>
            <w:gridSpan w:val="2"/>
            <w:vAlign w:val="center"/>
          </w:tcPr>
          <w:p w14:paraId="2E07759D" w14:textId="5842A45A" w:rsidR="00A6031C" w:rsidRPr="004C7AEB" w:rsidRDefault="00515878" w:rsidP="00A6031C">
            <w:pPr>
              <w:pStyle w:val="SCVtablebody"/>
              <w:jc w:val="center"/>
              <w:rPr>
                <w:lang w:val="en-US"/>
              </w:rPr>
            </w:pPr>
            <w:r>
              <w:rPr>
                <w:b/>
                <w:bCs/>
                <w:lang w:val="en-US"/>
              </w:rPr>
              <w:t>Objectives</w:t>
            </w:r>
            <w:r w:rsidR="00A6031C" w:rsidRPr="004C7AEB">
              <w:rPr>
                <w:lang w:val="en-US"/>
              </w:rPr>
              <w:t xml:space="preserve"> </w:t>
            </w:r>
            <w:r w:rsidR="00A6031C" w:rsidRPr="004C7AEB">
              <w:rPr>
                <w:i/>
                <w:iCs/>
              </w:rPr>
              <w:t>(where we invest our effort and time)</w:t>
            </w:r>
          </w:p>
        </w:tc>
        <w:tc>
          <w:tcPr>
            <w:tcW w:w="5151" w:type="dxa"/>
            <w:gridSpan w:val="2"/>
            <w:vAlign w:val="center"/>
          </w:tcPr>
          <w:p w14:paraId="6F37C134" w14:textId="3D70A8F5" w:rsidR="00A6031C" w:rsidRPr="004C7AEB" w:rsidRDefault="00A6031C" w:rsidP="00A6031C">
            <w:pPr>
              <w:pStyle w:val="SCVtablebody"/>
              <w:jc w:val="center"/>
              <w:rPr>
                <w:lang w:val="en-US"/>
              </w:rPr>
            </w:pPr>
            <w:r w:rsidRPr="004C7AEB">
              <w:rPr>
                <w:b/>
                <w:bCs/>
                <w:lang w:val="en-US"/>
              </w:rPr>
              <w:t xml:space="preserve">Measuring </w:t>
            </w:r>
            <w:r w:rsidR="00537C21">
              <w:rPr>
                <w:b/>
                <w:bCs/>
                <w:lang w:val="en-US"/>
              </w:rPr>
              <w:t>i</w:t>
            </w:r>
            <w:r w:rsidRPr="004C7AEB">
              <w:rPr>
                <w:b/>
                <w:bCs/>
                <w:lang w:val="en-US"/>
              </w:rPr>
              <w:t>mpact</w:t>
            </w:r>
            <w:r w:rsidRPr="00CA2CFD">
              <w:rPr>
                <w:lang w:val="en-US"/>
              </w:rPr>
              <w:t xml:space="preserve"> </w:t>
            </w:r>
            <w:r w:rsidRPr="004C7AEB">
              <w:rPr>
                <w:i/>
                <w:iCs/>
                <w:lang w:val="en-US"/>
              </w:rPr>
              <w:t>(what success looks like)</w:t>
            </w:r>
          </w:p>
        </w:tc>
      </w:tr>
      <w:tr w:rsidR="00A6031C" w:rsidRPr="00CA2CFD" w14:paraId="3868CC50" w14:textId="77777777" w:rsidTr="00A6031C">
        <w:trPr>
          <w:trHeight w:val="295"/>
        </w:trPr>
        <w:tc>
          <w:tcPr>
            <w:tcW w:w="10311" w:type="dxa"/>
            <w:gridSpan w:val="4"/>
            <w:vAlign w:val="center"/>
          </w:tcPr>
          <w:p w14:paraId="00AAED93" w14:textId="77777777" w:rsidR="00A6031C" w:rsidRPr="00CA2CFD" w:rsidRDefault="00A6031C" w:rsidP="00A6031C">
            <w:pPr>
              <w:pStyle w:val="SCVtablebody"/>
              <w:jc w:val="center"/>
            </w:pPr>
            <w:r w:rsidRPr="004C7AEB">
              <w:rPr>
                <w:b/>
                <w:bCs/>
                <w:lang w:val="en-US"/>
              </w:rPr>
              <w:t>Enabling principles</w:t>
            </w:r>
            <w:r w:rsidRPr="00A8484F">
              <w:rPr>
                <w:lang w:val="en-US"/>
              </w:rPr>
              <w:t xml:space="preserve"> </w:t>
            </w:r>
            <w:r w:rsidRPr="004C7AEB">
              <w:rPr>
                <w:i/>
                <w:iCs/>
                <w:lang w:val="en-US"/>
              </w:rPr>
              <w:t>(how we approach all that we do)</w:t>
            </w:r>
          </w:p>
        </w:tc>
      </w:tr>
      <w:tr w:rsidR="00A6031C" w:rsidRPr="004C7AEB" w14:paraId="2A692165" w14:textId="77777777" w:rsidTr="00A6031C">
        <w:trPr>
          <w:trHeight w:val="295"/>
        </w:trPr>
        <w:tc>
          <w:tcPr>
            <w:tcW w:w="3435" w:type="dxa"/>
            <w:vAlign w:val="center"/>
          </w:tcPr>
          <w:p w14:paraId="2772DD7A" w14:textId="77777777" w:rsidR="00A6031C" w:rsidRPr="004C7AEB" w:rsidRDefault="00A6031C" w:rsidP="00A6031C">
            <w:pPr>
              <w:pStyle w:val="SCVtablebody"/>
              <w:jc w:val="center"/>
              <w:rPr>
                <w:b/>
                <w:bCs/>
                <w:color w:val="007586" w:themeColor="text2"/>
                <w:sz w:val="20"/>
                <w:szCs w:val="20"/>
                <w:lang w:val="en-US"/>
              </w:rPr>
            </w:pPr>
            <w:r w:rsidRPr="004C7AEB">
              <w:rPr>
                <w:b/>
                <w:bCs/>
                <w:color w:val="007586" w:themeColor="text2"/>
                <w:sz w:val="20"/>
                <w:szCs w:val="20"/>
                <w:lang w:val="en-US"/>
              </w:rPr>
              <w:t>We partner</w:t>
            </w:r>
          </w:p>
        </w:tc>
        <w:tc>
          <w:tcPr>
            <w:tcW w:w="3434" w:type="dxa"/>
            <w:gridSpan w:val="2"/>
            <w:vAlign w:val="center"/>
          </w:tcPr>
          <w:p w14:paraId="7CA74A0A" w14:textId="77777777" w:rsidR="00A6031C" w:rsidRPr="004C7AEB" w:rsidRDefault="00A6031C" w:rsidP="00A6031C">
            <w:pPr>
              <w:pStyle w:val="SCVtablebody"/>
              <w:jc w:val="center"/>
              <w:rPr>
                <w:b/>
                <w:bCs/>
                <w:color w:val="007586" w:themeColor="text2"/>
                <w:sz w:val="20"/>
                <w:szCs w:val="20"/>
                <w:lang w:val="en-US"/>
              </w:rPr>
            </w:pPr>
            <w:r w:rsidRPr="004C7AEB">
              <w:rPr>
                <w:b/>
                <w:bCs/>
                <w:color w:val="007586" w:themeColor="text2"/>
                <w:sz w:val="20"/>
                <w:szCs w:val="20"/>
                <w:lang w:val="en-US"/>
              </w:rPr>
              <w:t>We learn</w:t>
            </w:r>
          </w:p>
        </w:tc>
        <w:tc>
          <w:tcPr>
            <w:tcW w:w="3442" w:type="dxa"/>
            <w:vAlign w:val="center"/>
          </w:tcPr>
          <w:p w14:paraId="38D04EBB" w14:textId="77777777" w:rsidR="00A6031C" w:rsidRPr="004C7AEB" w:rsidRDefault="00A6031C" w:rsidP="00A6031C">
            <w:pPr>
              <w:pStyle w:val="SCVtablebody"/>
              <w:jc w:val="center"/>
              <w:rPr>
                <w:b/>
                <w:bCs/>
                <w:color w:val="007586" w:themeColor="text2"/>
                <w:sz w:val="20"/>
                <w:szCs w:val="20"/>
                <w:lang w:val="en-US"/>
              </w:rPr>
            </w:pPr>
            <w:r w:rsidRPr="004C7AEB">
              <w:rPr>
                <w:b/>
                <w:bCs/>
                <w:color w:val="007586" w:themeColor="text2"/>
                <w:sz w:val="20"/>
                <w:szCs w:val="20"/>
                <w:lang w:val="en-US"/>
              </w:rPr>
              <w:t>We improve</w:t>
            </w:r>
          </w:p>
        </w:tc>
      </w:tr>
      <w:tr w:rsidR="00A6031C" w:rsidRPr="00CA2CFD" w14:paraId="35B70AFB" w14:textId="77777777" w:rsidTr="00A6031C">
        <w:trPr>
          <w:trHeight w:val="40"/>
        </w:trPr>
        <w:tc>
          <w:tcPr>
            <w:tcW w:w="3435" w:type="dxa"/>
          </w:tcPr>
          <w:p w14:paraId="1E32E1C8" w14:textId="5D4AF092" w:rsidR="00A6031C" w:rsidRPr="00CA2CFD" w:rsidRDefault="00A6031C" w:rsidP="00A6031C">
            <w:pPr>
              <w:pStyle w:val="SCVtablebody"/>
              <w:rPr>
                <w:lang w:val="en-US"/>
              </w:rPr>
            </w:pPr>
            <w:r w:rsidRPr="00CA2CFD">
              <w:rPr>
                <w:lang w:val="en-US"/>
              </w:rPr>
              <w:t>B</w:t>
            </w:r>
            <w:r w:rsidRPr="00956D28">
              <w:rPr>
                <w:lang w:val="en-US"/>
              </w:rPr>
              <w:t>y collaborating with diverse stakeholders to align our efforts, develop priorities, influence change, share insights, listen to individual and collective experiences</w:t>
            </w:r>
            <w:r>
              <w:rPr>
                <w:lang w:val="en-US"/>
              </w:rPr>
              <w:t>.</w:t>
            </w:r>
          </w:p>
        </w:tc>
        <w:tc>
          <w:tcPr>
            <w:tcW w:w="3434" w:type="dxa"/>
            <w:gridSpan w:val="2"/>
          </w:tcPr>
          <w:p w14:paraId="210C7114" w14:textId="418AD6DC" w:rsidR="00A6031C" w:rsidRPr="00CA2CFD" w:rsidRDefault="00A6031C" w:rsidP="00A6031C">
            <w:pPr>
              <w:pStyle w:val="SCVtablebody"/>
              <w:rPr>
                <w:lang w:val="en-US"/>
              </w:rPr>
            </w:pPr>
            <w:r w:rsidRPr="00956D28">
              <w:rPr>
                <w:lang w:val="en-US"/>
              </w:rPr>
              <w:t>By building, deepening and sharing skills and knowledge,</w:t>
            </w:r>
            <w:r w:rsidR="009E2CE7">
              <w:rPr>
                <w:lang w:val="en-US"/>
              </w:rPr>
              <w:t xml:space="preserve"> and</w:t>
            </w:r>
            <w:r w:rsidRPr="00956D28">
              <w:rPr>
                <w:lang w:val="en-US"/>
              </w:rPr>
              <w:t xml:space="preserve"> embracing diverse perspectives</w:t>
            </w:r>
            <w:r w:rsidR="00E63DC8">
              <w:rPr>
                <w:lang w:val="en-US"/>
              </w:rPr>
              <w:t xml:space="preserve"> </w:t>
            </w:r>
            <w:r w:rsidRPr="00956D28">
              <w:rPr>
                <w:lang w:val="en-US"/>
              </w:rPr>
              <w:t xml:space="preserve">to support </w:t>
            </w:r>
            <w:r w:rsidR="00E63DC8">
              <w:rPr>
                <w:lang w:val="en-US"/>
              </w:rPr>
              <w:t xml:space="preserve">a </w:t>
            </w:r>
            <w:r w:rsidRPr="00956D28">
              <w:rPr>
                <w:lang w:val="en-US"/>
              </w:rPr>
              <w:t>continuous learning health system.</w:t>
            </w:r>
          </w:p>
        </w:tc>
        <w:tc>
          <w:tcPr>
            <w:tcW w:w="3442" w:type="dxa"/>
          </w:tcPr>
          <w:p w14:paraId="755AC150" w14:textId="34E983A5" w:rsidR="00A6031C" w:rsidRPr="00CA2CFD" w:rsidRDefault="00A6031C" w:rsidP="00A6031C">
            <w:pPr>
              <w:pStyle w:val="SCVtablebody"/>
              <w:rPr>
                <w:lang w:val="en-US"/>
              </w:rPr>
            </w:pPr>
            <w:r w:rsidRPr="00956D28">
              <w:rPr>
                <w:lang w:val="en-US"/>
              </w:rPr>
              <w:t>By acting on what we know, building capability, and embedding a culture of continuous improvement</w:t>
            </w:r>
            <w:r w:rsidR="009A2C6A">
              <w:rPr>
                <w:lang w:val="en-US"/>
              </w:rPr>
              <w:t>,</w:t>
            </w:r>
            <w:r w:rsidRPr="00956D28">
              <w:rPr>
                <w:lang w:val="en-US"/>
              </w:rPr>
              <w:t xml:space="preserve"> supported by strong governance, responsible stewardship and openness</w:t>
            </w:r>
            <w:r w:rsidR="00DB5AAA">
              <w:rPr>
                <w:lang w:val="en-US"/>
              </w:rPr>
              <w:t>.</w:t>
            </w:r>
          </w:p>
        </w:tc>
      </w:tr>
    </w:tbl>
    <w:p w14:paraId="2A43DFF0" w14:textId="77777777" w:rsidR="00B30EE4" w:rsidRPr="00B42B8D" w:rsidRDefault="00B30EE4" w:rsidP="001557F2">
      <w:pPr>
        <w:pStyle w:val="Heading1"/>
      </w:pPr>
      <w:bookmarkStart w:id="8" w:name="_Toc205551848"/>
      <w:bookmarkStart w:id="9" w:name="_Toc242783769"/>
      <w:r w:rsidRPr="00B42B8D">
        <w:t>Our operating context</w:t>
      </w:r>
      <w:bookmarkEnd w:id="8"/>
      <w:bookmarkEnd w:id="9"/>
      <w:r w:rsidRPr="00B42B8D">
        <w:t xml:space="preserve"> </w:t>
      </w:r>
    </w:p>
    <w:p w14:paraId="08F2C798" w14:textId="665FBD20" w:rsidR="00B30EE4" w:rsidRDefault="00B30EE4" w:rsidP="001557F2">
      <w:pPr>
        <w:pStyle w:val="Heading2"/>
      </w:pPr>
      <w:bookmarkStart w:id="10" w:name="_Toc205551849"/>
      <w:r>
        <w:t>Funded programs</w:t>
      </w:r>
      <w:bookmarkEnd w:id="10"/>
      <w:r w:rsidR="00E41E6D">
        <w:t xml:space="preserve"> and activities</w:t>
      </w:r>
    </w:p>
    <w:p w14:paraId="64DFB7AE" w14:textId="1423430F" w:rsidR="00B30EE4" w:rsidRDefault="00B30EE4" w:rsidP="00B30EE4">
      <w:pPr>
        <w:pStyle w:val="SCVbody"/>
      </w:pPr>
      <w:r>
        <w:t>In 202</w:t>
      </w:r>
      <w:r w:rsidR="0034327F">
        <w:t>6</w:t>
      </w:r>
      <w:r>
        <w:t>–2</w:t>
      </w:r>
      <w:r w:rsidR="0034327F">
        <w:t>7</w:t>
      </w:r>
      <w:r>
        <w:t>, we are continuing to deliver on key funded programs</w:t>
      </w:r>
      <w:r w:rsidR="00093174">
        <w:t xml:space="preserve"> and </w:t>
      </w:r>
      <w:r w:rsidR="00D0335B">
        <w:t>activities</w:t>
      </w:r>
      <w:r>
        <w:t>.</w:t>
      </w:r>
    </w:p>
    <w:p w14:paraId="39307D9D" w14:textId="006C478E" w:rsidR="00D230A8" w:rsidRDefault="00D230A8" w:rsidP="003531C6">
      <w:pPr>
        <w:pStyle w:val="Heading3"/>
        <w:rPr>
          <w:kern w:val="2"/>
          <w:szCs w:val="24"/>
          <w14:ligatures w14:val="standardContextual"/>
        </w:rPr>
      </w:pPr>
      <w:r>
        <w:t xml:space="preserve">Safer Together </w:t>
      </w:r>
      <w:r w:rsidR="00AE0DA9">
        <w:t>l</w:t>
      </w:r>
      <w:r>
        <w:t xml:space="preserve">earning </w:t>
      </w:r>
      <w:r w:rsidR="00AE0DA9">
        <w:t>h</w:t>
      </w:r>
      <w:r>
        <w:t xml:space="preserve">ealth </w:t>
      </w:r>
      <w:r w:rsidR="00AE0DA9">
        <w:t>s</w:t>
      </w:r>
      <w:r>
        <w:t>ystem</w:t>
      </w:r>
    </w:p>
    <w:p w14:paraId="144FB559" w14:textId="43A2329C" w:rsidR="00D230A8" w:rsidRPr="00FB32BB" w:rsidRDefault="00D230A8" w:rsidP="00D230A8">
      <w:pPr>
        <w:pStyle w:val="SCVbody"/>
      </w:pPr>
      <w:r w:rsidRPr="00FB32BB">
        <w:t xml:space="preserve">Safer Together is our vehicle for building a </w:t>
      </w:r>
      <w:r w:rsidR="00495EB3">
        <w:t>l</w:t>
      </w:r>
      <w:r w:rsidRPr="00FB32BB">
        <w:t xml:space="preserve">earning </w:t>
      </w:r>
      <w:r w:rsidR="00495EB3">
        <w:t>h</w:t>
      </w:r>
      <w:r w:rsidRPr="00FB32BB">
        <w:t xml:space="preserve">ealth </w:t>
      </w:r>
      <w:r w:rsidR="00495EB3">
        <w:t>s</w:t>
      </w:r>
      <w:r w:rsidRPr="00FB32BB">
        <w:t>ystem in Victoria. It brings together consumers, clinicians, health services and system leaders around shared priorities to improve the safety, quality and sustainability of care for Victorians.</w:t>
      </w:r>
    </w:p>
    <w:p w14:paraId="50ECCB7B" w14:textId="1065D0A2" w:rsidR="00D230A8" w:rsidRDefault="00D230A8" w:rsidP="00D230A8">
      <w:pPr>
        <w:pStyle w:val="SCVbody"/>
      </w:pPr>
      <w:r>
        <w:t xml:space="preserve">Grounded in learning health system principles, Safer Together </w:t>
      </w:r>
      <w:r w:rsidR="00495EB3">
        <w:t>coordinates the</w:t>
      </w:r>
      <w:r>
        <w:t xml:space="preserve"> generating, sharing and </w:t>
      </w:r>
      <w:r w:rsidR="009A2FF0">
        <w:t xml:space="preserve">application of </w:t>
      </w:r>
      <w:r>
        <w:t>evidence, data and lived experience to improve care. Through regional partnerships with Local Health Service Networks and health services statewide, it supports shared learning, local adaptation and system-wide scaling of what works.</w:t>
      </w:r>
    </w:p>
    <w:p w14:paraId="274717B5" w14:textId="6DC8203B" w:rsidR="00D230A8" w:rsidRDefault="00D230A8" w:rsidP="00D230A8">
      <w:pPr>
        <w:pStyle w:val="SCVbody"/>
        <w:rPr>
          <w:kern w:val="2"/>
          <w14:ligatures w14:val="standardContextual"/>
        </w:rPr>
      </w:pPr>
      <w:r>
        <w:t xml:space="preserve">This approach provides the foundation for statewide improvement across </w:t>
      </w:r>
      <w:r w:rsidR="000F40B5">
        <w:t>4</w:t>
      </w:r>
      <w:r>
        <w:t xml:space="preserve"> priority domains:</w:t>
      </w:r>
    </w:p>
    <w:p w14:paraId="6D65556A" w14:textId="77777777" w:rsidR="00D230A8" w:rsidRDefault="00D230A8" w:rsidP="00D230A8">
      <w:pPr>
        <w:pStyle w:val="SCVbullet1"/>
        <w:rPr>
          <w:kern w:val="2"/>
          <w14:ligatures w14:val="standardContextual"/>
        </w:rPr>
      </w:pPr>
      <w:r>
        <w:t>reducing avoidable harm</w:t>
      </w:r>
    </w:p>
    <w:p w14:paraId="638ABB77" w14:textId="77777777" w:rsidR="00D230A8" w:rsidRDefault="00D230A8" w:rsidP="00D230A8">
      <w:pPr>
        <w:pStyle w:val="SCVbullet1"/>
      </w:pPr>
      <w:r>
        <w:t>reducing avoidable admissions</w:t>
      </w:r>
    </w:p>
    <w:p w14:paraId="5C46BD17" w14:textId="77777777" w:rsidR="00D230A8" w:rsidRDefault="00D230A8" w:rsidP="00D230A8">
      <w:pPr>
        <w:pStyle w:val="SCVbullet1"/>
      </w:pPr>
      <w:r>
        <w:t>quality use of medicines</w:t>
      </w:r>
    </w:p>
    <w:p w14:paraId="20D0F4AC" w14:textId="77777777" w:rsidR="00D230A8" w:rsidRDefault="00D230A8" w:rsidP="00D230A8">
      <w:pPr>
        <w:pStyle w:val="SCVbullet1"/>
      </w:pPr>
      <w:r>
        <w:t>value-based health care.</w:t>
      </w:r>
    </w:p>
    <w:p w14:paraId="0B4731BF" w14:textId="77777777" w:rsidR="00D230A8" w:rsidRDefault="00D230A8" w:rsidP="00D230A8">
      <w:pPr>
        <w:pStyle w:val="SCVbody"/>
        <w:rPr>
          <w:kern w:val="2"/>
          <w14:ligatures w14:val="standardContextual"/>
        </w:rPr>
      </w:pPr>
      <w:r>
        <w:t>In 2026–27, our focus is on embedding Safer Together as the way of working across the system, while continuing or expanding initiatives that have demonstrated early impact, including improving surgical and maternity care, and progressing innovation in high-priority areas such as reducing avoidable admissions.</w:t>
      </w:r>
    </w:p>
    <w:p w14:paraId="0A9C86E2" w14:textId="77777777" w:rsidR="003531C6" w:rsidRDefault="00455457" w:rsidP="00052F61">
      <w:pPr>
        <w:pStyle w:val="Heading3"/>
      </w:pPr>
      <w:r>
        <w:t>Australian Teletrial Program</w:t>
      </w:r>
    </w:p>
    <w:p w14:paraId="7A23701C" w14:textId="6A0229AE" w:rsidR="03C78AB6" w:rsidRPr="00052F61" w:rsidRDefault="03C78AB6" w:rsidP="00052F61">
      <w:pPr>
        <w:pStyle w:val="Heading3"/>
        <w:rPr>
          <w:rFonts w:asciiTheme="minorHAnsi" w:hAnsiTheme="minorHAnsi" w:cstheme="minorHAnsi"/>
          <w:b w:val="0"/>
          <w:bCs w:val="0"/>
          <w:color w:val="auto"/>
          <w:sz w:val="20"/>
          <w:szCs w:val="20"/>
        </w:rPr>
      </w:pPr>
      <w:r w:rsidRPr="00052F61">
        <w:rPr>
          <w:rFonts w:asciiTheme="minorHAnsi" w:hAnsiTheme="minorHAnsi" w:cstheme="minorHAnsi"/>
          <w:b w:val="0"/>
          <w:bCs w:val="0"/>
          <w:color w:val="auto"/>
          <w:sz w:val="20"/>
          <w:szCs w:val="20"/>
        </w:rPr>
        <w:t>The Australian Teletrial Project (ATP) was funded by the Australian Government under the Medical Research Future Fund infrastructure grant</w:t>
      </w:r>
      <w:r w:rsidR="00E4676C">
        <w:rPr>
          <w:rFonts w:asciiTheme="minorHAnsi" w:hAnsiTheme="minorHAnsi" w:cstheme="minorHAnsi"/>
          <w:b w:val="0"/>
          <w:bCs w:val="0"/>
          <w:color w:val="auto"/>
          <w:sz w:val="20"/>
          <w:szCs w:val="20"/>
        </w:rPr>
        <w:t>. The grant provides</w:t>
      </w:r>
      <w:r w:rsidRPr="00052F61">
        <w:rPr>
          <w:rFonts w:asciiTheme="minorHAnsi" w:hAnsiTheme="minorHAnsi" w:cstheme="minorHAnsi"/>
          <w:b w:val="0"/>
          <w:bCs w:val="0"/>
          <w:color w:val="auto"/>
          <w:sz w:val="20"/>
          <w:szCs w:val="20"/>
        </w:rPr>
        <w:t xml:space="preserve"> opportunit</w:t>
      </w:r>
      <w:r w:rsidR="00E4676C">
        <w:rPr>
          <w:rFonts w:asciiTheme="minorHAnsi" w:hAnsiTheme="minorHAnsi" w:cstheme="minorHAnsi"/>
          <w:b w:val="0"/>
          <w:bCs w:val="0"/>
          <w:color w:val="auto"/>
          <w:sz w:val="20"/>
          <w:szCs w:val="20"/>
        </w:rPr>
        <w:t>ies</w:t>
      </w:r>
      <w:r w:rsidRPr="00052F61">
        <w:rPr>
          <w:rFonts w:asciiTheme="minorHAnsi" w:hAnsiTheme="minorHAnsi" w:cstheme="minorHAnsi"/>
          <w:b w:val="0"/>
          <w:bCs w:val="0"/>
          <w:color w:val="auto"/>
          <w:sz w:val="20"/>
          <w:szCs w:val="20"/>
        </w:rPr>
        <w:t xml:space="preserve"> to improve access to, and participation in, clinical trials for </w:t>
      </w:r>
      <w:r w:rsidR="00DA1315">
        <w:rPr>
          <w:rFonts w:asciiTheme="minorHAnsi" w:hAnsiTheme="minorHAnsi" w:cstheme="minorHAnsi"/>
          <w:b w:val="0"/>
          <w:bCs w:val="0"/>
          <w:color w:val="auto"/>
          <w:sz w:val="20"/>
          <w:szCs w:val="20"/>
        </w:rPr>
        <w:t>people</w:t>
      </w:r>
      <w:r w:rsidR="00DA1315" w:rsidRPr="00052F61">
        <w:rPr>
          <w:rFonts w:asciiTheme="minorHAnsi" w:hAnsiTheme="minorHAnsi" w:cstheme="minorHAnsi"/>
          <w:b w:val="0"/>
          <w:bCs w:val="0"/>
          <w:color w:val="auto"/>
          <w:sz w:val="20"/>
          <w:szCs w:val="20"/>
        </w:rPr>
        <w:t xml:space="preserve"> </w:t>
      </w:r>
      <w:r w:rsidRPr="00052F61">
        <w:rPr>
          <w:rFonts w:asciiTheme="minorHAnsi" w:hAnsiTheme="minorHAnsi" w:cstheme="minorHAnsi"/>
          <w:b w:val="0"/>
          <w:bCs w:val="0"/>
          <w:color w:val="auto"/>
          <w:sz w:val="20"/>
          <w:szCs w:val="20"/>
        </w:rPr>
        <w:t>living in regional, rural and remote areas.</w:t>
      </w:r>
    </w:p>
    <w:p w14:paraId="4D1F1678" w14:textId="7D31D6AD" w:rsidR="03C78AB6" w:rsidRDefault="03C78AB6" w:rsidP="16026E22">
      <w:pPr>
        <w:pStyle w:val="SCVbody"/>
      </w:pPr>
      <w:r w:rsidRPr="16026E22">
        <w:t>ATP is conducted through the establishment of Regional Clinical Trial Coordinating Centres</w:t>
      </w:r>
      <w:r w:rsidR="008A5DCF">
        <w:t xml:space="preserve"> </w:t>
      </w:r>
      <w:r w:rsidRPr="16026E22">
        <w:t>in</w:t>
      </w:r>
      <w:r w:rsidR="00C35021">
        <w:t xml:space="preserve"> the</w:t>
      </w:r>
      <w:r w:rsidRPr="16026E22">
        <w:t xml:space="preserve"> Northern Territory, Queensland, South Australia, Tasmania, Victoria and Western Australia. In Victoria, the</w:t>
      </w:r>
      <w:r w:rsidR="007D4AEF">
        <w:t xml:space="preserve"> </w:t>
      </w:r>
      <w:r w:rsidR="008A5DCF" w:rsidRPr="008A5DCF">
        <w:t xml:space="preserve">Regional Clinical Trial Coordinating Centre </w:t>
      </w:r>
      <w:r w:rsidRPr="16026E22">
        <w:t xml:space="preserve">is located within </w:t>
      </w:r>
      <w:r w:rsidR="00B57B49">
        <w:t>SCV and</w:t>
      </w:r>
      <w:r w:rsidRPr="16026E22">
        <w:t xml:space="preserve"> is responsible for implementing the ATP in Victoria. </w:t>
      </w:r>
    </w:p>
    <w:p w14:paraId="46DC77A8" w14:textId="517AD0AA" w:rsidR="03C78AB6" w:rsidRDefault="03C78AB6" w:rsidP="16026E22">
      <w:pPr>
        <w:pStyle w:val="SCVbody"/>
      </w:pPr>
      <w:r w:rsidRPr="16026E22">
        <w:t xml:space="preserve">ATP-Vic is a centralised service </w:t>
      </w:r>
      <w:r w:rsidR="00CA7DB3">
        <w:t>that helps</w:t>
      </w:r>
      <w:r w:rsidRPr="16026E22">
        <w:t xml:space="preserve"> Victoria’s regional</w:t>
      </w:r>
      <w:r w:rsidR="00DA1315">
        <w:t xml:space="preserve">, </w:t>
      </w:r>
      <w:r w:rsidRPr="16026E22">
        <w:t>rural</w:t>
      </w:r>
      <w:r w:rsidR="00DA1315">
        <w:t xml:space="preserve"> and </w:t>
      </w:r>
      <w:r w:rsidRPr="16026E22">
        <w:t xml:space="preserve">remote health services </w:t>
      </w:r>
      <w:r w:rsidR="00915CA9">
        <w:t>with</w:t>
      </w:r>
      <w:r w:rsidRPr="16026E22">
        <w:t xml:space="preserve"> the support, polic</w:t>
      </w:r>
      <w:r w:rsidR="00915CA9">
        <w:t>ies</w:t>
      </w:r>
      <w:r w:rsidRPr="16026E22">
        <w:t xml:space="preserve"> and workforce</w:t>
      </w:r>
      <w:r w:rsidR="00915CA9">
        <w:t>s</w:t>
      </w:r>
      <w:r w:rsidRPr="16026E22">
        <w:t xml:space="preserve"> </w:t>
      </w:r>
      <w:r w:rsidR="00CA7DB3">
        <w:t>they need</w:t>
      </w:r>
      <w:r w:rsidRPr="16026E22">
        <w:t xml:space="preserve"> to bring clinical trials and teletrials closer to home. </w:t>
      </w:r>
    </w:p>
    <w:p w14:paraId="7845B368" w14:textId="20882A7C" w:rsidR="00A54824" w:rsidRDefault="00364EB1" w:rsidP="00C371CA">
      <w:pPr>
        <w:pStyle w:val="SCVbody"/>
      </w:pPr>
      <w:r>
        <w:t>Teletrials were o</w:t>
      </w:r>
      <w:r w:rsidR="03C78AB6" w:rsidRPr="16026E22">
        <w:t>riginally developed to improve access to clinical trials for cancer patients in rural and remote areas</w:t>
      </w:r>
      <w:r>
        <w:t xml:space="preserve">. They </w:t>
      </w:r>
      <w:r w:rsidR="03C78AB6" w:rsidRPr="16026E22">
        <w:t>have since proven to be effective for all types of clinical trials. Teletrials aim to improve the equity of access for clinical trials for underserved populations and to enhance the diversity of trial participants.</w:t>
      </w:r>
    </w:p>
    <w:p w14:paraId="00DE3A01" w14:textId="2CFB8025" w:rsidR="00B30EE4" w:rsidRDefault="00B30EE4" w:rsidP="00B30EE4">
      <w:pPr>
        <w:pStyle w:val="Heading3"/>
      </w:pPr>
      <w:r>
        <w:t xml:space="preserve">Mental Health Improvement Program </w:t>
      </w:r>
    </w:p>
    <w:p w14:paraId="0DF1DA8B" w14:textId="356F6F26" w:rsidR="002565A0" w:rsidRDefault="002565A0">
      <w:pPr>
        <w:pStyle w:val="SCVbody"/>
        <w:rPr>
          <w:kern w:val="2"/>
          <w14:ligatures w14:val="standardContextual"/>
        </w:rPr>
      </w:pPr>
      <w:r>
        <w:t xml:space="preserve">The Mental Health Improvement Program (MHIP) sits within </w:t>
      </w:r>
      <w:r w:rsidRPr="00EA3B88">
        <w:t>Safer Together</w:t>
      </w:r>
      <w:r>
        <w:t xml:space="preserve">, our vehicle for building a </w:t>
      </w:r>
      <w:r w:rsidR="00BA5539">
        <w:t>l</w:t>
      </w:r>
      <w:r>
        <w:t xml:space="preserve">earning </w:t>
      </w:r>
      <w:r w:rsidR="00BA5539">
        <w:t>h</w:t>
      </w:r>
      <w:r>
        <w:t xml:space="preserve">ealth </w:t>
      </w:r>
      <w:r w:rsidR="00BA5539">
        <w:t>s</w:t>
      </w:r>
      <w:r>
        <w:t>ystem in Victoria</w:t>
      </w:r>
      <w:r w:rsidR="00D44456">
        <w:t xml:space="preserve">. The MHIP </w:t>
      </w:r>
      <w:r>
        <w:t xml:space="preserve">leads priority mental health reform to improve the safety, quality and experience of care across Victoria’s mental health and wellbeing services. </w:t>
      </w:r>
      <w:r w:rsidR="009A3480">
        <w:t xml:space="preserve">The </w:t>
      </w:r>
      <w:r w:rsidR="00BA5539">
        <w:t>MHIP was d</w:t>
      </w:r>
      <w:r>
        <w:t>eveloped in response to recommendations from the Royal Commission into Victoria’s Mental Health System</w:t>
      </w:r>
      <w:r w:rsidR="00BA5539">
        <w:t xml:space="preserve">. It is </w:t>
      </w:r>
      <w:r>
        <w:t>a key component of the quality and safety framework for the mental health system.</w:t>
      </w:r>
    </w:p>
    <w:p w14:paraId="7EABFA8C" w14:textId="2B25B991" w:rsidR="002565A0" w:rsidRDefault="009A3480">
      <w:pPr>
        <w:pStyle w:val="SCVbody"/>
        <w:rPr>
          <w:kern w:val="2"/>
          <w14:ligatures w14:val="standardContextual"/>
        </w:rPr>
      </w:pPr>
      <w:r>
        <w:t xml:space="preserve">The </w:t>
      </w:r>
      <w:r w:rsidR="00BA5539">
        <w:t xml:space="preserve">MHIP partners with </w:t>
      </w:r>
      <w:r w:rsidR="002565A0">
        <w:t>consumers, carers, families and supporters, mental health and wellbeing services, the workforce and sector leaders</w:t>
      </w:r>
      <w:r w:rsidR="00BA5539">
        <w:t xml:space="preserve">. It </w:t>
      </w:r>
      <w:r w:rsidR="002565A0">
        <w:t xml:space="preserve">applies a </w:t>
      </w:r>
      <w:r w:rsidR="00BA5539">
        <w:t>l</w:t>
      </w:r>
      <w:r w:rsidR="002565A0">
        <w:t xml:space="preserve">earning </w:t>
      </w:r>
      <w:r w:rsidR="00BA5539">
        <w:t>h</w:t>
      </w:r>
      <w:r w:rsidR="002565A0">
        <w:t xml:space="preserve">ealth </w:t>
      </w:r>
      <w:r w:rsidR="00BA5539">
        <w:t>s</w:t>
      </w:r>
      <w:r w:rsidR="002565A0">
        <w:t>ystem approach to design, test, refine and scale improvement. With lived and living experience leadership embedded throughout, it strengthens workforce capability, supports locally led improvement and builds shared learning across the system.</w:t>
      </w:r>
    </w:p>
    <w:p w14:paraId="17326C40" w14:textId="3EF39C04" w:rsidR="002565A0" w:rsidRDefault="009A3480">
      <w:pPr>
        <w:pStyle w:val="SCVbody"/>
        <w:rPr>
          <w:kern w:val="2"/>
          <w14:ligatures w14:val="standardContextual"/>
        </w:rPr>
      </w:pPr>
      <w:r>
        <w:t xml:space="preserve">The </w:t>
      </w:r>
      <w:r w:rsidR="002565A0">
        <w:t>MHIP delivers targeted initiatives to improve safety and experience of care by:</w:t>
      </w:r>
    </w:p>
    <w:p w14:paraId="596FE432" w14:textId="77777777" w:rsidR="00C2115D" w:rsidRPr="00BA5539" w:rsidRDefault="00C2115D" w:rsidP="00900EE8">
      <w:pPr>
        <w:pStyle w:val="SCVbullet1"/>
      </w:pPr>
      <w:r w:rsidRPr="00BA5539">
        <w:t>eliminating restrictive practices</w:t>
      </w:r>
    </w:p>
    <w:p w14:paraId="34923838" w14:textId="77777777" w:rsidR="00C2115D" w:rsidRPr="00BA5539" w:rsidRDefault="00C2115D" w:rsidP="00900EE8">
      <w:pPr>
        <w:pStyle w:val="SCVbullet1"/>
      </w:pPr>
      <w:r w:rsidRPr="00BA5539">
        <w:t>improving sexual safety in mental health inpatient units</w:t>
      </w:r>
    </w:p>
    <w:p w14:paraId="68837EF4" w14:textId="77777777" w:rsidR="00C2115D" w:rsidRPr="00BA5539" w:rsidRDefault="00C2115D" w:rsidP="00900EE8">
      <w:pPr>
        <w:pStyle w:val="SCVbullet1"/>
      </w:pPr>
      <w:r w:rsidRPr="00BA5539">
        <w:t>supporting Victorian health services to adopt the Zero Suicide Framework</w:t>
      </w:r>
    </w:p>
    <w:p w14:paraId="17AA42D7" w14:textId="77777777" w:rsidR="00C2115D" w:rsidRPr="00BA5539" w:rsidRDefault="00C2115D" w:rsidP="00900EE8">
      <w:pPr>
        <w:pStyle w:val="SCVbullet1"/>
      </w:pPr>
      <w:r w:rsidRPr="00BA5539">
        <w:t>reducing compulsory treatment orders</w:t>
      </w:r>
    </w:p>
    <w:p w14:paraId="79D2F0AB" w14:textId="6F969B43" w:rsidR="00C2115D" w:rsidRPr="00BA5539" w:rsidRDefault="00C2115D" w:rsidP="00900EE8">
      <w:pPr>
        <w:pStyle w:val="SCVbullet1"/>
      </w:pPr>
      <w:r w:rsidRPr="00BA5539">
        <w:t>fostering the M</w:t>
      </w:r>
      <w:r w:rsidR="00E8293E" w:rsidRPr="00BA5539">
        <w:t>HIP</w:t>
      </w:r>
      <w:r w:rsidRPr="00BA5539">
        <w:t xml:space="preserve"> Community as a statewide learning health network</w:t>
      </w:r>
      <w:r w:rsidR="181D0BA5" w:rsidRPr="00BA5539">
        <w:t xml:space="preserve"> within the Safer Together </w:t>
      </w:r>
      <w:r w:rsidR="00F95306">
        <w:t>l</w:t>
      </w:r>
      <w:r w:rsidR="181D0BA5" w:rsidRPr="00BA5539">
        <w:t xml:space="preserve">earning </w:t>
      </w:r>
      <w:r w:rsidR="00F95306">
        <w:t>h</w:t>
      </w:r>
      <w:r w:rsidR="181D0BA5" w:rsidRPr="00BA5539">
        <w:t xml:space="preserve">ealth </w:t>
      </w:r>
      <w:r w:rsidR="00F95306">
        <w:t>s</w:t>
      </w:r>
      <w:r w:rsidR="181D0BA5" w:rsidRPr="00BA5539">
        <w:t>ystem</w:t>
      </w:r>
      <w:r w:rsidR="0042767E" w:rsidRPr="00BA5539">
        <w:t>.</w:t>
      </w:r>
    </w:p>
    <w:p w14:paraId="3614584C" w14:textId="7FB0D1A0" w:rsidR="002565A0" w:rsidRDefault="002565A0">
      <w:pPr>
        <w:pStyle w:val="SCVbody"/>
        <w:rPr>
          <w:kern w:val="2"/>
          <w14:ligatures w14:val="standardContextual"/>
        </w:rPr>
      </w:pPr>
      <w:r>
        <w:t>In the next phase,</w:t>
      </w:r>
      <w:r w:rsidR="00790B66">
        <w:t xml:space="preserve"> the</w:t>
      </w:r>
      <w:r>
        <w:t xml:space="preserve"> MHIP will deepen partnerships to generate, share and apply evidence, data and lived and living experience insights, strengthen the evidence base, and embed improvement and lived and living experience leadership as core to mental health reform across Victoria.</w:t>
      </w:r>
    </w:p>
    <w:p w14:paraId="01FA0EBB" w14:textId="2996CF71" w:rsidR="00B30EE4" w:rsidRDefault="00B30EE4" w:rsidP="00900EE8">
      <w:pPr>
        <w:pStyle w:val="Heading3"/>
      </w:pPr>
      <w:r>
        <w:t xml:space="preserve">Victorian Medicines </w:t>
      </w:r>
      <w:r w:rsidRPr="003531C6">
        <w:t>Formulary</w:t>
      </w:r>
    </w:p>
    <w:p w14:paraId="1EACEEEE" w14:textId="5B9E43B6" w:rsidR="00C05D51" w:rsidRDefault="00C05D51" w:rsidP="00B11290">
      <w:pPr>
        <w:pStyle w:val="SCVbody"/>
        <w:spacing w:before="0"/>
      </w:pPr>
      <w:r>
        <w:t>The Victorian Medicines Formulary (</w:t>
      </w:r>
      <w:r w:rsidR="403DF407">
        <w:t xml:space="preserve">the </w:t>
      </w:r>
      <w:r w:rsidR="0066570C">
        <w:t>f</w:t>
      </w:r>
      <w:r w:rsidR="00643FE4">
        <w:t>ormulary)</w:t>
      </w:r>
      <w:r>
        <w:t xml:space="preserve"> is a major system reform led by S</w:t>
      </w:r>
      <w:r w:rsidR="00590A30">
        <w:t>CV</w:t>
      </w:r>
      <w:r>
        <w:t xml:space="preserve">, in partnership with HealthShare Victoria, to establish a single, evidence-based medicines formulary across Victorian public health services. It will improve equitable access to medicines, support more consistent prescribing, and strengthen the sustainability of the health system. </w:t>
      </w:r>
    </w:p>
    <w:p w14:paraId="6B56D49C" w14:textId="33995686" w:rsidR="00C05D51" w:rsidRDefault="2C77EE89" w:rsidP="00643FE4">
      <w:pPr>
        <w:pStyle w:val="SCVbody"/>
      </w:pPr>
      <w:r>
        <w:t xml:space="preserve">The </w:t>
      </w:r>
      <w:r w:rsidR="0066570C">
        <w:t>f</w:t>
      </w:r>
      <w:r w:rsidR="3A652CA3">
        <w:t>ormulary</w:t>
      </w:r>
      <w:r w:rsidR="00E440A3">
        <w:t xml:space="preserve"> </w:t>
      </w:r>
      <w:r>
        <w:t xml:space="preserve">is more than a list of medicines. It introduces a consistent, statewide approach to how medicines are governed, evaluated, and used, </w:t>
      </w:r>
      <w:r w:rsidR="54937416">
        <w:t xml:space="preserve">underpinned </w:t>
      </w:r>
      <w:r>
        <w:t xml:space="preserve">by transparent, clinically led decision-making and value-based procurement. </w:t>
      </w:r>
    </w:p>
    <w:p w14:paraId="7D274EB1" w14:textId="77777777" w:rsidR="00C05D51" w:rsidRDefault="00C05D51" w:rsidP="00643FE4">
      <w:pPr>
        <w:pStyle w:val="SCVbody"/>
      </w:pPr>
      <w:r>
        <w:t>The reform will deliver safer, fairer and more consistent use of medicines by:</w:t>
      </w:r>
    </w:p>
    <w:p w14:paraId="0A80CBEE" w14:textId="7E300476" w:rsidR="2C77EE89" w:rsidRDefault="2C77EE89" w:rsidP="00643FE4">
      <w:pPr>
        <w:pStyle w:val="SCVbullet1"/>
        <w:rPr>
          <w:rFonts w:ascii="Segoe UI" w:eastAsia="Segoe UI" w:hAnsi="Segoe UI" w:cs="Segoe UI"/>
          <w:sz w:val="21"/>
          <w:szCs w:val="21"/>
        </w:rPr>
      </w:pPr>
      <w:r>
        <w:t xml:space="preserve">reducing unwarranted variation in prescribing while preserving appropriate clinical choice </w:t>
      </w:r>
    </w:p>
    <w:p w14:paraId="4BF464EA" w14:textId="77777777" w:rsidR="00610A2B" w:rsidRDefault="11C433D9" w:rsidP="00643FE4">
      <w:pPr>
        <w:pStyle w:val="SCVbullet1"/>
      </w:pPr>
      <w:r w:rsidRPr="00643FE4">
        <w:t>s</w:t>
      </w:r>
      <w:r w:rsidR="1FDB8D81" w:rsidRPr="0CA76612">
        <w:t>trengthening</w:t>
      </w:r>
      <w:r w:rsidRPr="00643FE4">
        <w:t xml:space="preserve"> clinically led, statewide</w:t>
      </w:r>
      <w:r w:rsidR="21D4E304" w:rsidRPr="0CA76612">
        <w:t xml:space="preserve"> </w:t>
      </w:r>
      <w:r w:rsidRPr="00643FE4">
        <w:t xml:space="preserve">decision-making </w:t>
      </w:r>
      <w:r w:rsidR="71DF6C54" w:rsidRPr="0CA76612">
        <w:t xml:space="preserve">on </w:t>
      </w:r>
      <w:r w:rsidRPr="00643FE4">
        <w:t>medicines use</w:t>
      </w:r>
    </w:p>
    <w:p w14:paraId="50F4910F" w14:textId="61491696" w:rsidR="00C05D51" w:rsidRDefault="00C05D51" w:rsidP="00643FE4">
      <w:pPr>
        <w:pStyle w:val="SCVbullet1"/>
      </w:pPr>
      <w:r>
        <w:t xml:space="preserve">improving equitable access to safe and effective medicines for all Victorians </w:t>
      </w:r>
    </w:p>
    <w:p w14:paraId="7AAD7E71" w14:textId="2821B7FD" w:rsidR="00C05D51" w:rsidRDefault="2C77EE89" w:rsidP="00643FE4">
      <w:pPr>
        <w:pStyle w:val="SCVbullet1"/>
      </w:pPr>
      <w:r>
        <w:t xml:space="preserve">strengthening medication safety through more consistent and evidence-based use </w:t>
      </w:r>
      <w:r w:rsidR="00C05D51">
        <w:t>supporting value-based care by ensuring more efficient and coordinated use of resources across the system</w:t>
      </w:r>
      <w:r w:rsidR="00983F34">
        <w:t>.</w:t>
      </w:r>
    </w:p>
    <w:p w14:paraId="12B500A0" w14:textId="0E61EA23" w:rsidR="00531C1E" w:rsidRPr="0056129F" w:rsidRDefault="2C77EE89" w:rsidP="00B30EE4">
      <w:pPr>
        <w:pStyle w:val="Heading2"/>
        <w:jc w:val="both"/>
        <w:rPr>
          <w:rFonts w:asciiTheme="minorHAnsi" w:hAnsiTheme="minorHAnsi" w:cstheme="minorHAnsi"/>
          <w:b w:val="0"/>
          <w:bCs w:val="0"/>
          <w:sz w:val="20"/>
          <w:szCs w:val="20"/>
        </w:rPr>
      </w:pPr>
      <w:r w:rsidRPr="0056129F">
        <w:rPr>
          <w:rFonts w:asciiTheme="minorHAnsi" w:hAnsiTheme="minorHAnsi" w:cstheme="minorHAnsi"/>
          <w:b w:val="0"/>
          <w:bCs w:val="0"/>
          <w:sz w:val="20"/>
          <w:szCs w:val="20"/>
        </w:rPr>
        <w:t xml:space="preserve">The </w:t>
      </w:r>
      <w:r w:rsidR="00983F34">
        <w:rPr>
          <w:rFonts w:asciiTheme="minorHAnsi" w:hAnsiTheme="minorHAnsi" w:cstheme="minorHAnsi"/>
          <w:b w:val="0"/>
          <w:bCs w:val="0"/>
          <w:sz w:val="20"/>
          <w:szCs w:val="20"/>
        </w:rPr>
        <w:t>f</w:t>
      </w:r>
      <w:r w:rsidR="08CCD6E2" w:rsidRPr="0056129F">
        <w:rPr>
          <w:rFonts w:asciiTheme="minorHAnsi" w:hAnsiTheme="minorHAnsi" w:cstheme="minorHAnsi"/>
          <w:b w:val="0"/>
          <w:bCs w:val="0"/>
          <w:sz w:val="20"/>
          <w:szCs w:val="20"/>
        </w:rPr>
        <w:t>ormulary</w:t>
      </w:r>
      <w:r w:rsidR="00E440A3" w:rsidRPr="0056129F">
        <w:rPr>
          <w:rFonts w:asciiTheme="minorHAnsi" w:hAnsiTheme="minorHAnsi" w:cstheme="minorHAnsi"/>
          <w:b w:val="0"/>
          <w:bCs w:val="0"/>
          <w:sz w:val="20"/>
          <w:szCs w:val="20"/>
        </w:rPr>
        <w:t xml:space="preserve"> </w:t>
      </w:r>
      <w:r w:rsidRPr="0056129F">
        <w:rPr>
          <w:rFonts w:asciiTheme="minorHAnsi" w:hAnsiTheme="minorHAnsi" w:cstheme="minorHAnsi"/>
          <w:b w:val="0"/>
          <w:bCs w:val="0"/>
          <w:sz w:val="20"/>
          <w:szCs w:val="20"/>
        </w:rPr>
        <w:t xml:space="preserve">will be </w:t>
      </w:r>
      <w:r w:rsidR="50E137C7" w:rsidRPr="0056129F">
        <w:rPr>
          <w:rFonts w:asciiTheme="minorHAnsi" w:hAnsiTheme="minorHAnsi" w:cstheme="minorHAnsi"/>
          <w:b w:val="0"/>
          <w:bCs w:val="0"/>
          <w:sz w:val="20"/>
          <w:szCs w:val="20"/>
        </w:rPr>
        <w:t>developed</w:t>
      </w:r>
      <w:r w:rsidRPr="0056129F">
        <w:rPr>
          <w:rFonts w:asciiTheme="minorHAnsi" w:hAnsiTheme="minorHAnsi" w:cstheme="minorHAnsi"/>
          <w:b w:val="0"/>
          <w:bCs w:val="0"/>
          <w:sz w:val="20"/>
          <w:szCs w:val="20"/>
        </w:rPr>
        <w:t xml:space="preserve"> and implemented in partnership with clinicians, health services and system partners, building on existing expertise and ensuring the model reflects the needs of the Victorian health system</w:t>
      </w:r>
      <w:r w:rsidR="00643FE4" w:rsidRPr="0056129F">
        <w:rPr>
          <w:rFonts w:asciiTheme="minorHAnsi" w:hAnsiTheme="minorHAnsi" w:cstheme="minorHAnsi"/>
          <w:b w:val="0"/>
          <w:bCs w:val="0"/>
          <w:sz w:val="20"/>
          <w:szCs w:val="20"/>
        </w:rPr>
        <w:t>.</w:t>
      </w:r>
      <w:bookmarkStart w:id="11" w:name="_Toc205551850"/>
    </w:p>
    <w:p w14:paraId="36AA4333" w14:textId="7E9E1C6A" w:rsidR="00B30EE4" w:rsidRDefault="00B30EE4" w:rsidP="00900EE8">
      <w:pPr>
        <w:pStyle w:val="Heading2"/>
      </w:pPr>
      <w:r>
        <w:t xml:space="preserve">Supporting statutory </w:t>
      </w:r>
      <w:r w:rsidRPr="003531C6">
        <w:t>bodies</w:t>
      </w:r>
      <w:bookmarkEnd w:id="11"/>
      <w:r>
        <w:t xml:space="preserve"> </w:t>
      </w:r>
    </w:p>
    <w:p w14:paraId="3CE0C735" w14:textId="77777777" w:rsidR="00B30EE4" w:rsidRDefault="00B30EE4" w:rsidP="00B30EE4">
      <w:pPr>
        <w:pStyle w:val="SCVbody"/>
      </w:pPr>
      <w:r>
        <w:t>We support 2 statutory bodies that operate under legislation. The Minister for Health appoints these bodies to monitor and provide advice to SCV and the minister on their respective areas of expertise.</w:t>
      </w:r>
    </w:p>
    <w:p w14:paraId="16470144" w14:textId="77777777" w:rsidR="00B30EE4" w:rsidRDefault="00B30EE4" w:rsidP="00B30EE4">
      <w:pPr>
        <w:pStyle w:val="Heading3"/>
      </w:pPr>
      <w:r>
        <w:t xml:space="preserve">Consultative Council on Obstetric and Paediatric Mortality and Morbidity </w:t>
      </w:r>
    </w:p>
    <w:p w14:paraId="3D084C58" w14:textId="145FCC89" w:rsidR="00B30EE4" w:rsidRDefault="00B30EE4" w:rsidP="00B30EE4">
      <w:pPr>
        <w:pStyle w:val="SCVbody"/>
      </w:pPr>
      <w:r>
        <w:t xml:space="preserve">The Consultative Council on Obstetric and Paediatric Mortality and Morbidity (CCOPMM) advises the minister and the department on obstetric and paediatric issues. CCOPMM’s functions are outlined in the </w:t>
      </w:r>
      <w:r w:rsidRPr="00511C56">
        <w:rPr>
          <w:i/>
          <w:iCs/>
        </w:rPr>
        <w:t>Public Health and Wellbeing Act</w:t>
      </w:r>
      <w:r w:rsidRPr="00982735">
        <w:rPr>
          <w:b/>
          <w:bCs/>
        </w:rPr>
        <w:t xml:space="preserve"> </w:t>
      </w:r>
      <w:r w:rsidRPr="00F77A0A">
        <w:rPr>
          <w:i/>
          <w:iCs/>
        </w:rPr>
        <w:t>2008</w:t>
      </w:r>
      <w:r>
        <w:rPr>
          <w:i/>
        </w:rPr>
        <w:t xml:space="preserve"> </w:t>
      </w:r>
      <w:r w:rsidR="00BA3EBC" w:rsidRPr="006E3DFA">
        <w:t>(the Act)</w:t>
      </w:r>
      <w:r w:rsidR="00BA3EBC">
        <w:rPr>
          <w:i/>
          <w:iCs/>
        </w:rPr>
        <w:t xml:space="preserve"> </w:t>
      </w:r>
      <w:r>
        <w:t xml:space="preserve">and include: </w:t>
      </w:r>
    </w:p>
    <w:p w14:paraId="0265A01E" w14:textId="77777777" w:rsidR="00B30EE4" w:rsidRDefault="00B30EE4" w:rsidP="00B30EE4">
      <w:pPr>
        <w:pStyle w:val="SCVbullet1"/>
      </w:pPr>
      <w:r>
        <w:t>investigating the incidence and causes of maternal deaths, stillbirths and the deaths of children aged under 18 years</w:t>
      </w:r>
    </w:p>
    <w:p w14:paraId="0FBC51B4" w14:textId="77777777" w:rsidR="00B30EE4" w:rsidRDefault="00B30EE4" w:rsidP="00B30EE4">
      <w:pPr>
        <w:pStyle w:val="SCVbullet1"/>
      </w:pPr>
      <w:r>
        <w:t>investigating the incidence and causes of obstetric and paediatric morbidity</w:t>
      </w:r>
    </w:p>
    <w:p w14:paraId="46971FB7" w14:textId="77777777" w:rsidR="00B30EE4" w:rsidRDefault="00B30EE4" w:rsidP="00B30EE4">
      <w:pPr>
        <w:pStyle w:val="SCVbullet1"/>
      </w:pPr>
      <w:r>
        <w:t>collecting perinatal data to provide information about perinatal health (including birth defects and disabilities)</w:t>
      </w:r>
    </w:p>
    <w:p w14:paraId="2EA8783D" w14:textId="71B465BF" w:rsidR="00B30EE4" w:rsidRDefault="00B30EE4" w:rsidP="00B30EE4">
      <w:pPr>
        <w:pStyle w:val="SCVbullet1"/>
      </w:pPr>
      <w:r>
        <w:t xml:space="preserve">undertaking other functions as specified in </w:t>
      </w:r>
      <w:r w:rsidR="00F35CDB">
        <w:t xml:space="preserve">s </w:t>
      </w:r>
      <w:r>
        <w:t xml:space="preserve">46 of the </w:t>
      </w:r>
      <w:r w:rsidRPr="00AB4911">
        <w:rPr>
          <w:iCs/>
        </w:rPr>
        <w:t>Act.</w:t>
      </w:r>
    </w:p>
    <w:p w14:paraId="10197DF3" w14:textId="600B8173" w:rsidR="00B30EE4" w:rsidRDefault="00B30EE4" w:rsidP="00B30EE4">
      <w:pPr>
        <w:pStyle w:val="SCVbody"/>
      </w:pPr>
      <w:r>
        <w:t>CCOPMM publishes an annual report. Find out more about CCOPMM on</w:t>
      </w:r>
      <w:r w:rsidR="00463F5C">
        <w:t xml:space="preserve"> the</w:t>
      </w:r>
      <w:r>
        <w:t xml:space="preserve"> </w:t>
      </w:r>
      <w:hyperlink r:id="rId37" w:history="1">
        <w:r w:rsidR="00463F5C">
          <w:rPr>
            <w:rStyle w:val="Hyperlink"/>
          </w:rPr>
          <w:t xml:space="preserve">SCV </w:t>
        </w:r>
        <w:r w:rsidRPr="00982735">
          <w:rPr>
            <w:rStyle w:val="Hyperlink"/>
          </w:rPr>
          <w:t>website</w:t>
        </w:r>
      </w:hyperlink>
      <w:r w:rsidR="00463F5C">
        <w:t>.</w:t>
      </w:r>
      <w:r w:rsidR="000F7286">
        <w:rPr>
          <w:rStyle w:val="FootnoteReference"/>
        </w:rPr>
        <w:footnoteReference w:id="3"/>
      </w:r>
    </w:p>
    <w:p w14:paraId="3D019930" w14:textId="77777777" w:rsidR="00B30EE4" w:rsidRDefault="00B30EE4" w:rsidP="00B30EE4">
      <w:pPr>
        <w:pStyle w:val="Heading3"/>
      </w:pPr>
      <w:r>
        <w:t>Victorian Perioperative Consultative Council</w:t>
      </w:r>
    </w:p>
    <w:p w14:paraId="015E8BFA" w14:textId="628F6A71" w:rsidR="00B30EE4" w:rsidRDefault="00B30EE4" w:rsidP="00B30EE4">
      <w:pPr>
        <w:pStyle w:val="SCVbody"/>
      </w:pPr>
      <w:r>
        <w:t xml:space="preserve">The Victorian Perioperative Consultative Council (VPCC) was established as a multidisciplinary council in 2019. The </w:t>
      </w:r>
      <w:r w:rsidR="003F09E1">
        <w:t xml:space="preserve">VPCC </w:t>
      </w:r>
      <w:r>
        <w:t xml:space="preserve">identifies improvement opportunities in perioperative care and shares these with the health sector. The VPCC monitors the safety and quality of surgical care in Victoria before, during and after surgery. </w:t>
      </w:r>
    </w:p>
    <w:p w14:paraId="232C9884" w14:textId="2CE4237F" w:rsidR="00B30EE4" w:rsidRDefault="00B30EE4" w:rsidP="00B30EE4">
      <w:pPr>
        <w:pStyle w:val="SCVbody"/>
      </w:pPr>
      <w:r>
        <w:t xml:space="preserve">The VPCC </w:t>
      </w:r>
      <w:r w:rsidR="00AB4911">
        <w:t xml:space="preserve">also </w:t>
      </w:r>
      <w:r>
        <w:t>operates under the Act.</w:t>
      </w:r>
    </w:p>
    <w:p w14:paraId="00E3B741" w14:textId="77777777" w:rsidR="00B30EE4" w:rsidRDefault="00B30EE4" w:rsidP="00B30EE4">
      <w:pPr>
        <w:pStyle w:val="SCVbody"/>
      </w:pPr>
      <w:r>
        <w:t xml:space="preserve">The VPCC is supported in its functions by a surgical subcommittee, in collaboration with the Victoria Audit of Surgical Mortality and an anaesthetic subcommittee, to: </w:t>
      </w:r>
    </w:p>
    <w:p w14:paraId="3AF9F98A" w14:textId="77777777" w:rsidR="00B30EE4" w:rsidRDefault="00B30EE4" w:rsidP="00B30EE4">
      <w:pPr>
        <w:pStyle w:val="SCVbullet1"/>
      </w:pPr>
      <w:r>
        <w:t>identify lessons from surgical care that are deemed preventable</w:t>
      </w:r>
    </w:p>
    <w:p w14:paraId="22E6F8D1" w14:textId="77777777" w:rsidR="00B30EE4" w:rsidRDefault="00B30EE4" w:rsidP="00B30EE4">
      <w:pPr>
        <w:pStyle w:val="SCVbullet1"/>
      </w:pPr>
      <w:r>
        <w:t>classify surgical death in Victoria to identify systemic issues that could contribute to mortality</w:t>
      </w:r>
    </w:p>
    <w:p w14:paraId="11E430D0" w14:textId="77777777" w:rsidR="00B30EE4" w:rsidRDefault="00B30EE4" w:rsidP="00B30EE4">
      <w:pPr>
        <w:pStyle w:val="SCVbullet1"/>
      </w:pPr>
      <w:r>
        <w:t>review cases to better understand factors contributing to anaesthesia-related morbidity and mortality</w:t>
      </w:r>
    </w:p>
    <w:p w14:paraId="7A314897" w14:textId="77777777" w:rsidR="00B30EE4" w:rsidRDefault="00B30EE4" w:rsidP="00B30EE4">
      <w:pPr>
        <w:pStyle w:val="SCVbullet1"/>
      </w:pPr>
      <w:r>
        <w:t>recognise aspects of care that were effective in preventing or reducing harm</w:t>
      </w:r>
    </w:p>
    <w:p w14:paraId="4FBACF6D" w14:textId="77777777" w:rsidR="00B30EE4" w:rsidRDefault="00B30EE4" w:rsidP="00B30EE4">
      <w:pPr>
        <w:pStyle w:val="SCVbullet1"/>
      </w:pPr>
      <w:r>
        <w:t>identify emerging safety signals in delivering perioperative care.</w:t>
      </w:r>
    </w:p>
    <w:p w14:paraId="582323BB" w14:textId="51F88514" w:rsidR="00B64605" w:rsidRDefault="00B64605" w:rsidP="00B64605">
      <w:pPr>
        <w:pStyle w:val="SCVbody"/>
      </w:pPr>
      <w:r>
        <w:t xml:space="preserve">VPCC publishes an annual report. Find out more about </w:t>
      </w:r>
      <w:r w:rsidR="004A275B">
        <w:t>VPCC</w:t>
      </w:r>
      <w:r>
        <w:t xml:space="preserve"> on</w:t>
      </w:r>
      <w:r w:rsidR="00CC1568">
        <w:t xml:space="preserve"> the</w:t>
      </w:r>
      <w:r>
        <w:t xml:space="preserve"> </w:t>
      </w:r>
      <w:hyperlink r:id="rId38" w:history="1">
        <w:r w:rsidR="00CC1568">
          <w:rPr>
            <w:rStyle w:val="Hyperlink"/>
          </w:rPr>
          <w:t xml:space="preserve">SCV </w:t>
        </w:r>
        <w:r w:rsidRPr="00982735">
          <w:rPr>
            <w:rStyle w:val="Hyperlink"/>
          </w:rPr>
          <w:t>website</w:t>
        </w:r>
      </w:hyperlink>
      <w:r w:rsidR="00CC1568">
        <w:t>.</w:t>
      </w:r>
      <w:r w:rsidR="00CC1568">
        <w:rPr>
          <w:rStyle w:val="FootnoteReference"/>
        </w:rPr>
        <w:footnoteReference w:id="4"/>
      </w:r>
      <w:r>
        <w:t xml:space="preserve"> </w:t>
      </w:r>
    </w:p>
    <w:p w14:paraId="71AA9D0E" w14:textId="77777777" w:rsidR="002128BE" w:rsidRDefault="002128BE" w:rsidP="00BE218A">
      <w:pPr>
        <w:pStyle w:val="Heading2"/>
        <w:rPr>
          <w:rFonts w:asciiTheme="minorHAnsi" w:hAnsiTheme="minorHAnsi" w:cstheme="minorHAnsi"/>
          <w:sz w:val="20"/>
          <w:szCs w:val="20"/>
        </w:rPr>
      </w:pPr>
    </w:p>
    <w:p w14:paraId="6525D5ED" w14:textId="3C321619" w:rsidR="00C77664" w:rsidRPr="002128BE" w:rsidRDefault="00BE218A" w:rsidP="002128BE">
      <w:pPr>
        <w:pStyle w:val="Heading2"/>
        <w:rPr>
          <w:rFonts w:asciiTheme="minorHAnsi" w:hAnsiTheme="minorHAnsi" w:cstheme="minorHAnsi"/>
          <w:sz w:val="20"/>
          <w:szCs w:val="20"/>
        </w:rPr>
      </w:pPr>
      <w:r w:rsidRPr="00BE218A">
        <w:rPr>
          <w:rFonts w:asciiTheme="minorHAnsi" w:hAnsiTheme="minorHAnsi" w:cstheme="minorHAnsi"/>
          <w:sz w:val="20"/>
          <w:szCs w:val="20"/>
        </w:rPr>
        <w:t>Figure 1. SCV’s relationships with key stakeholders</w:t>
      </w:r>
    </w:p>
    <w:p w14:paraId="77D56DDE" w14:textId="00551243" w:rsidR="005C19D3" w:rsidRDefault="00DE1CDD" w:rsidP="003C0D45">
      <w:pPr>
        <w:pStyle w:val="SCVbody"/>
        <w:sectPr w:rsidR="005C19D3" w:rsidSect="00F740E1">
          <w:footerReference w:type="even" r:id="rId39"/>
          <w:pgSz w:w="11906" w:h="16838" w:code="9"/>
          <w:pgMar w:top="2127" w:right="851" w:bottom="1361" w:left="851" w:header="851" w:footer="851" w:gutter="0"/>
          <w:cols w:space="284"/>
          <w:docGrid w:linePitch="360"/>
        </w:sectPr>
      </w:pPr>
      <w:r>
        <w:rPr>
          <w:noProof/>
        </w:rPr>
        <w:drawing>
          <wp:inline distT="0" distB="0" distL="0" distR="0" wp14:anchorId="5AAA4771" wp14:editId="2474B7B4">
            <wp:extent cx="6457950" cy="4516674"/>
            <wp:effectExtent l="0" t="0" r="0" b="0"/>
            <wp:docPr id="174147498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474988" name="Picture 1741474988"/>
                    <pic:cNvPicPr/>
                  </pic:nvPicPr>
                  <pic:blipFill>
                    <a:blip r:embed="rId40" cstate="print">
                      <a:extLst>
                        <a:ext uri="{28A0092B-C50C-407E-A947-70E740481C1C}">
                          <a14:useLocalDpi xmlns:a14="http://schemas.microsoft.com/office/drawing/2010/main" val="0"/>
                        </a:ext>
                      </a:extLst>
                    </a:blip>
                    <a:stretch>
                      <a:fillRect/>
                    </a:stretch>
                  </pic:blipFill>
                  <pic:spPr>
                    <a:xfrm>
                      <a:off x="0" y="0"/>
                      <a:ext cx="6552148" cy="4582556"/>
                    </a:xfrm>
                    <a:prstGeom prst="rect">
                      <a:avLst/>
                    </a:prstGeom>
                  </pic:spPr>
                </pic:pic>
              </a:graphicData>
            </a:graphic>
          </wp:inline>
        </w:drawing>
      </w:r>
    </w:p>
    <w:p w14:paraId="77C16DE7" w14:textId="4005961A" w:rsidR="003A7E85" w:rsidRDefault="003A7E85" w:rsidP="003A7E85">
      <w:pPr>
        <w:pStyle w:val="Heading1"/>
      </w:pPr>
      <w:bookmarkStart w:id="12" w:name="_Toc205551852"/>
      <w:bookmarkStart w:id="13" w:name="_Toc242783770"/>
      <w:r>
        <w:t>Our priorities in 2026</w:t>
      </w:r>
      <w:bookmarkEnd w:id="12"/>
      <w:r w:rsidR="00CC1568">
        <w:t>–</w:t>
      </w:r>
      <w:r>
        <w:t>27</w:t>
      </w:r>
      <w:bookmarkEnd w:id="13"/>
    </w:p>
    <w:p w14:paraId="0830A05F" w14:textId="77777777" w:rsidR="00D735C2" w:rsidRPr="006E3DFA" w:rsidRDefault="00D735C2" w:rsidP="00120242">
      <w:pPr>
        <w:pStyle w:val="Heading2"/>
      </w:pPr>
      <w:r w:rsidRPr="006E3DFA">
        <w:t>Leadership</w:t>
      </w:r>
    </w:p>
    <w:p w14:paraId="20BA8F2C" w14:textId="587BA6CA" w:rsidR="006D5C13" w:rsidRPr="007675E8" w:rsidRDefault="006D5C13" w:rsidP="006D5C13">
      <w:pPr>
        <w:pStyle w:val="SCVbody"/>
      </w:pPr>
      <w:bookmarkStart w:id="14" w:name="_Hlk207371352"/>
      <w:r w:rsidRPr="007675E8">
        <w:t>As Victoria’s lead for quality and safety, we work to improve care across the state by providing and enabling leadership</w:t>
      </w:r>
      <w:r w:rsidR="00EE362D">
        <w:t xml:space="preserve"> </w:t>
      </w:r>
      <w:r w:rsidRPr="007675E8">
        <w:t>and influencing reforms nationally.</w:t>
      </w:r>
    </w:p>
    <w:p w14:paraId="09B891DC" w14:textId="2F273872" w:rsidR="007675E8" w:rsidRDefault="006D5C13" w:rsidP="006D5C13">
      <w:pPr>
        <w:pStyle w:val="SCVbody"/>
      </w:pPr>
      <w:r w:rsidRPr="006D5C13">
        <w:t>We advance national reform</w:t>
      </w:r>
      <w:r>
        <w:t xml:space="preserve"> </w:t>
      </w:r>
      <w:r w:rsidRPr="006D5C13">
        <w:t>opportunities, deliver statewide initiatives,</w:t>
      </w:r>
      <w:r>
        <w:t xml:space="preserve"> </w:t>
      </w:r>
      <w:r w:rsidRPr="006D5C13">
        <w:t>strengthen clinical governance and</w:t>
      </w:r>
      <w:r>
        <w:t xml:space="preserve"> </w:t>
      </w:r>
      <w:r w:rsidRPr="006D5C13">
        <w:t>promote equitable representation for</w:t>
      </w:r>
      <w:r>
        <w:t xml:space="preserve"> </w:t>
      </w:r>
      <w:r w:rsidRPr="006D5C13">
        <w:t>consumers, carers and people with lived</w:t>
      </w:r>
      <w:r>
        <w:t xml:space="preserve"> </w:t>
      </w:r>
      <w:r w:rsidRPr="006D5C13">
        <w:t>and living experience of all backgrounds</w:t>
      </w:r>
      <w:r w:rsidR="007675E8">
        <w:t xml:space="preserve"> </w:t>
      </w:r>
      <w:r w:rsidRPr="006D5C13">
        <w:t>and experiences. We share evidence</w:t>
      </w:r>
      <w:r w:rsidR="007675E8">
        <w:t>-</w:t>
      </w:r>
      <w:r w:rsidRPr="006D5C13">
        <w:t>based</w:t>
      </w:r>
      <w:r>
        <w:t xml:space="preserve"> </w:t>
      </w:r>
      <w:r w:rsidRPr="006D5C13">
        <w:t>insights and work with our partners</w:t>
      </w:r>
      <w:r w:rsidR="007675E8">
        <w:t xml:space="preserve"> </w:t>
      </w:r>
      <w:r w:rsidRPr="006D5C13">
        <w:t>to break down silos and combine our</w:t>
      </w:r>
      <w:r>
        <w:t xml:space="preserve"> </w:t>
      </w:r>
      <w:r w:rsidRPr="006D5C13">
        <w:t>efforts to improve healthcare for all.</w:t>
      </w:r>
    </w:p>
    <w:p w14:paraId="20C1D4B1" w14:textId="25B7697F" w:rsidR="00415D24" w:rsidRPr="00F50A3F" w:rsidRDefault="00E53C61" w:rsidP="006D5C13">
      <w:pPr>
        <w:pStyle w:val="SCVbody"/>
        <w:rPr>
          <w:rFonts w:ascii="Arial" w:hAnsi="Arial" w:cs="Arial"/>
          <w:b/>
        </w:rPr>
      </w:pPr>
      <w:r>
        <w:rPr>
          <w:rFonts w:ascii="Arial" w:hAnsi="Arial" w:cs="Arial"/>
          <w:b/>
        </w:rPr>
        <w:t xml:space="preserve">The </w:t>
      </w:r>
      <w:r w:rsidR="00AD4834" w:rsidRPr="00AD4834">
        <w:rPr>
          <w:rFonts w:ascii="Arial" w:hAnsi="Arial" w:cs="Arial"/>
          <w:b/>
          <w:i/>
          <w:iCs/>
        </w:rPr>
        <w:t>s</w:t>
      </w:r>
      <w:r>
        <w:rPr>
          <w:rFonts w:ascii="Arial" w:hAnsi="Arial" w:cs="Arial"/>
          <w:b/>
          <w:i/>
          <w:iCs/>
        </w:rPr>
        <w:t xml:space="preserve">trategic plan 2026–29 </w:t>
      </w:r>
      <w:r>
        <w:rPr>
          <w:rFonts w:ascii="Arial" w:hAnsi="Arial" w:cs="Arial"/>
          <w:b/>
        </w:rPr>
        <w:t>sets out</w:t>
      </w:r>
      <w:r w:rsidR="005F0173">
        <w:rPr>
          <w:rFonts w:ascii="Arial" w:hAnsi="Arial" w:cs="Arial"/>
          <w:b/>
        </w:rPr>
        <w:t xml:space="preserve"> o</w:t>
      </w:r>
      <w:r w:rsidR="00415D24" w:rsidRPr="00F50A3F">
        <w:rPr>
          <w:rFonts w:ascii="Arial" w:hAnsi="Arial" w:cs="Arial"/>
          <w:b/>
        </w:rPr>
        <w:t xml:space="preserve">ur </w:t>
      </w:r>
      <w:r w:rsidR="006655AD">
        <w:rPr>
          <w:rFonts w:ascii="Arial" w:hAnsi="Arial" w:cs="Arial"/>
          <w:b/>
        </w:rPr>
        <w:t>objective</w:t>
      </w:r>
      <w:r>
        <w:rPr>
          <w:rFonts w:ascii="Arial" w:hAnsi="Arial" w:cs="Arial"/>
          <w:b/>
        </w:rPr>
        <w:t>s</w:t>
      </w:r>
      <w:r w:rsidR="00415D24" w:rsidRPr="00F50A3F">
        <w:rPr>
          <w:rFonts w:ascii="Arial" w:hAnsi="Arial" w:cs="Arial"/>
          <w:b/>
        </w:rPr>
        <w:t xml:space="preserve"> to: </w:t>
      </w:r>
    </w:p>
    <w:p w14:paraId="470950CF" w14:textId="44A41137" w:rsidR="001A30CC" w:rsidRDefault="00E260DE">
      <w:pPr>
        <w:pStyle w:val="SCVbullet1"/>
      </w:pPr>
      <w:r>
        <w:t>a</w:t>
      </w:r>
      <w:r w:rsidR="001A30CC" w:rsidRPr="001A30CC">
        <w:t>dvocate for and provide expertise on quality and</w:t>
      </w:r>
      <w:r w:rsidR="001A30CC">
        <w:t xml:space="preserve"> </w:t>
      </w:r>
      <w:r w:rsidR="001A30CC" w:rsidRPr="001A30CC">
        <w:t>safety reform opportunities, driving alignment across</w:t>
      </w:r>
      <w:r w:rsidR="001A30CC">
        <w:t xml:space="preserve"> </w:t>
      </w:r>
      <w:r w:rsidR="001A30CC" w:rsidRPr="001A30CC">
        <w:t>national, statewide and health service partners</w:t>
      </w:r>
    </w:p>
    <w:p w14:paraId="4B6DEC1E" w14:textId="2BFF5FF9" w:rsidR="00602501" w:rsidRDefault="00E260DE">
      <w:pPr>
        <w:pStyle w:val="SCVbullet1"/>
      </w:pPr>
      <w:r>
        <w:t>l</w:t>
      </w:r>
      <w:r w:rsidR="00602501" w:rsidRPr="00602501">
        <w:t>ead transformational</w:t>
      </w:r>
      <w:r w:rsidR="00E53C61">
        <w:t>,</w:t>
      </w:r>
      <w:r w:rsidR="00602501" w:rsidRPr="00602501">
        <w:t xml:space="preserve"> system-wide initiatives to</w:t>
      </w:r>
      <w:r w:rsidR="00602501">
        <w:t xml:space="preserve"> </w:t>
      </w:r>
      <w:r w:rsidR="00602501" w:rsidRPr="00602501">
        <w:t>optimise outcomes that are consistent, reliable and</w:t>
      </w:r>
      <w:r w:rsidR="00602501">
        <w:t xml:space="preserve"> </w:t>
      </w:r>
      <w:r w:rsidR="00602501" w:rsidRPr="00602501">
        <w:t>equitable for all Victorians</w:t>
      </w:r>
    </w:p>
    <w:p w14:paraId="53080959" w14:textId="6E75AD35" w:rsidR="008B5922" w:rsidRPr="008B5922" w:rsidRDefault="00E260DE">
      <w:pPr>
        <w:pStyle w:val="SCVbullet1"/>
        <w:rPr>
          <w:rFonts w:ascii="Arial" w:hAnsi="Arial" w:cs="Arial"/>
          <w:color w:val="004C97" w:themeColor="accent4"/>
        </w:rPr>
      </w:pPr>
      <w:r>
        <w:t>p</w:t>
      </w:r>
      <w:r w:rsidR="008B5922" w:rsidRPr="008B5922">
        <w:t>romote</w:t>
      </w:r>
      <w:r w:rsidR="00E53C61">
        <w:t xml:space="preserve"> </w:t>
      </w:r>
      <w:r w:rsidR="008F55EA">
        <w:t xml:space="preserve">and share </w:t>
      </w:r>
      <w:r w:rsidR="008816FF">
        <w:t xml:space="preserve">evidence-based </w:t>
      </w:r>
      <w:r w:rsidR="00883BA2">
        <w:t xml:space="preserve">information and clinical best </w:t>
      </w:r>
      <w:r w:rsidR="008816FF">
        <w:t>practice</w:t>
      </w:r>
      <w:r w:rsidR="008B5922" w:rsidRPr="008B5922">
        <w:t xml:space="preserve"> to the sector, consumers and carers</w:t>
      </w:r>
    </w:p>
    <w:p w14:paraId="765B7BFD" w14:textId="79AEAA76" w:rsidR="00415D24" w:rsidRPr="008B5922" w:rsidRDefault="00E10CCA">
      <w:pPr>
        <w:pStyle w:val="SCVbullet1"/>
        <w:rPr>
          <w:rFonts w:ascii="Arial" w:hAnsi="Arial" w:cs="Arial"/>
          <w:color w:val="004C97" w:themeColor="accent4"/>
        </w:rPr>
      </w:pPr>
      <w:r>
        <w:t>a</w:t>
      </w:r>
      <w:r w:rsidR="00415D24" w:rsidRPr="007B1DDC">
        <w:t>dvocate</w:t>
      </w:r>
      <w:r w:rsidR="00E53C61" w:rsidRPr="008B5922">
        <w:rPr>
          <w:rFonts w:ascii="Arial" w:hAnsi="Arial" w:cs="Arial"/>
        </w:rPr>
        <w:t xml:space="preserve"> </w:t>
      </w:r>
      <w:r w:rsidR="00415D24" w:rsidRPr="008B5922">
        <w:rPr>
          <w:rFonts w:ascii="Arial" w:hAnsi="Arial" w:cs="Arial"/>
        </w:rPr>
        <w:t xml:space="preserve">for consumer and carer representation across the health system in alignment with the </w:t>
      </w:r>
      <w:hyperlink r:id="rId41">
        <w:r w:rsidR="00415D24" w:rsidRPr="008B5922">
          <w:rPr>
            <w:rStyle w:val="Hyperlink"/>
            <w:rFonts w:ascii="Arial" w:hAnsi="Arial" w:cs="Arial"/>
          </w:rPr>
          <w:t>National Safety and Quality Health Service Standards</w:t>
        </w:r>
      </w:hyperlink>
      <w:r w:rsidR="00E53C61">
        <w:rPr>
          <w:rStyle w:val="FootnoteReference"/>
        </w:rPr>
        <w:footnoteReference w:id="5"/>
      </w:r>
      <w:r w:rsidR="00415D24" w:rsidRPr="008B5922">
        <w:rPr>
          <w:rFonts w:ascii="Arial" w:hAnsi="Arial" w:cs="Arial"/>
          <w:color w:val="004C97" w:themeColor="accent4"/>
        </w:rPr>
        <w:t xml:space="preserve"> </w:t>
      </w:r>
      <w:r w:rsidR="00415D24" w:rsidRPr="008B5922">
        <w:rPr>
          <w:rFonts w:ascii="Arial" w:hAnsi="Arial" w:cs="Arial"/>
        </w:rPr>
        <w:t xml:space="preserve">and the </w:t>
      </w:r>
      <w:hyperlink r:id="rId42">
        <w:r w:rsidR="00415D24" w:rsidRPr="008B5922">
          <w:rPr>
            <w:rStyle w:val="Hyperlink"/>
            <w:rFonts w:ascii="Arial" w:hAnsi="Arial" w:cs="Arial"/>
          </w:rPr>
          <w:t>Victorian Clinical Governance Framework</w:t>
        </w:r>
      </w:hyperlink>
      <w:r w:rsidR="00415D24" w:rsidRPr="008B5922">
        <w:rPr>
          <w:rFonts w:ascii="Arial" w:hAnsi="Arial" w:cs="Arial"/>
          <w:color w:val="004C97" w:themeColor="accent4"/>
        </w:rPr>
        <w:t>.</w:t>
      </w:r>
      <w:r w:rsidR="00E53C61">
        <w:rPr>
          <w:rStyle w:val="FootnoteReference"/>
          <w:rFonts w:ascii="Arial" w:hAnsi="Arial" w:cs="Arial"/>
          <w:color w:val="004C97" w:themeColor="accent4"/>
        </w:rPr>
        <w:footnoteReference w:id="6"/>
      </w:r>
    </w:p>
    <w:p w14:paraId="2EB07EE4" w14:textId="41110221" w:rsidR="00415D24" w:rsidRPr="00F50A3F" w:rsidRDefault="005F0173" w:rsidP="00415D24">
      <w:pPr>
        <w:pStyle w:val="SCVbody"/>
        <w:rPr>
          <w:rFonts w:ascii="Arial" w:hAnsi="Arial" w:cs="Arial"/>
        </w:rPr>
      </w:pPr>
      <w:r>
        <w:rPr>
          <w:rFonts w:ascii="Arial" w:hAnsi="Arial" w:cs="Arial"/>
          <w:b/>
        </w:rPr>
        <w:t>At the end of our 3</w:t>
      </w:r>
      <w:r w:rsidR="00042FF2">
        <w:rPr>
          <w:rFonts w:ascii="Arial" w:hAnsi="Arial" w:cs="Arial"/>
          <w:b/>
        </w:rPr>
        <w:t>-</w:t>
      </w:r>
      <w:r>
        <w:rPr>
          <w:rFonts w:ascii="Arial" w:hAnsi="Arial" w:cs="Arial"/>
          <w:b/>
        </w:rPr>
        <w:t xml:space="preserve">year </w:t>
      </w:r>
      <w:r w:rsidR="00AD4834">
        <w:rPr>
          <w:rFonts w:ascii="Arial" w:hAnsi="Arial" w:cs="Arial"/>
          <w:b/>
        </w:rPr>
        <w:t>s</w:t>
      </w:r>
      <w:r>
        <w:rPr>
          <w:rFonts w:ascii="Arial" w:hAnsi="Arial" w:cs="Arial"/>
          <w:b/>
        </w:rPr>
        <w:t xml:space="preserve">trategic </w:t>
      </w:r>
      <w:r w:rsidR="00AD4834">
        <w:rPr>
          <w:rFonts w:ascii="Arial" w:hAnsi="Arial" w:cs="Arial"/>
          <w:b/>
        </w:rPr>
        <w:t>p</w:t>
      </w:r>
      <w:r>
        <w:rPr>
          <w:rFonts w:ascii="Arial" w:hAnsi="Arial" w:cs="Arial"/>
          <w:b/>
        </w:rPr>
        <w:t>lan</w:t>
      </w:r>
      <w:r w:rsidR="00042FF2">
        <w:rPr>
          <w:rFonts w:ascii="Arial" w:hAnsi="Arial" w:cs="Arial"/>
          <w:b/>
        </w:rPr>
        <w:t>,</w:t>
      </w:r>
      <w:r>
        <w:rPr>
          <w:rFonts w:ascii="Arial" w:hAnsi="Arial" w:cs="Arial"/>
          <w:b/>
        </w:rPr>
        <w:t xml:space="preserve"> w</w:t>
      </w:r>
      <w:r w:rsidR="00415D24" w:rsidRPr="00F50A3F">
        <w:rPr>
          <w:rFonts w:ascii="Arial" w:hAnsi="Arial" w:cs="Arial"/>
          <w:b/>
        </w:rPr>
        <w:t>e’ll know our impact by</w:t>
      </w:r>
      <w:r>
        <w:rPr>
          <w:rFonts w:ascii="Arial" w:hAnsi="Arial" w:cs="Arial"/>
          <w:b/>
        </w:rPr>
        <w:t>:</w:t>
      </w:r>
    </w:p>
    <w:p w14:paraId="4400AC8C" w14:textId="2350BE52" w:rsidR="00415D24" w:rsidRPr="007B1DDC" w:rsidRDefault="00B053D9" w:rsidP="007B1DDC">
      <w:pPr>
        <w:pStyle w:val="SCVbullet1"/>
      </w:pPr>
      <w:r>
        <w:t>s</w:t>
      </w:r>
      <w:r w:rsidR="00415D24" w:rsidRPr="007B1DDC">
        <w:t>atisfaction indicators from those involved in quality and safety programs and training</w:t>
      </w:r>
    </w:p>
    <w:p w14:paraId="68E847C8" w14:textId="51F0D578" w:rsidR="00415D24" w:rsidRPr="007B1DDC" w:rsidRDefault="00B053D9" w:rsidP="007B1DDC">
      <w:pPr>
        <w:pStyle w:val="SCVbullet1"/>
      </w:pPr>
      <w:r>
        <w:t>p</w:t>
      </w:r>
      <w:r w:rsidRPr="007B1DDC">
        <w:t xml:space="preserve">ositive </w:t>
      </w:r>
      <w:r w:rsidR="00415D24" w:rsidRPr="007B1DDC">
        <w:t>outcomes of quality and safety capability development</w:t>
      </w:r>
      <w:bookmarkEnd w:id="14"/>
    </w:p>
    <w:p w14:paraId="3216A417" w14:textId="027EF65C" w:rsidR="00415D24" w:rsidRDefault="00B053D9" w:rsidP="007B1DDC">
      <w:pPr>
        <w:pStyle w:val="SCVbullet1"/>
      </w:pPr>
      <w:r>
        <w:t>d</w:t>
      </w:r>
      <w:r w:rsidRPr="007B1DDC">
        <w:t xml:space="preserve">elivery </w:t>
      </w:r>
      <w:r w:rsidR="00415D24" w:rsidRPr="007B1DDC">
        <w:t>of government election commitments that SCV is accountable for</w:t>
      </w:r>
      <w:r w:rsidR="000E4210">
        <w:t>.</w:t>
      </w:r>
    </w:p>
    <w:p w14:paraId="2930DAE5" w14:textId="095B1E46" w:rsidR="003531C6" w:rsidRDefault="003531C6">
      <w:r>
        <w:br w:type="page"/>
      </w:r>
    </w:p>
    <w:p w14:paraId="7563A59B" w14:textId="63C8C4B8" w:rsidR="005C12A8" w:rsidRDefault="00621C10" w:rsidP="00927927">
      <w:pPr>
        <w:pStyle w:val="Heading3"/>
      </w:pPr>
      <w:r w:rsidRPr="006E3DFA">
        <w:t xml:space="preserve">Key </w:t>
      </w:r>
      <w:r w:rsidRPr="002D5E80">
        <w:t>initiatives</w:t>
      </w:r>
    </w:p>
    <w:tbl>
      <w:tblPr>
        <w:tblStyle w:val="TableGrid"/>
        <w:tblW w:w="0" w:type="auto"/>
        <w:tblCellMar>
          <w:top w:w="85" w:type="dxa"/>
          <w:bottom w:w="85" w:type="dxa"/>
        </w:tblCellMar>
        <w:tblLook w:val="04A0" w:firstRow="1" w:lastRow="0" w:firstColumn="1" w:lastColumn="0" w:noHBand="0" w:noVBand="1"/>
      </w:tblPr>
      <w:tblGrid>
        <w:gridCol w:w="2127"/>
        <w:gridCol w:w="4401"/>
        <w:gridCol w:w="3676"/>
      </w:tblGrid>
      <w:tr w:rsidR="00C0388A" w14:paraId="63D3B822" w14:textId="77777777" w:rsidTr="002E1D80">
        <w:trPr>
          <w:cnfStyle w:val="100000000000" w:firstRow="1" w:lastRow="0" w:firstColumn="0" w:lastColumn="0" w:oddVBand="0" w:evenVBand="0" w:oddHBand="0" w:evenHBand="0" w:firstRowFirstColumn="0" w:firstRowLastColumn="0" w:lastRowFirstColumn="0" w:lastRowLastColumn="0"/>
          <w:tblHeader/>
        </w:trPr>
        <w:tc>
          <w:tcPr>
            <w:tcW w:w="2127" w:type="dxa"/>
            <w:tcBorders>
              <w:top w:val="single" w:sz="4" w:space="0" w:color="auto"/>
              <w:right w:val="single" w:sz="4" w:space="0" w:color="auto"/>
            </w:tcBorders>
          </w:tcPr>
          <w:p w14:paraId="11B322F8" w14:textId="7561D59C" w:rsidR="00C0388A" w:rsidRDefault="002E1D80" w:rsidP="00A45CB0">
            <w:pPr>
              <w:pStyle w:val="SCVbody"/>
              <w:rPr>
                <w:b/>
                <w:bCs/>
              </w:rPr>
            </w:pPr>
            <w:r>
              <w:rPr>
                <w:b/>
                <w:bCs/>
              </w:rPr>
              <w:t>Our focus</w:t>
            </w:r>
          </w:p>
        </w:tc>
        <w:tc>
          <w:tcPr>
            <w:tcW w:w="4401" w:type="dxa"/>
            <w:tcBorders>
              <w:top w:val="single" w:sz="4" w:space="0" w:color="auto"/>
              <w:right w:val="single" w:sz="4" w:space="0" w:color="auto"/>
            </w:tcBorders>
          </w:tcPr>
          <w:p w14:paraId="0FAEFAE1" w14:textId="13A3E5CA" w:rsidR="00C0388A" w:rsidRPr="008712DB" w:rsidRDefault="00C0388A" w:rsidP="00A45CB0">
            <w:pPr>
              <w:pStyle w:val="SCVbody"/>
              <w:rPr>
                <w:b/>
                <w:bCs/>
              </w:rPr>
            </w:pPr>
            <w:r>
              <w:rPr>
                <w:b/>
                <w:bCs/>
              </w:rPr>
              <w:t>During 2026–27, we will:</w:t>
            </w:r>
          </w:p>
        </w:tc>
        <w:tc>
          <w:tcPr>
            <w:tcW w:w="3676" w:type="dxa"/>
            <w:tcBorders>
              <w:top w:val="single" w:sz="4" w:space="0" w:color="auto"/>
              <w:left w:val="single" w:sz="4" w:space="0" w:color="auto"/>
            </w:tcBorders>
          </w:tcPr>
          <w:p w14:paraId="46DB3D83" w14:textId="45B21E3C" w:rsidR="00C0388A" w:rsidRPr="008712DB" w:rsidRDefault="00C0388A" w:rsidP="00A45CB0">
            <w:pPr>
              <w:pStyle w:val="SCVbody"/>
              <w:rPr>
                <w:b/>
                <w:bCs/>
              </w:rPr>
            </w:pPr>
            <w:r w:rsidRPr="008712DB">
              <w:rPr>
                <w:b/>
                <w:bCs/>
              </w:rPr>
              <w:t xml:space="preserve">Aligned </w:t>
            </w:r>
            <w:r>
              <w:rPr>
                <w:b/>
                <w:bCs/>
              </w:rPr>
              <w:t xml:space="preserve">objectives </w:t>
            </w:r>
          </w:p>
        </w:tc>
      </w:tr>
      <w:tr w:rsidR="00C0388A" w14:paraId="33D5C714" w14:textId="77777777" w:rsidTr="002E1D80">
        <w:tc>
          <w:tcPr>
            <w:tcW w:w="2127" w:type="dxa"/>
            <w:tcBorders>
              <w:right w:val="single" w:sz="4" w:space="0" w:color="auto"/>
            </w:tcBorders>
          </w:tcPr>
          <w:p w14:paraId="6E68A21C" w14:textId="77777777" w:rsidR="002E1D80" w:rsidRPr="003E7E89" w:rsidRDefault="002E1D80" w:rsidP="002E1D80">
            <w:pPr>
              <w:pStyle w:val="SCVtablebody"/>
              <w:rPr>
                <w:b/>
                <w:sz w:val="20"/>
                <w:szCs w:val="20"/>
              </w:rPr>
            </w:pPr>
            <w:r w:rsidRPr="003E7E89">
              <w:rPr>
                <w:b/>
                <w:sz w:val="20"/>
                <w:szCs w:val="20"/>
              </w:rPr>
              <w:t>Victorian Medicines Formulary</w:t>
            </w:r>
          </w:p>
          <w:p w14:paraId="1123995D" w14:textId="77777777" w:rsidR="00C0388A" w:rsidRPr="003E7E89" w:rsidRDefault="00C0388A" w:rsidP="000A6E3E">
            <w:pPr>
              <w:pStyle w:val="SCVtablebody"/>
              <w:rPr>
                <w:b/>
                <w:sz w:val="20"/>
                <w:szCs w:val="20"/>
              </w:rPr>
            </w:pPr>
          </w:p>
        </w:tc>
        <w:tc>
          <w:tcPr>
            <w:tcW w:w="4401" w:type="dxa"/>
            <w:tcBorders>
              <w:right w:val="single" w:sz="4" w:space="0" w:color="auto"/>
            </w:tcBorders>
          </w:tcPr>
          <w:p w14:paraId="418F43D8" w14:textId="52736B3F" w:rsidR="00C0388A" w:rsidRPr="003E7E89" w:rsidRDefault="00C0388A" w:rsidP="000A6E3E">
            <w:pPr>
              <w:pStyle w:val="SCVtablebody"/>
              <w:rPr>
                <w:sz w:val="20"/>
                <w:szCs w:val="20"/>
              </w:rPr>
            </w:pPr>
            <w:r w:rsidRPr="003E7E89">
              <w:rPr>
                <w:sz w:val="20"/>
                <w:szCs w:val="20"/>
              </w:rPr>
              <w:t>Establish statewide clinical governance and commence implementation of a statewide medicines’ formulary to:</w:t>
            </w:r>
          </w:p>
          <w:p w14:paraId="302A8BB6" w14:textId="5AA90E4C" w:rsidR="00C0388A" w:rsidRPr="003E7E89" w:rsidRDefault="00C0388A" w:rsidP="000A6E3E">
            <w:pPr>
              <w:pStyle w:val="SCVbullet1"/>
              <w:rPr>
                <w:sz w:val="20"/>
                <w:szCs w:val="20"/>
              </w:rPr>
            </w:pPr>
            <w:r w:rsidRPr="003E7E89">
              <w:rPr>
                <w:sz w:val="20"/>
                <w:szCs w:val="20"/>
              </w:rPr>
              <w:t>improve equitable access</w:t>
            </w:r>
          </w:p>
          <w:p w14:paraId="37313745" w14:textId="77777777" w:rsidR="00C0388A" w:rsidRDefault="00C0388A" w:rsidP="00634CEA">
            <w:pPr>
              <w:pStyle w:val="SCVbullet1"/>
              <w:rPr>
                <w:sz w:val="20"/>
                <w:szCs w:val="20"/>
              </w:rPr>
            </w:pPr>
            <w:r w:rsidRPr="003E7E89">
              <w:rPr>
                <w:sz w:val="20"/>
                <w:szCs w:val="20"/>
              </w:rPr>
              <w:t>support consistent prescribing</w:t>
            </w:r>
          </w:p>
          <w:p w14:paraId="4C4BDF9F" w14:textId="1F0A14CE" w:rsidR="00C0388A" w:rsidRPr="00AB6ABF" w:rsidRDefault="00C0388A" w:rsidP="00AB6ABF">
            <w:pPr>
              <w:pStyle w:val="SCVbullet1"/>
              <w:rPr>
                <w:sz w:val="20"/>
                <w:szCs w:val="20"/>
              </w:rPr>
            </w:pPr>
            <w:r w:rsidRPr="00634CEA">
              <w:rPr>
                <w:sz w:val="20"/>
                <w:szCs w:val="20"/>
              </w:rPr>
              <w:t xml:space="preserve">strengthen sustainability through </w:t>
            </w:r>
            <w:r>
              <w:rPr>
                <w:sz w:val="20"/>
                <w:szCs w:val="20"/>
              </w:rPr>
              <w:t xml:space="preserve">the </w:t>
            </w:r>
            <w:r w:rsidRPr="00BC0F42">
              <w:rPr>
                <w:sz w:val="20"/>
                <w:szCs w:val="20"/>
              </w:rPr>
              <w:t>Safer Together</w:t>
            </w:r>
            <w:r w:rsidRPr="00634CEA">
              <w:rPr>
                <w:sz w:val="20"/>
                <w:szCs w:val="20"/>
              </w:rPr>
              <w:t xml:space="preserve"> </w:t>
            </w:r>
            <w:r>
              <w:rPr>
                <w:sz w:val="20"/>
                <w:szCs w:val="20"/>
              </w:rPr>
              <w:t>l</w:t>
            </w:r>
            <w:r w:rsidRPr="00634CEA">
              <w:rPr>
                <w:sz w:val="20"/>
                <w:szCs w:val="20"/>
              </w:rPr>
              <w:t xml:space="preserve">earning </w:t>
            </w:r>
            <w:r>
              <w:rPr>
                <w:sz w:val="20"/>
                <w:szCs w:val="20"/>
              </w:rPr>
              <w:t>h</w:t>
            </w:r>
            <w:r w:rsidRPr="00634CEA">
              <w:rPr>
                <w:sz w:val="20"/>
                <w:szCs w:val="20"/>
              </w:rPr>
              <w:t xml:space="preserve">ealth </w:t>
            </w:r>
            <w:r>
              <w:rPr>
                <w:sz w:val="20"/>
                <w:szCs w:val="20"/>
              </w:rPr>
              <w:t>s</w:t>
            </w:r>
            <w:r w:rsidRPr="00634CEA">
              <w:rPr>
                <w:sz w:val="20"/>
                <w:szCs w:val="20"/>
              </w:rPr>
              <w:t>ystem approach.</w:t>
            </w:r>
          </w:p>
        </w:tc>
        <w:tc>
          <w:tcPr>
            <w:tcW w:w="3676" w:type="dxa"/>
            <w:tcBorders>
              <w:left w:val="single" w:sz="4" w:space="0" w:color="auto"/>
            </w:tcBorders>
          </w:tcPr>
          <w:p w14:paraId="15CEA67D" w14:textId="6770AD85" w:rsidR="00C0388A" w:rsidRPr="00D65A91" w:rsidRDefault="00C0388A" w:rsidP="002D2E2D">
            <w:pPr>
              <w:pStyle w:val="SCVbullet1"/>
              <w:rPr>
                <w:sz w:val="20"/>
                <w:szCs w:val="20"/>
              </w:rPr>
            </w:pPr>
            <w:r w:rsidRPr="000E08C7">
              <w:rPr>
                <w:sz w:val="20"/>
                <w:szCs w:val="20"/>
              </w:rPr>
              <w:t>Lead transformational</w:t>
            </w:r>
            <w:r>
              <w:rPr>
                <w:sz w:val="20"/>
                <w:szCs w:val="20"/>
              </w:rPr>
              <w:t>,</w:t>
            </w:r>
            <w:r w:rsidRPr="000E08C7">
              <w:rPr>
                <w:sz w:val="20"/>
                <w:szCs w:val="20"/>
              </w:rPr>
              <w:t xml:space="preserve"> system-wide initiatives to optimise outcomes that are consistent, reliable and equitable for all Victorians.</w:t>
            </w:r>
          </w:p>
        </w:tc>
      </w:tr>
      <w:tr w:rsidR="00C0388A" w14:paraId="688EDF9C" w14:textId="77777777" w:rsidTr="002E1D80">
        <w:tc>
          <w:tcPr>
            <w:tcW w:w="2127" w:type="dxa"/>
            <w:tcBorders>
              <w:right w:val="single" w:sz="4" w:space="0" w:color="auto"/>
            </w:tcBorders>
          </w:tcPr>
          <w:p w14:paraId="79446D37" w14:textId="77777777" w:rsidR="005A699D" w:rsidRDefault="005A699D" w:rsidP="005A699D">
            <w:pPr>
              <w:pStyle w:val="SCVtablebody"/>
              <w:rPr>
                <w:sz w:val="20"/>
                <w:szCs w:val="20"/>
                <w:lang w:val="en-US"/>
              </w:rPr>
            </w:pPr>
            <w:r w:rsidRPr="003E7E89">
              <w:rPr>
                <w:b/>
                <w:sz w:val="20"/>
                <w:szCs w:val="20"/>
              </w:rPr>
              <w:t>Elevat</w:t>
            </w:r>
            <w:r>
              <w:rPr>
                <w:b/>
                <w:sz w:val="20"/>
                <w:szCs w:val="20"/>
              </w:rPr>
              <w:t>e</w:t>
            </w:r>
            <w:r w:rsidRPr="003E7E89">
              <w:rPr>
                <w:b/>
                <w:sz w:val="20"/>
                <w:szCs w:val="20"/>
              </w:rPr>
              <w:t xml:space="preserve"> </w:t>
            </w:r>
            <w:r>
              <w:rPr>
                <w:b/>
                <w:sz w:val="20"/>
                <w:szCs w:val="20"/>
              </w:rPr>
              <w:t>p</w:t>
            </w:r>
            <w:r w:rsidRPr="003E7E89">
              <w:rPr>
                <w:b/>
                <w:sz w:val="20"/>
                <w:szCs w:val="20"/>
              </w:rPr>
              <w:t xml:space="preserve">artnering with </w:t>
            </w:r>
            <w:r>
              <w:rPr>
                <w:b/>
                <w:sz w:val="20"/>
                <w:szCs w:val="20"/>
              </w:rPr>
              <w:t>c</w:t>
            </w:r>
            <w:r w:rsidRPr="003E7E89">
              <w:rPr>
                <w:b/>
                <w:sz w:val="20"/>
                <w:szCs w:val="20"/>
              </w:rPr>
              <w:t>onsumers</w:t>
            </w:r>
          </w:p>
          <w:p w14:paraId="2B232263" w14:textId="77777777" w:rsidR="00C0388A" w:rsidRPr="003E7E89" w:rsidRDefault="00C0388A" w:rsidP="00B8198A">
            <w:pPr>
              <w:pStyle w:val="SCVtablebody"/>
              <w:rPr>
                <w:b/>
                <w:sz w:val="20"/>
                <w:szCs w:val="20"/>
              </w:rPr>
            </w:pPr>
          </w:p>
        </w:tc>
        <w:tc>
          <w:tcPr>
            <w:tcW w:w="4401" w:type="dxa"/>
            <w:tcBorders>
              <w:right w:val="single" w:sz="4" w:space="0" w:color="auto"/>
            </w:tcBorders>
          </w:tcPr>
          <w:p w14:paraId="2B244959" w14:textId="261BBE2D" w:rsidR="00C0388A" w:rsidRPr="003E7E89" w:rsidRDefault="00C0388A" w:rsidP="00B8198A">
            <w:pPr>
              <w:pStyle w:val="SCVtablebody"/>
              <w:rPr>
                <w:sz w:val="20"/>
                <w:szCs w:val="20"/>
              </w:rPr>
            </w:pPr>
            <w:r w:rsidRPr="003E7E89">
              <w:rPr>
                <w:sz w:val="20"/>
                <w:szCs w:val="20"/>
                <w:lang w:val="en-US"/>
              </w:rPr>
              <w:t xml:space="preserve">Strengthen partnering practices and outcomes through the: </w:t>
            </w:r>
          </w:p>
          <w:p w14:paraId="2A1EB147" w14:textId="2BAAC0C4" w:rsidR="00C0388A" w:rsidRPr="003E7E89" w:rsidRDefault="00C0388A" w:rsidP="00B8198A">
            <w:pPr>
              <w:pStyle w:val="SCVbullet1"/>
              <w:rPr>
                <w:sz w:val="20"/>
                <w:szCs w:val="20"/>
                <w:lang w:val="en-US"/>
              </w:rPr>
            </w:pPr>
            <w:r w:rsidRPr="003E7E89">
              <w:rPr>
                <w:rFonts w:eastAsiaTheme="minorEastAsia"/>
                <w:sz w:val="20"/>
                <w:szCs w:val="20"/>
                <w:lang w:val="en-US" w:eastAsia="en-AU"/>
              </w:rPr>
              <w:t xml:space="preserve">launch of a refreshed </w:t>
            </w:r>
            <w:r w:rsidRPr="003E7E89">
              <w:rPr>
                <w:sz w:val="20"/>
                <w:szCs w:val="20"/>
                <w:lang w:val="en-US"/>
              </w:rPr>
              <w:t>Partnering in Healthcare Framework</w:t>
            </w:r>
          </w:p>
          <w:p w14:paraId="0BEFE431" w14:textId="77777777" w:rsidR="00C0388A" w:rsidRDefault="00C0388A" w:rsidP="000E08C7">
            <w:pPr>
              <w:pStyle w:val="SCVbullet1"/>
              <w:rPr>
                <w:sz w:val="20"/>
                <w:szCs w:val="20"/>
                <w:lang w:val="en-US"/>
              </w:rPr>
            </w:pPr>
            <w:r w:rsidRPr="003E7E89">
              <w:rPr>
                <w:rFonts w:eastAsiaTheme="minorEastAsia"/>
                <w:sz w:val="20"/>
                <w:szCs w:val="20"/>
                <w:lang w:val="en-US"/>
              </w:rPr>
              <w:t>develop</w:t>
            </w:r>
            <w:r w:rsidRPr="003E7E89">
              <w:rPr>
                <w:sz w:val="20"/>
                <w:szCs w:val="20"/>
                <w:lang w:val="en-US"/>
              </w:rPr>
              <w:t>ment of supporting resources</w:t>
            </w:r>
          </w:p>
          <w:p w14:paraId="2B43108D" w14:textId="727120F2" w:rsidR="00C0388A" w:rsidRPr="00927927" w:rsidRDefault="00C0388A" w:rsidP="00927927">
            <w:pPr>
              <w:pStyle w:val="SCVbullet1"/>
              <w:rPr>
                <w:sz w:val="18"/>
                <w:szCs w:val="18"/>
                <w:lang w:val="en-US"/>
              </w:rPr>
            </w:pPr>
            <w:r w:rsidRPr="000E08C7">
              <w:rPr>
                <w:rFonts w:eastAsiaTheme="minorEastAsia"/>
                <w:sz w:val="20"/>
                <w:szCs w:val="20"/>
                <w:lang w:val="en-US"/>
              </w:rPr>
              <w:t>embed</w:t>
            </w:r>
            <w:r w:rsidRPr="000E08C7">
              <w:rPr>
                <w:sz w:val="20"/>
                <w:szCs w:val="20"/>
                <w:lang w:val="en-US"/>
              </w:rPr>
              <w:t>ding</w:t>
            </w:r>
            <w:r w:rsidRPr="000E08C7">
              <w:rPr>
                <w:rFonts w:eastAsiaTheme="minorEastAsia"/>
                <w:sz w:val="20"/>
                <w:szCs w:val="20"/>
                <w:lang w:val="en-US"/>
              </w:rPr>
              <w:t xml:space="preserve"> patient experience</w:t>
            </w:r>
            <w:r w:rsidRPr="000E08C7">
              <w:rPr>
                <w:sz w:val="20"/>
                <w:szCs w:val="20"/>
                <w:lang w:val="en-US"/>
              </w:rPr>
              <w:t xml:space="preserve"> insights to inform improvements</w:t>
            </w:r>
            <w:r w:rsidRPr="000E08C7">
              <w:rPr>
                <w:rFonts w:eastAsiaTheme="minorEastAsia"/>
                <w:sz w:val="20"/>
                <w:szCs w:val="20"/>
                <w:lang w:val="en-US"/>
              </w:rPr>
              <w:t>.</w:t>
            </w:r>
          </w:p>
        </w:tc>
        <w:tc>
          <w:tcPr>
            <w:tcW w:w="3676" w:type="dxa"/>
            <w:tcBorders>
              <w:left w:val="single" w:sz="4" w:space="0" w:color="auto"/>
            </w:tcBorders>
          </w:tcPr>
          <w:p w14:paraId="46DEB33C" w14:textId="21A0F118" w:rsidR="00C0388A" w:rsidRPr="000E08C7" w:rsidRDefault="00C0388A" w:rsidP="000E08C7">
            <w:pPr>
              <w:pStyle w:val="SCVbullet1"/>
              <w:rPr>
                <w:rFonts w:eastAsiaTheme="minorEastAsia"/>
                <w:sz w:val="20"/>
                <w:szCs w:val="20"/>
                <w:lang w:val="en-US"/>
              </w:rPr>
            </w:pPr>
            <w:r w:rsidRPr="000E08C7">
              <w:rPr>
                <w:rFonts w:eastAsiaTheme="minorEastAsia"/>
                <w:sz w:val="20"/>
                <w:szCs w:val="20"/>
                <w:lang w:val="en-US"/>
              </w:rPr>
              <w:t>Lead transformational</w:t>
            </w:r>
            <w:r>
              <w:rPr>
                <w:rFonts w:eastAsiaTheme="minorEastAsia"/>
                <w:sz w:val="20"/>
                <w:szCs w:val="20"/>
                <w:lang w:val="en-US"/>
              </w:rPr>
              <w:t>,</w:t>
            </w:r>
            <w:r w:rsidRPr="000E08C7">
              <w:rPr>
                <w:rFonts w:eastAsiaTheme="minorEastAsia"/>
                <w:sz w:val="20"/>
                <w:szCs w:val="20"/>
                <w:lang w:val="en-US"/>
              </w:rPr>
              <w:t xml:space="preserve"> system-wide initiatives to optimise outcomes that are consistent, reliable and equitable for all Victorians.</w:t>
            </w:r>
          </w:p>
        </w:tc>
      </w:tr>
      <w:tr w:rsidR="00C0388A" w14:paraId="681F4B62" w14:textId="77777777" w:rsidTr="002E1D80">
        <w:tc>
          <w:tcPr>
            <w:tcW w:w="2127" w:type="dxa"/>
            <w:tcBorders>
              <w:right w:val="single" w:sz="4" w:space="0" w:color="auto"/>
            </w:tcBorders>
          </w:tcPr>
          <w:p w14:paraId="3284C9DC" w14:textId="77777777" w:rsidR="005A699D" w:rsidRDefault="005A699D" w:rsidP="005A699D">
            <w:pPr>
              <w:pStyle w:val="SCVbody"/>
              <w:rPr>
                <w:b/>
                <w:sz w:val="20"/>
                <w:szCs w:val="20"/>
              </w:rPr>
            </w:pPr>
            <w:r w:rsidRPr="009F5420">
              <w:rPr>
                <w:b/>
                <w:sz w:val="20"/>
                <w:szCs w:val="20"/>
              </w:rPr>
              <w:t>Strengthen</w:t>
            </w:r>
            <w:r w:rsidRPr="002C49BD">
              <w:rPr>
                <w:b/>
                <w:sz w:val="20"/>
                <w:szCs w:val="20"/>
              </w:rPr>
              <w:t xml:space="preserve"> </w:t>
            </w:r>
            <w:r>
              <w:rPr>
                <w:b/>
                <w:sz w:val="20"/>
                <w:szCs w:val="20"/>
              </w:rPr>
              <w:t>c</w:t>
            </w:r>
            <w:r w:rsidRPr="002C49BD">
              <w:rPr>
                <w:b/>
                <w:sz w:val="20"/>
                <w:szCs w:val="20"/>
              </w:rPr>
              <w:t xml:space="preserve">linical </w:t>
            </w:r>
            <w:r>
              <w:rPr>
                <w:b/>
                <w:sz w:val="20"/>
                <w:szCs w:val="20"/>
              </w:rPr>
              <w:t>g</w:t>
            </w:r>
            <w:r w:rsidRPr="002C49BD">
              <w:rPr>
                <w:b/>
                <w:sz w:val="20"/>
                <w:szCs w:val="20"/>
              </w:rPr>
              <w:t>overnance</w:t>
            </w:r>
          </w:p>
          <w:p w14:paraId="142694B3" w14:textId="77777777" w:rsidR="00C0388A" w:rsidRPr="009F5420" w:rsidRDefault="00C0388A" w:rsidP="00333514">
            <w:pPr>
              <w:pStyle w:val="SCVbody"/>
              <w:rPr>
                <w:b/>
              </w:rPr>
            </w:pPr>
          </w:p>
        </w:tc>
        <w:tc>
          <w:tcPr>
            <w:tcW w:w="4401" w:type="dxa"/>
            <w:tcBorders>
              <w:right w:val="single" w:sz="4" w:space="0" w:color="auto"/>
            </w:tcBorders>
          </w:tcPr>
          <w:p w14:paraId="6EF5CB5C" w14:textId="77777777" w:rsidR="00C0388A" w:rsidRPr="00746547" w:rsidRDefault="00C0388A" w:rsidP="00092072">
            <w:pPr>
              <w:pStyle w:val="SCVbody"/>
              <w:spacing w:before="60" w:after="80"/>
              <w:rPr>
                <w:sz w:val="20"/>
                <w:szCs w:val="20"/>
              </w:rPr>
            </w:pPr>
            <w:r w:rsidRPr="00746547">
              <w:rPr>
                <w:sz w:val="20"/>
                <w:szCs w:val="20"/>
              </w:rPr>
              <w:t>Improve clinical governance through:</w:t>
            </w:r>
          </w:p>
          <w:p w14:paraId="06BE8878" w14:textId="09AA8FDD" w:rsidR="00C0388A" w:rsidRPr="00746547" w:rsidRDefault="00C0388A" w:rsidP="00746547">
            <w:pPr>
              <w:pStyle w:val="SCVbullet1"/>
              <w:rPr>
                <w:sz w:val="20"/>
                <w:szCs w:val="20"/>
              </w:rPr>
            </w:pPr>
            <w:r>
              <w:rPr>
                <w:rFonts w:eastAsiaTheme="minorEastAsia"/>
                <w:sz w:val="20"/>
                <w:szCs w:val="20"/>
                <w:lang w:val="en-US" w:eastAsia="en-AU"/>
              </w:rPr>
              <w:t>aligning Victorian and national clinical governance reforms</w:t>
            </w:r>
          </w:p>
          <w:p w14:paraId="7DFD31F5" w14:textId="0BF09583" w:rsidR="00C0388A" w:rsidRPr="00746547" w:rsidRDefault="00C0388A" w:rsidP="00746547">
            <w:pPr>
              <w:pStyle w:val="SCVbullet1"/>
              <w:rPr>
                <w:sz w:val="20"/>
                <w:szCs w:val="20"/>
              </w:rPr>
            </w:pPr>
            <w:r w:rsidRPr="00746547">
              <w:rPr>
                <w:sz w:val="20"/>
                <w:szCs w:val="20"/>
              </w:rPr>
              <w:t xml:space="preserve">embedding the Victorian Clinical Governance </w:t>
            </w:r>
            <w:r>
              <w:rPr>
                <w:sz w:val="20"/>
                <w:szCs w:val="20"/>
              </w:rPr>
              <w:t>F</w:t>
            </w:r>
            <w:r w:rsidRPr="00746547">
              <w:rPr>
                <w:sz w:val="20"/>
                <w:szCs w:val="20"/>
              </w:rPr>
              <w:t>ramework</w:t>
            </w:r>
          </w:p>
          <w:p w14:paraId="72ED2D06" w14:textId="4DE79DE0" w:rsidR="00C0388A" w:rsidRPr="00C14D48" w:rsidRDefault="00C0388A" w:rsidP="00C14D48">
            <w:pPr>
              <w:pStyle w:val="SCVbullet1"/>
              <w:rPr>
                <w:sz w:val="20"/>
                <w:szCs w:val="20"/>
              </w:rPr>
            </w:pPr>
            <w:r w:rsidRPr="00125481">
              <w:rPr>
                <w:sz w:val="20"/>
                <w:szCs w:val="20"/>
              </w:rPr>
              <w:t>triangulating system signals and insights to inform clinical governance tools, supports and interventions</w:t>
            </w:r>
            <w:r>
              <w:rPr>
                <w:sz w:val="20"/>
                <w:szCs w:val="20"/>
              </w:rPr>
              <w:t>.</w:t>
            </w:r>
          </w:p>
        </w:tc>
        <w:tc>
          <w:tcPr>
            <w:tcW w:w="3676" w:type="dxa"/>
            <w:tcBorders>
              <w:left w:val="single" w:sz="4" w:space="0" w:color="auto"/>
            </w:tcBorders>
          </w:tcPr>
          <w:p w14:paraId="267F002F" w14:textId="7AC30796" w:rsidR="00C0388A" w:rsidRDefault="00C0388A" w:rsidP="00AB7579">
            <w:pPr>
              <w:pStyle w:val="SCVbullet1"/>
              <w:rPr>
                <w:sz w:val="20"/>
                <w:szCs w:val="20"/>
                <w:lang w:val="en-US"/>
              </w:rPr>
            </w:pPr>
            <w:r w:rsidRPr="002D1B32">
              <w:rPr>
                <w:sz w:val="20"/>
                <w:szCs w:val="20"/>
                <w:lang w:val="en-US"/>
              </w:rPr>
              <w:t>Advocate for and provide expertise on quality and safety reform opportunities, driving alignment across national, statewide and health service partners.</w:t>
            </w:r>
          </w:p>
          <w:p w14:paraId="0FE53B44" w14:textId="07CE055A" w:rsidR="00C0388A" w:rsidRPr="008C500D" w:rsidRDefault="00C0388A" w:rsidP="008C500D">
            <w:pPr>
              <w:pStyle w:val="SCVbullet1"/>
              <w:rPr>
                <w:sz w:val="20"/>
                <w:szCs w:val="20"/>
                <w:lang w:val="en-US"/>
              </w:rPr>
            </w:pPr>
            <w:r w:rsidRPr="002A3D9E">
              <w:rPr>
                <w:sz w:val="20"/>
                <w:szCs w:val="20"/>
                <w:lang w:val="en-US"/>
              </w:rPr>
              <w:t xml:space="preserve">Promote guidance to the sector, consumers and carers through sharing and promoting evidence-based information and clinical best practice. </w:t>
            </w:r>
          </w:p>
        </w:tc>
      </w:tr>
      <w:tr w:rsidR="00C0388A" w14:paraId="206395B6" w14:textId="77777777" w:rsidTr="002E1D80">
        <w:tc>
          <w:tcPr>
            <w:tcW w:w="2127" w:type="dxa"/>
            <w:tcBorders>
              <w:right w:val="single" w:sz="4" w:space="0" w:color="auto"/>
            </w:tcBorders>
          </w:tcPr>
          <w:p w14:paraId="1DC5EF2D" w14:textId="77777777" w:rsidR="005A699D" w:rsidRPr="00666B8B" w:rsidRDefault="005A699D" w:rsidP="005A699D">
            <w:pPr>
              <w:spacing w:before="60" w:after="80"/>
              <w:rPr>
                <w:rFonts w:eastAsia="Times New Roman" w:cstheme="minorHAnsi"/>
                <w:b/>
                <w:sz w:val="20"/>
                <w:szCs w:val="20"/>
              </w:rPr>
            </w:pPr>
            <w:r w:rsidRPr="00666B8B">
              <w:rPr>
                <w:rFonts w:eastAsia="Times New Roman" w:cstheme="minorHAnsi"/>
                <w:b/>
                <w:sz w:val="20"/>
                <w:szCs w:val="20"/>
              </w:rPr>
              <w:t>Clinicians Health Channel</w:t>
            </w:r>
          </w:p>
          <w:p w14:paraId="6E215481" w14:textId="77777777" w:rsidR="00C0388A" w:rsidRPr="00666B8B" w:rsidRDefault="00C0388A" w:rsidP="009F5420">
            <w:pPr>
              <w:spacing w:before="60" w:after="80"/>
              <w:rPr>
                <w:rFonts w:eastAsia="Times New Roman" w:cstheme="minorHAnsi"/>
                <w:b/>
              </w:rPr>
            </w:pPr>
          </w:p>
        </w:tc>
        <w:tc>
          <w:tcPr>
            <w:tcW w:w="4401" w:type="dxa"/>
            <w:tcBorders>
              <w:right w:val="single" w:sz="4" w:space="0" w:color="auto"/>
            </w:tcBorders>
          </w:tcPr>
          <w:p w14:paraId="0EFCF72C" w14:textId="30BE35C6" w:rsidR="00C0388A" w:rsidRPr="00927927" w:rsidRDefault="00C0388A" w:rsidP="00C14D48">
            <w:pPr>
              <w:pStyle w:val="SCVbody"/>
              <w:rPr>
                <w:sz w:val="20"/>
                <w:szCs w:val="20"/>
              </w:rPr>
            </w:pPr>
            <w:r>
              <w:rPr>
                <w:sz w:val="20"/>
                <w:szCs w:val="20"/>
              </w:rPr>
              <w:t>Continue to maintain the refreshed Clinicians Health Channel through a</w:t>
            </w:r>
            <w:r w:rsidRPr="00203A2F">
              <w:t xml:space="preserve"> </w:t>
            </w:r>
            <w:r w:rsidRPr="00C14D48">
              <w:rPr>
                <w:sz w:val="20"/>
                <w:szCs w:val="20"/>
              </w:rPr>
              <w:t>new vendor, EBSCO</w:t>
            </w:r>
            <w:r>
              <w:rPr>
                <w:sz w:val="20"/>
                <w:szCs w:val="20"/>
              </w:rPr>
              <w:t xml:space="preserve">. </w:t>
            </w:r>
            <w:r w:rsidRPr="00C14D48">
              <w:rPr>
                <w:sz w:val="20"/>
                <w:szCs w:val="20"/>
              </w:rPr>
              <w:t>The channel was available from 1 July 2026. It provides new resources that give clinicians timely, evidence-based information at the point of care.</w:t>
            </w:r>
          </w:p>
        </w:tc>
        <w:tc>
          <w:tcPr>
            <w:tcW w:w="3676" w:type="dxa"/>
            <w:tcBorders>
              <w:left w:val="single" w:sz="4" w:space="0" w:color="auto"/>
            </w:tcBorders>
          </w:tcPr>
          <w:p w14:paraId="19A314D9" w14:textId="12575E80" w:rsidR="00C0388A" w:rsidRPr="007F7B67" w:rsidRDefault="00C0388A" w:rsidP="00926858">
            <w:pPr>
              <w:pStyle w:val="SCVbullet1"/>
            </w:pPr>
            <w:r w:rsidRPr="00926858">
              <w:rPr>
                <w:rFonts w:eastAsiaTheme="minorEastAsia"/>
                <w:sz w:val="20"/>
                <w:szCs w:val="20"/>
                <w:lang w:eastAsia="en-AU"/>
              </w:rPr>
              <w:t>Promote guidance to the sector, consumers and carers</w:t>
            </w:r>
            <w:r>
              <w:rPr>
                <w:rFonts w:eastAsiaTheme="minorEastAsia"/>
                <w:sz w:val="20"/>
                <w:szCs w:val="20"/>
                <w:lang w:eastAsia="en-AU"/>
              </w:rPr>
              <w:t xml:space="preserve"> </w:t>
            </w:r>
            <w:r w:rsidRPr="00926858">
              <w:rPr>
                <w:rFonts w:eastAsiaTheme="minorEastAsia"/>
                <w:sz w:val="20"/>
                <w:szCs w:val="20"/>
                <w:lang w:eastAsia="en-AU"/>
              </w:rPr>
              <w:t>through sharing and promoting evidence-based</w:t>
            </w:r>
            <w:r>
              <w:rPr>
                <w:rFonts w:eastAsiaTheme="minorEastAsia"/>
                <w:sz w:val="20"/>
                <w:szCs w:val="20"/>
                <w:lang w:eastAsia="en-AU"/>
              </w:rPr>
              <w:t xml:space="preserve"> </w:t>
            </w:r>
            <w:r w:rsidRPr="00926858">
              <w:rPr>
                <w:rFonts w:eastAsiaTheme="minorEastAsia"/>
                <w:sz w:val="20"/>
                <w:szCs w:val="20"/>
                <w:lang w:eastAsia="en-AU"/>
              </w:rPr>
              <w:t>information and clinical best practice.</w:t>
            </w:r>
          </w:p>
        </w:tc>
      </w:tr>
      <w:tr w:rsidR="00C0388A" w14:paraId="4567F82C" w14:textId="77777777" w:rsidTr="002E1D80">
        <w:tc>
          <w:tcPr>
            <w:tcW w:w="2127" w:type="dxa"/>
            <w:tcBorders>
              <w:bottom w:val="single" w:sz="4" w:space="0" w:color="auto"/>
              <w:right w:val="single" w:sz="4" w:space="0" w:color="auto"/>
            </w:tcBorders>
          </w:tcPr>
          <w:p w14:paraId="76AB2D70" w14:textId="77777777" w:rsidR="005A699D" w:rsidRPr="003E7E89" w:rsidRDefault="005A699D" w:rsidP="005A699D">
            <w:pPr>
              <w:pStyle w:val="SCVbullet1"/>
              <w:numPr>
                <w:ilvl w:val="0"/>
                <w:numId w:val="0"/>
              </w:numPr>
              <w:rPr>
                <w:b/>
                <w:sz w:val="20"/>
                <w:szCs w:val="20"/>
              </w:rPr>
            </w:pPr>
            <w:r w:rsidRPr="003E7E89">
              <w:rPr>
                <w:b/>
                <w:sz w:val="20"/>
                <w:szCs w:val="20"/>
              </w:rPr>
              <w:t>National Health and Medical Research reforms</w:t>
            </w:r>
          </w:p>
          <w:p w14:paraId="582C141D" w14:textId="77777777" w:rsidR="00C0388A" w:rsidRPr="003E7E89" w:rsidRDefault="00C0388A" w:rsidP="00AA29EA">
            <w:pPr>
              <w:pStyle w:val="SCVbullet1"/>
              <w:numPr>
                <w:ilvl w:val="0"/>
                <w:numId w:val="0"/>
              </w:numPr>
              <w:rPr>
                <w:b/>
              </w:rPr>
            </w:pPr>
          </w:p>
        </w:tc>
        <w:tc>
          <w:tcPr>
            <w:tcW w:w="4401" w:type="dxa"/>
            <w:tcBorders>
              <w:bottom w:val="single" w:sz="4" w:space="0" w:color="auto"/>
              <w:right w:val="single" w:sz="4" w:space="0" w:color="auto"/>
            </w:tcBorders>
          </w:tcPr>
          <w:p w14:paraId="1910D1A5" w14:textId="275E1CDF" w:rsidR="00C0388A" w:rsidRPr="003E7E89" w:rsidRDefault="00C0388A" w:rsidP="00AA29EA">
            <w:pPr>
              <w:pStyle w:val="SCVbullet1"/>
              <w:numPr>
                <w:ilvl w:val="0"/>
                <w:numId w:val="0"/>
              </w:numPr>
              <w:rPr>
                <w:sz w:val="20"/>
                <w:szCs w:val="20"/>
              </w:rPr>
            </w:pPr>
            <w:r w:rsidRPr="003E7E89">
              <w:rPr>
                <w:sz w:val="20"/>
                <w:szCs w:val="20"/>
              </w:rPr>
              <w:t xml:space="preserve">Contribute to reforms </w:t>
            </w:r>
            <w:r>
              <w:rPr>
                <w:sz w:val="20"/>
                <w:szCs w:val="20"/>
              </w:rPr>
              <w:t xml:space="preserve">that </w:t>
            </w:r>
            <w:r w:rsidRPr="003E7E89">
              <w:rPr>
                <w:sz w:val="20"/>
                <w:szCs w:val="20"/>
              </w:rPr>
              <w:t xml:space="preserve">support nationally consistent healthcare research environments, by: </w:t>
            </w:r>
          </w:p>
          <w:p w14:paraId="35476DF9" w14:textId="77777777" w:rsidR="00C0388A" w:rsidRPr="003E7E89" w:rsidRDefault="00C0388A" w:rsidP="00AA29EA">
            <w:pPr>
              <w:pStyle w:val="SCVbullet1"/>
              <w:rPr>
                <w:sz w:val="20"/>
                <w:szCs w:val="20"/>
              </w:rPr>
            </w:pPr>
            <w:r w:rsidRPr="003E7E89">
              <w:rPr>
                <w:rFonts w:eastAsiaTheme="minorEastAsia"/>
                <w:sz w:val="20"/>
                <w:szCs w:val="20"/>
                <w:lang w:eastAsia="en-AU"/>
              </w:rPr>
              <w:t xml:space="preserve">acting as state representative </w:t>
            </w:r>
            <w:r w:rsidRPr="003E7E89">
              <w:rPr>
                <w:sz w:val="20"/>
                <w:szCs w:val="20"/>
              </w:rPr>
              <w:t>for</w:t>
            </w:r>
            <w:r w:rsidRPr="003E7E89">
              <w:rPr>
                <w:rFonts w:eastAsiaTheme="minorEastAsia"/>
                <w:sz w:val="20"/>
                <w:szCs w:val="20"/>
                <w:lang w:eastAsia="en-AU"/>
              </w:rPr>
              <w:t xml:space="preserve"> </w:t>
            </w:r>
            <w:r w:rsidRPr="003E7E89">
              <w:rPr>
                <w:sz w:val="20"/>
                <w:szCs w:val="20"/>
              </w:rPr>
              <w:t xml:space="preserve">the </w:t>
            </w:r>
            <w:r w:rsidRPr="003E7E89">
              <w:rPr>
                <w:rFonts w:eastAsiaTheme="minorEastAsia"/>
                <w:sz w:val="20"/>
                <w:szCs w:val="20"/>
                <w:lang w:eastAsia="en-AU"/>
              </w:rPr>
              <w:t>Commonwealth</w:t>
            </w:r>
            <w:r w:rsidRPr="003E7E89">
              <w:rPr>
                <w:sz w:val="20"/>
                <w:szCs w:val="20"/>
              </w:rPr>
              <w:t>-</w:t>
            </w:r>
            <w:r w:rsidRPr="003E7E89">
              <w:rPr>
                <w:rFonts w:eastAsiaTheme="minorEastAsia"/>
                <w:sz w:val="20"/>
                <w:szCs w:val="20"/>
                <w:lang w:eastAsia="en-AU"/>
              </w:rPr>
              <w:t xml:space="preserve">led </w:t>
            </w:r>
            <w:r w:rsidRPr="003E7E89">
              <w:rPr>
                <w:sz w:val="20"/>
                <w:szCs w:val="20"/>
              </w:rPr>
              <w:t>Inter-Governmental Policy Reform Group</w:t>
            </w:r>
          </w:p>
          <w:p w14:paraId="3C969692" w14:textId="5F8FDD8E" w:rsidR="00C0388A" w:rsidRPr="00927927" w:rsidRDefault="00C0388A" w:rsidP="00927927">
            <w:pPr>
              <w:pStyle w:val="SCVbullet1"/>
              <w:rPr>
                <w:sz w:val="20"/>
                <w:szCs w:val="20"/>
              </w:rPr>
            </w:pPr>
            <w:r w:rsidRPr="003E7E89">
              <w:rPr>
                <w:rFonts w:eastAsiaTheme="minorEastAsia"/>
                <w:sz w:val="20"/>
                <w:szCs w:val="20"/>
                <w:lang w:eastAsia="en-AU"/>
              </w:rPr>
              <w:t>support</w:t>
            </w:r>
            <w:r w:rsidRPr="003E7E89">
              <w:rPr>
                <w:sz w:val="20"/>
                <w:szCs w:val="20"/>
              </w:rPr>
              <w:t>ing</w:t>
            </w:r>
            <w:r w:rsidRPr="003E7E89">
              <w:rPr>
                <w:rFonts w:eastAsiaTheme="minorEastAsia"/>
                <w:sz w:val="20"/>
                <w:szCs w:val="20"/>
                <w:lang w:eastAsia="en-AU"/>
              </w:rPr>
              <w:t xml:space="preserve"> clinical research across Victoria under the Federal Funding Agreement, Encouraging More Clinical Trials in Australia. </w:t>
            </w:r>
          </w:p>
        </w:tc>
        <w:tc>
          <w:tcPr>
            <w:tcW w:w="3676" w:type="dxa"/>
            <w:tcBorders>
              <w:left w:val="single" w:sz="4" w:space="0" w:color="auto"/>
              <w:bottom w:val="single" w:sz="4" w:space="0" w:color="auto"/>
            </w:tcBorders>
          </w:tcPr>
          <w:p w14:paraId="781B2BB0" w14:textId="012807E6" w:rsidR="00C0388A" w:rsidRPr="00D65A91" w:rsidRDefault="00C0388A" w:rsidP="000E08C7">
            <w:pPr>
              <w:pStyle w:val="SCVbullet1"/>
              <w:rPr>
                <w:sz w:val="20"/>
                <w:szCs w:val="20"/>
              </w:rPr>
            </w:pPr>
            <w:r w:rsidRPr="000E08C7">
              <w:rPr>
                <w:rFonts w:eastAsiaTheme="minorEastAsia"/>
                <w:sz w:val="20"/>
                <w:szCs w:val="20"/>
                <w:lang w:eastAsia="en-AU"/>
              </w:rPr>
              <w:t>Lead transformational</w:t>
            </w:r>
            <w:r>
              <w:rPr>
                <w:rFonts w:eastAsiaTheme="minorEastAsia"/>
                <w:sz w:val="20"/>
                <w:szCs w:val="20"/>
                <w:lang w:eastAsia="en-AU"/>
              </w:rPr>
              <w:t>,</w:t>
            </w:r>
            <w:r w:rsidRPr="000E08C7">
              <w:rPr>
                <w:rFonts w:eastAsiaTheme="minorEastAsia"/>
                <w:sz w:val="20"/>
                <w:szCs w:val="20"/>
                <w:lang w:eastAsia="en-AU"/>
              </w:rPr>
              <w:t xml:space="preserve"> system-wide initiatives to optimise outcomes that are consistent, reliable and equitable for all Victorians.</w:t>
            </w:r>
          </w:p>
        </w:tc>
      </w:tr>
    </w:tbl>
    <w:p w14:paraId="01103884" w14:textId="77777777" w:rsidR="00136257" w:rsidRPr="00E56285" w:rsidRDefault="00136257" w:rsidP="00641241">
      <w:pPr>
        <w:pStyle w:val="SCVbody"/>
        <w:keepNext/>
        <w:rPr>
          <w:b/>
          <w:bCs/>
          <w:sz w:val="36"/>
          <w:szCs w:val="36"/>
        </w:rPr>
      </w:pPr>
      <w:r w:rsidRPr="00E56285">
        <w:rPr>
          <w:b/>
          <w:bCs/>
          <w:sz w:val="36"/>
          <w:szCs w:val="36"/>
        </w:rPr>
        <w:t>Insights</w:t>
      </w:r>
    </w:p>
    <w:p w14:paraId="13480E08" w14:textId="33CF5894" w:rsidR="004B7337" w:rsidRPr="00EE362D" w:rsidRDefault="004B7337" w:rsidP="00641241">
      <w:pPr>
        <w:pStyle w:val="SCVbody"/>
        <w:keepNext/>
      </w:pPr>
      <w:r w:rsidRPr="00EE362D">
        <w:t>We work with our partners by harnessing insights to reduce avoidable harm across the</w:t>
      </w:r>
      <w:r w:rsidR="00EE362D">
        <w:t xml:space="preserve"> </w:t>
      </w:r>
      <w:r w:rsidRPr="00EE362D">
        <w:t>Victorian healthcare system.</w:t>
      </w:r>
    </w:p>
    <w:p w14:paraId="3FDF3285" w14:textId="3D0CC943" w:rsidR="004B7337" w:rsidRPr="004B7337" w:rsidRDefault="004B7337" w:rsidP="00641241">
      <w:pPr>
        <w:pStyle w:val="SCVbody"/>
        <w:keepNext/>
      </w:pPr>
      <w:r w:rsidRPr="004B7337">
        <w:t>This includes working across the sector</w:t>
      </w:r>
      <w:r>
        <w:t xml:space="preserve"> </w:t>
      </w:r>
      <w:r w:rsidRPr="004B7337">
        <w:t>to source clinical intelligence and provide</w:t>
      </w:r>
      <w:r>
        <w:t xml:space="preserve"> </w:t>
      </w:r>
      <w:r w:rsidRPr="004B7337">
        <w:t>local, regional and statewide monitoring</w:t>
      </w:r>
      <w:r>
        <w:t xml:space="preserve"> </w:t>
      </w:r>
      <w:r w:rsidRPr="004B7337">
        <w:t>of trends and risks. We use health</w:t>
      </w:r>
      <w:r>
        <w:t xml:space="preserve"> </w:t>
      </w:r>
      <w:r w:rsidRPr="004B7337">
        <w:t>service data, research, lived experience</w:t>
      </w:r>
      <w:r>
        <w:t xml:space="preserve"> </w:t>
      </w:r>
      <w:r w:rsidRPr="004B7337">
        <w:t>perspectives and insights from frontline</w:t>
      </w:r>
      <w:r>
        <w:t xml:space="preserve"> </w:t>
      </w:r>
      <w:r w:rsidRPr="004B7337">
        <w:t>workers to identify and share quality</w:t>
      </w:r>
      <w:r>
        <w:t xml:space="preserve"> </w:t>
      </w:r>
      <w:r w:rsidRPr="004B7337">
        <w:t>and safety opportunities.</w:t>
      </w:r>
    </w:p>
    <w:p w14:paraId="2F20B913" w14:textId="06E2ED71" w:rsidR="004B7337" w:rsidRPr="004B7337" w:rsidRDefault="004B7337" w:rsidP="004B7337">
      <w:pPr>
        <w:pStyle w:val="SCVbody"/>
      </w:pPr>
      <w:r w:rsidRPr="004B7337">
        <w:t>When partnering with Aboriginal</w:t>
      </w:r>
      <w:r>
        <w:t xml:space="preserve"> </w:t>
      </w:r>
      <w:r w:rsidRPr="004B7337">
        <w:t>and Torres Strait Islander people, we</w:t>
      </w:r>
      <w:r>
        <w:t xml:space="preserve"> </w:t>
      </w:r>
      <w:r w:rsidRPr="004B7337">
        <w:t>will honour their requirements for</w:t>
      </w:r>
      <w:r w:rsidR="00EE362D">
        <w:t xml:space="preserve"> </w:t>
      </w:r>
      <w:r w:rsidRPr="004B7337">
        <w:t>data sovereignty.</w:t>
      </w:r>
    </w:p>
    <w:p w14:paraId="5CD58CF5" w14:textId="616368E8" w:rsidR="00D735C2" w:rsidRDefault="004B7337" w:rsidP="004B7337">
      <w:pPr>
        <w:pStyle w:val="SCVbody"/>
      </w:pPr>
      <w:r w:rsidRPr="004B7337">
        <w:t>We translate insights into</w:t>
      </w:r>
      <w:r>
        <w:t xml:space="preserve"> </w:t>
      </w:r>
      <w:r w:rsidRPr="004B7337">
        <w:t>recommendations and work in</w:t>
      </w:r>
      <w:r w:rsidR="008017CB">
        <w:t xml:space="preserve"> </w:t>
      </w:r>
      <w:r w:rsidRPr="004B7337">
        <w:t>collaboration to deliver service and</w:t>
      </w:r>
      <w:r w:rsidR="008017CB">
        <w:t xml:space="preserve"> </w:t>
      </w:r>
      <w:r w:rsidRPr="004B7337">
        <w:t>system-wide improvements that</w:t>
      </w:r>
      <w:r w:rsidR="008017CB">
        <w:t xml:space="preserve"> </w:t>
      </w:r>
      <w:r w:rsidRPr="004B7337">
        <w:t>benefit all Victorians.</w:t>
      </w:r>
    </w:p>
    <w:p w14:paraId="5832E927" w14:textId="57B38BEA" w:rsidR="008017CB" w:rsidRPr="00F50A3F" w:rsidRDefault="00384C8D" w:rsidP="008017CB">
      <w:pPr>
        <w:pStyle w:val="SCVbody"/>
        <w:rPr>
          <w:rFonts w:ascii="Arial" w:hAnsi="Arial" w:cs="Arial"/>
          <w:b/>
        </w:rPr>
      </w:pPr>
      <w:r>
        <w:rPr>
          <w:rFonts w:ascii="Arial" w:hAnsi="Arial" w:cs="Arial"/>
          <w:b/>
        </w:rPr>
        <w:t>The</w:t>
      </w:r>
      <w:r w:rsidR="008017CB">
        <w:rPr>
          <w:rFonts w:ascii="Arial" w:hAnsi="Arial" w:cs="Arial"/>
          <w:b/>
        </w:rPr>
        <w:t xml:space="preserve"> </w:t>
      </w:r>
      <w:r w:rsidR="00D8625D" w:rsidRPr="00D8625D">
        <w:rPr>
          <w:rFonts w:ascii="Arial" w:hAnsi="Arial" w:cs="Arial"/>
          <w:b/>
          <w:i/>
          <w:iCs/>
        </w:rPr>
        <w:t>s</w:t>
      </w:r>
      <w:r w:rsidR="008017CB" w:rsidRPr="00C14D48">
        <w:rPr>
          <w:rFonts w:ascii="Arial" w:hAnsi="Arial" w:cs="Arial"/>
          <w:b/>
          <w:i/>
          <w:iCs/>
        </w:rPr>
        <w:t xml:space="preserve">trategic </w:t>
      </w:r>
      <w:r>
        <w:rPr>
          <w:rFonts w:ascii="Arial" w:hAnsi="Arial" w:cs="Arial"/>
          <w:b/>
          <w:i/>
          <w:iCs/>
        </w:rPr>
        <w:t>p</w:t>
      </w:r>
      <w:r w:rsidR="008017CB" w:rsidRPr="00C14D48">
        <w:rPr>
          <w:rFonts w:ascii="Arial" w:hAnsi="Arial" w:cs="Arial"/>
          <w:b/>
          <w:i/>
          <w:iCs/>
        </w:rPr>
        <w:t xml:space="preserve">lan </w:t>
      </w:r>
      <w:r w:rsidRPr="00C14D48">
        <w:rPr>
          <w:rFonts w:ascii="Arial" w:hAnsi="Arial" w:cs="Arial"/>
          <w:b/>
          <w:i/>
          <w:iCs/>
        </w:rPr>
        <w:t>2026–29</w:t>
      </w:r>
      <w:r>
        <w:rPr>
          <w:rFonts w:ascii="Arial" w:hAnsi="Arial" w:cs="Arial"/>
          <w:b/>
        </w:rPr>
        <w:t xml:space="preserve"> sets out our objectives to</w:t>
      </w:r>
      <w:r w:rsidR="008017CB" w:rsidRPr="00F50A3F">
        <w:rPr>
          <w:rFonts w:ascii="Arial" w:hAnsi="Arial" w:cs="Arial"/>
          <w:b/>
        </w:rPr>
        <w:t xml:space="preserve">: </w:t>
      </w:r>
    </w:p>
    <w:p w14:paraId="0C13E41D" w14:textId="2121FFBD" w:rsidR="003B6C4C" w:rsidRDefault="007F5772">
      <w:pPr>
        <w:pStyle w:val="SCVbullet1"/>
      </w:pPr>
      <w:r>
        <w:t>m</w:t>
      </w:r>
      <w:r w:rsidR="003B6C4C" w:rsidRPr="003B6C4C">
        <w:t>onitor system quality and safety performance using</w:t>
      </w:r>
      <w:r w:rsidR="003B6C4C">
        <w:t xml:space="preserve"> </w:t>
      </w:r>
      <w:r w:rsidR="003B6C4C" w:rsidRPr="003B6C4C">
        <w:t>a range of data types to identify, respond to and</w:t>
      </w:r>
      <w:r w:rsidR="003B6C4C">
        <w:t xml:space="preserve"> </w:t>
      </w:r>
      <w:r w:rsidR="003B6C4C" w:rsidRPr="003B6C4C">
        <w:t>intervene in service and system risks and trends</w:t>
      </w:r>
    </w:p>
    <w:p w14:paraId="19615546" w14:textId="715DF7B5" w:rsidR="00DF21BC" w:rsidRDefault="007F5772">
      <w:pPr>
        <w:pStyle w:val="SCVbullet1"/>
      </w:pPr>
      <w:r>
        <w:t>h</w:t>
      </w:r>
      <w:r w:rsidR="00DF21BC" w:rsidRPr="00DF21BC">
        <w:t>arness</w:t>
      </w:r>
      <w:r w:rsidR="00384C8D" w:rsidRPr="00DF21BC">
        <w:t xml:space="preserve"> </w:t>
      </w:r>
      <w:r w:rsidR="00DF21BC" w:rsidRPr="00DF21BC">
        <w:t>lived experience, frontline and systemwide</w:t>
      </w:r>
      <w:r w:rsidR="00DF21BC">
        <w:t xml:space="preserve"> </w:t>
      </w:r>
      <w:r w:rsidR="00DF21BC" w:rsidRPr="00DF21BC">
        <w:t>insights through strong partnerships with</w:t>
      </w:r>
      <w:r w:rsidR="00DF21BC">
        <w:t xml:space="preserve"> </w:t>
      </w:r>
      <w:r w:rsidR="00DF21BC" w:rsidRPr="00DF21BC">
        <w:t>stakeholders to strengthen healthcare for those</w:t>
      </w:r>
      <w:r w:rsidR="00DF21BC">
        <w:t xml:space="preserve"> </w:t>
      </w:r>
      <w:r w:rsidR="00DF21BC" w:rsidRPr="00DF21BC">
        <w:t>who use and work in it</w:t>
      </w:r>
    </w:p>
    <w:p w14:paraId="34737348" w14:textId="4C38A3F1" w:rsidR="00477165" w:rsidRDefault="007F5772">
      <w:pPr>
        <w:pStyle w:val="SCVbullet1"/>
      </w:pPr>
      <w:r>
        <w:t>t</w:t>
      </w:r>
      <w:r w:rsidR="00477165" w:rsidRPr="00477165">
        <w:t>ranslate</w:t>
      </w:r>
      <w:r w:rsidR="00384C8D" w:rsidRPr="00477165">
        <w:t xml:space="preserve"> </w:t>
      </w:r>
      <w:r w:rsidR="00477165" w:rsidRPr="00477165">
        <w:t>insights into system-wide learning and</w:t>
      </w:r>
      <w:r w:rsidR="00477165">
        <w:t xml:space="preserve"> </w:t>
      </w:r>
      <w:r w:rsidR="00477165" w:rsidRPr="00477165">
        <w:t>improvement, enabling findings and recommendations</w:t>
      </w:r>
      <w:r w:rsidR="00477165">
        <w:t xml:space="preserve"> </w:t>
      </w:r>
      <w:r w:rsidR="00477165" w:rsidRPr="00477165">
        <w:t>to be shared across Victoria</w:t>
      </w:r>
    </w:p>
    <w:p w14:paraId="01D5DECC" w14:textId="69CADD04" w:rsidR="00131ED9" w:rsidRDefault="007F5772">
      <w:pPr>
        <w:pStyle w:val="SCVbullet1"/>
      </w:pPr>
      <w:r>
        <w:t>s</w:t>
      </w:r>
      <w:r w:rsidR="00131ED9" w:rsidRPr="00131ED9">
        <w:t>upport the conduct of research, collaborate with</w:t>
      </w:r>
      <w:r w:rsidR="00131ED9">
        <w:t xml:space="preserve"> </w:t>
      </w:r>
      <w:r w:rsidR="00131ED9" w:rsidRPr="00131ED9">
        <w:t>registries and provide high-quality decision support</w:t>
      </w:r>
      <w:r w:rsidR="00131ED9">
        <w:t xml:space="preserve"> </w:t>
      </w:r>
      <w:r w:rsidR="00131ED9" w:rsidRPr="00131ED9">
        <w:t>tools accessed by clinicians at the point of care.</w:t>
      </w:r>
    </w:p>
    <w:p w14:paraId="7073D58C" w14:textId="55CB1E42" w:rsidR="008017CB" w:rsidRPr="00F50A3F" w:rsidRDefault="008017CB" w:rsidP="008017CB">
      <w:pPr>
        <w:pStyle w:val="SCVbody"/>
        <w:rPr>
          <w:rFonts w:ascii="Arial" w:hAnsi="Arial" w:cs="Arial"/>
        </w:rPr>
      </w:pPr>
      <w:r>
        <w:rPr>
          <w:rFonts w:ascii="Arial" w:hAnsi="Arial" w:cs="Arial"/>
          <w:b/>
        </w:rPr>
        <w:t>At the end of our 3</w:t>
      </w:r>
      <w:r w:rsidR="004E4C06">
        <w:rPr>
          <w:rFonts w:ascii="Arial" w:hAnsi="Arial" w:cs="Arial"/>
          <w:b/>
        </w:rPr>
        <w:t>-</w:t>
      </w:r>
      <w:r>
        <w:rPr>
          <w:rFonts w:ascii="Arial" w:hAnsi="Arial" w:cs="Arial"/>
          <w:b/>
        </w:rPr>
        <w:t xml:space="preserve">year </w:t>
      </w:r>
      <w:r w:rsidR="00D8625D">
        <w:rPr>
          <w:rFonts w:ascii="Arial" w:hAnsi="Arial" w:cs="Arial"/>
          <w:b/>
        </w:rPr>
        <w:t>s</w:t>
      </w:r>
      <w:r>
        <w:rPr>
          <w:rFonts w:ascii="Arial" w:hAnsi="Arial" w:cs="Arial"/>
          <w:b/>
        </w:rPr>
        <w:t xml:space="preserve">trategic </w:t>
      </w:r>
      <w:r w:rsidR="00D8625D">
        <w:rPr>
          <w:rFonts w:ascii="Arial" w:hAnsi="Arial" w:cs="Arial"/>
          <w:b/>
        </w:rPr>
        <w:t>p</w:t>
      </w:r>
      <w:r>
        <w:rPr>
          <w:rFonts w:ascii="Arial" w:hAnsi="Arial" w:cs="Arial"/>
          <w:b/>
        </w:rPr>
        <w:t>lan</w:t>
      </w:r>
      <w:r w:rsidR="004E4C06">
        <w:rPr>
          <w:rFonts w:ascii="Arial" w:hAnsi="Arial" w:cs="Arial"/>
          <w:b/>
        </w:rPr>
        <w:t>,</w:t>
      </w:r>
      <w:r>
        <w:rPr>
          <w:rFonts w:ascii="Arial" w:hAnsi="Arial" w:cs="Arial"/>
          <w:b/>
        </w:rPr>
        <w:t xml:space="preserve"> w</w:t>
      </w:r>
      <w:r w:rsidRPr="00F50A3F">
        <w:rPr>
          <w:rFonts w:ascii="Arial" w:hAnsi="Arial" w:cs="Arial"/>
          <w:b/>
        </w:rPr>
        <w:t>e’ll know our impact by</w:t>
      </w:r>
      <w:r>
        <w:rPr>
          <w:rFonts w:ascii="Arial" w:hAnsi="Arial" w:cs="Arial"/>
          <w:b/>
        </w:rPr>
        <w:t>:</w:t>
      </w:r>
      <w:r w:rsidRPr="00F50A3F">
        <w:rPr>
          <w:rFonts w:ascii="Arial" w:hAnsi="Arial" w:cs="Arial"/>
        </w:rPr>
        <w:t xml:space="preserve"> </w:t>
      </w:r>
      <w:r w:rsidRPr="00F50A3F">
        <w:rPr>
          <w:rFonts w:ascii="Arial" w:hAnsi="Arial" w:cs="Arial"/>
          <w:color w:val="C00000"/>
        </w:rPr>
        <w:t xml:space="preserve"> </w:t>
      </w:r>
    </w:p>
    <w:p w14:paraId="26D44A4E" w14:textId="2AF22EB4" w:rsidR="008017CB" w:rsidRDefault="00384C8D" w:rsidP="008017CB">
      <w:pPr>
        <w:pStyle w:val="SCVbullet1"/>
      </w:pPr>
      <w:r>
        <w:t>i</w:t>
      </w:r>
      <w:r w:rsidR="00131ED9">
        <w:t>mprovements in patient experience</w:t>
      </w:r>
    </w:p>
    <w:p w14:paraId="2A515B34" w14:textId="4A6CEB8D" w:rsidR="00131ED9" w:rsidRDefault="00384C8D">
      <w:pPr>
        <w:pStyle w:val="SCVbullet1"/>
      </w:pPr>
      <w:r>
        <w:t>i</w:t>
      </w:r>
      <w:r w:rsidR="000F2120" w:rsidRPr="000F2120">
        <w:t>mproved capability in health services</w:t>
      </w:r>
      <w:r w:rsidR="005C5B2A">
        <w:t xml:space="preserve"> </w:t>
      </w:r>
      <w:r w:rsidR="000F2120" w:rsidRPr="000F2120">
        <w:t>to enable quality and safety</w:t>
      </w:r>
    </w:p>
    <w:p w14:paraId="4D25625F" w14:textId="0C4D4CE6" w:rsidR="000F2120" w:rsidRDefault="00384C8D">
      <w:pPr>
        <w:pStyle w:val="SCVbullet1"/>
      </w:pPr>
      <w:r>
        <w:t>d</w:t>
      </w:r>
      <w:r w:rsidR="000F2120" w:rsidRPr="000F2120">
        <w:t>elivery of resources and tools informed</w:t>
      </w:r>
      <w:r w:rsidR="005C5B2A">
        <w:t xml:space="preserve"> </w:t>
      </w:r>
      <w:r w:rsidR="000F2120" w:rsidRPr="000F2120">
        <w:t>by user and sector feedback to support</w:t>
      </w:r>
      <w:r w:rsidR="005C5B2A">
        <w:t xml:space="preserve"> </w:t>
      </w:r>
      <w:r w:rsidR="000F2120" w:rsidRPr="000F2120">
        <w:t>national reforms in clinical research</w:t>
      </w:r>
    </w:p>
    <w:p w14:paraId="0E6C3B2B" w14:textId="27E15A48" w:rsidR="005C5B2A" w:rsidRDefault="00384C8D">
      <w:pPr>
        <w:pStyle w:val="SCVbullet1"/>
      </w:pPr>
      <w:r>
        <w:t>e</w:t>
      </w:r>
      <w:r w:rsidRPr="005C5B2A">
        <w:t xml:space="preserve">ngagement </w:t>
      </w:r>
      <w:r w:rsidR="005C5B2A" w:rsidRPr="005C5B2A">
        <w:t>with key stakeholders,</w:t>
      </w:r>
      <w:r w:rsidR="005C5B2A">
        <w:t xml:space="preserve"> </w:t>
      </w:r>
      <w:r w:rsidR="005C5B2A" w:rsidRPr="005C5B2A">
        <w:t>including people with lived experience,</w:t>
      </w:r>
      <w:r w:rsidR="005C5B2A">
        <w:t xml:space="preserve"> </w:t>
      </w:r>
      <w:r w:rsidR="005C5B2A" w:rsidRPr="005C5B2A">
        <w:t>to harness insights.</w:t>
      </w:r>
    </w:p>
    <w:p w14:paraId="7308EABF" w14:textId="22184B30" w:rsidR="002F5F2A" w:rsidRDefault="002F5F2A">
      <w:r>
        <w:br w:type="page"/>
      </w:r>
    </w:p>
    <w:p w14:paraId="3DA2BD9C" w14:textId="505287D7" w:rsidR="00136257" w:rsidRPr="00F375C0" w:rsidRDefault="00136257" w:rsidP="00794F6B">
      <w:pPr>
        <w:pStyle w:val="Heading3"/>
      </w:pPr>
      <w:r w:rsidRPr="00F375C0">
        <w:t>Key initiatives</w:t>
      </w:r>
    </w:p>
    <w:tbl>
      <w:tblPr>
        <w:tblStyle w:val="TableGrid"/>
        <w:tblW w:w="0" w:type="auto"/>
        <w:tblCellMar>
          <w:top w:w="57" w:type="dxa"/>
          <w:bottom w:w="57" w:type="dxa"/>
        </w:tblCellMar>
        <w:tblLook w:val="04A0" w:firstRow="1" w:lastRow="0" w:firstColumn="1" w:lastColumn="0" w:noHBand="0" w:noVBand="1"/>
      </w:tblPr>
      <w:tblGrid>
        <w:gridCol w:w="2268"/>
        <w:gridCol w:w="4190"/>
        <w:gridCol w:w="3746"/>
      </w:tblGrid>
      <w:tr w:rsidR="00580E96" w14:paraId="6A450E5D" w14:textId="77777777" w:rsidTr="00580E96">
        <w:trPr>
          <w:cnfStyle w:val="100000000000" w:firstRow="1" w:lastRow="0" w:firstColumn="0" w:lastColumn="0" w:oddVBand="0" w:evenVBand="0" w:oddHBand="0" w:evenHBand="0" w:firstRowFirstColumn="0" w:firstRowLastColumn="0" w:lastRowFirstColumn="0" w:lastRowLastColumn="0"/>
        </w:trPr>
        <w:tc>
          <w:tcPr>
            <w:tcW w:w="2268" w:type="dxa"/>
            <w:tcBorders>
              <w:top w:val="single" w:sz="4" w:space="0" w:color="auto"/>
              <w:right w:val="single" w:sz="4" w:space="0" w:color="auto"/>
            </w:tcBorders>
          </w:tcPr>
          <w:p w14:paraId="693CA48F" w14:textId="1413BA4D" w:rsidR="00580E96" w:rsidRDefault="00580E96" w:rsidP="00794F6B">
            <w:pPr>
              <w:pStyle w:val="SCVbody"/>
              <w:spacing w:beforeLines="60" w:before="144" w:afterLines="80" w:after="192"/>
              <w:rPr>
                <w:b/>
                <w:bCs/>
              </w:rPr>
            </w:pPr>
            <w:r>
              <w:rPr>
                <w:b/>
                <w:bCs/>
              </w:rPr>
              <w:t>Our focus</w:t>
            </w:r>
          </w:p>
        </w:tc>
        <w:tc>
          <w:tcPr>
            <w:tcW w:w="4190" w:type="dxa"/>
            <w:tcBorders>
              <w:top w:val="single" w:sz="4" w:space="0" w:color="auto"/>
              <w:right w:val="single" w:sz="4" w:space="0" w:color="auto"/>
            </w:tcBorders>
          </w:tcPr>
          <w:p w14:paraId="6783DBE1" w14:textId="06904F3E" w:rsidR="00580E96" w:rsidRPr="006E3DFA" w:rsidRDefault="00580E96" w:rsidP="00794F6B">
            <w:pPr>
              <w:pStyle w:val="SCVbody"/>
              <w:spacing w:beforeLines="60" w:before="144" w:afterLines="80" w:after="192"/>
              <w:rPr>
                <w:b/>
                <w:bCs/>
              </w:rPr>
            </w:pPr>
            <w:r>
              <w:rPr>
                <w:b/>
                <w:bCs/>
              </w:rPr>
              <w:t>During 2026–27 we will:</w:t>
            </w:r>
          </w:p>
        </w:tc>
        <w:tc>
          <w:tcPr>
            <w:tcW w:w="3746" w:type="dxa"/>
            <w:tcBorders>
              <w:top w:val="single" w:sz="4" w:space="0" w:color="auto"/>
              <w:left w:val="single" w:sz="4" w:space="0" w:color="auto"/>
            </w:tcBorders>
          </w:tcPr>
          <w:p w14:paraId="48972A78" w14:textId="21728A01" w:rsidR="00580E96" w:rsidRPr="006E3DFA" w:rsidRDefault="00580E96" w:rsidP="00794F6B">
            <w:pPr>
              <w:pStyle w:val="SCVbody"/>
              <w:spacing w:beforeLines="60" w:before="144" w:afterLines="80" w:after="192"/>
              <w:rPr>
                <w:b/>
                <w:bCs/>
              </w:rPr>
            </w:pPr>
            <w:r w:rsidRPr="008712DB">
              <w:rPr>
                <w:b/>
                <w:bCs/>
              </w:rPr>
              <w:t xml:space="preserve">Aligned </w:t>
            </w:r>
            <w:r>
              <w:rPr>
                <w:b/>
                <w:bCs/>
              </w:rPr>
              <w:t>objectives</w:t>
            </w:r>
          </w:p>
        </w:tc>
      </w:tr>
      <w:tr w:rsidR="00580E96" w:rsidRPr="002E0137" w14:paraId="4C8D76DD" w14:textId="77777777" w:rsidTr="00580E96">
        <w:tc>
          <w:tcPr>
            <w:tcW w:w="2268" w:type="dxa"/>
            <w:tcBorders>
              <w:bottom w:val="single" w:sz="2" w:space="0" w:color="80808B"/>
              <w:right w:val="single" w:sz="4" w:space="0" w:color="auto"/>
            </w:tcBorders>
          </w:tcPr>
          <w:p w14:paraId="5E4B90D5" w14:textId="77777777" w:rsidR="00580E96" w:rsidRDefault="00580E96" w:rsidP="00580E96">
            <w:pPr>
              <w:pStyle w:val="SCVbody"/>
              <w:spacing w:beforeLines="60" w:before="144" w:afterLines="80" w:after="192"/>
              <w:rPr>
                <w:b/>
                <w:bCs/>
                <w:sz w:val="20"/>
                <w:szCs w:val="20"/>
              </w:rPr>
            </w:pPr>
            <w:r w:rsidRPr="008375D2">
              <w:rPr>
                <w:b/>
                <w:bCs/>
                <w:sz w:val="20"/>
                <w:szCs w:val="20"/>
              </w:rPr>
              <w:t>Sharing learning from patient harm</w:t>
            </w:r>
          </w:p>
          <w:p w14:paraId="49CC2872" w14:textId="77777777" w:rsidR="00580E96" w:rsidRPr="008375D2" w:rsidRDefault="00580E96" w:rsidP="00794F6B">
            <w:pPr>
              <w:pStyle w:val="SCVbody"/>
              <w:spacing w:beforeLines="60" w:before="144" w:afterLines="80" w:after="192"/>
              <w:rPr>
                <w:b/>
                <w:bCs/>
              </w:rPr>
            </w:pPr>
          </w:p>
        </w:tc>
        <w:tc>
          <w:tcPr>
            <w:tcW w:w="4190" w:type="dxa"/>
            <w:tcBorders>
              <w:bottom w:val="single" w:sz="2" w:space="0" w:color="80808B"/>
              <w:right w:val="single" w:sz="4" w:space="0" w:color="auto"/>
            </w:tcBorders>
          </w:tcPr>
          <w:p w14:paraId="50772DA6" w14:textId="078345ED" w:rsidR="00580E96" w:rsidRPr="00491B1F" w:rsidRDefault="00580E96" w:rsidP="00794F6B">
            <w:pPr>
              <w:pStyle w:val="SCVbody"/>
              <w:spacing w:beforeLines="60" w:before="144" w:afterLines="80" w:after="192"/>
              <w:rPr>
                <w:sz w:val="20"/>
                <w:szCs w:val="20"/>
              </w:rPr>
            </w:pPr>
            <w:r w:rsidRPr="00336D6D">
              <w:rPr>
                <w:sz w:val="20"/>
                <w:szCs w:val="20"/>
              </w:rPr>
              <w:t>Publi</w:t>
            </w:r>
            <w:r>
              <w:rPr>
                <w:sz w:val="20"/>
                <w:szCs w:val="20"/>
              </w:rPr>
              <w:t>sh</w:t>
            </w:r>
            <w:r w:rsidRPr="00336D6D">
              <w:rPr>
                <w:sz w:val="20"/>
                <w:szCs w:val="20"/>
              </w:rPr>
              <w:t xml:space="preserve"> the </w:t>
            </w:r>
            <w:r w:rsidRPr="00794F6B">
              <w:rPr>
                <w:i/>
                <w:iCs/>
                <w:sz w:val="20"/>
                <w:szCs w:val="20"/>
                <w:lang w:val="en-US"/>
              </w:rPr>
              <w:t>Sentinel Event Annual Report 2025–26</w:t>
            </w:r>
            <w:r>
              <w:rPr>
                <w:sz w:val="20"/>
                <w:szCs w:val="20"/>
                <w:lang w:val="en-US"/>
              </w:rPr>
              <w:t xml:space="preserve"> and translate insights </w:t>
            </w:r>
            <w:r w:rsidRPr="00491B1F">
              <w:rPr>
                <w:sz w:val="20"/>
                <w:szCs w:val="20"/>
              </w:rPr>
              <w:t>from sentinel events and other quality and safety intelligence sources into system-wide learning, improvement priorities, and interventions to reduce harm and improve care</w:t>
            </w:r>
            <w:r>
              <w:rPr>
                <w:sz w:val="20"/>
                <w:szCs w:val="20"/>
              </w:rPr>
              <w:t>.</w:t>
            </w:r>
          </w:p>
        </w:tc>
        <w:tc>
          <w:tcPr>
            <w:tcW w:w="3746" w:type="dxa"/>
            <w:tcBorders>
              <w:left w:val="single" w:sz="4" w:space="0" w:color="auto"/>
              <w:bottom w:val="single" w:sz="2" w:space="0" w:color="80808B"/>
            </w:tcBorders>
          </w:tcPr>
          <w:p w14:paraId="071F0848" w14:textId="56A3ACD2" w:rsidR="00580E96" w:rsidRPr="002E0137" w:rsidRDefault="00580E96" w:rsidP="00794F6B">
            <w:pPr>
              <w:pStyle w:val="SCVbullet1"/>
              <w:spacing w:beforeLines="60" w:before="144" w:afterLines="80" w:after="192"/>
              <w:rPr>
                <w:sz w:val="20"/>
                <w:szCs w:val="20"/>
              </w:rPr>
            </w:pPr>
            <w:r w:rsidRPr="002E0137">
              <w:rPr>
                <w:sz w:val="20"/>
                <w:szCs w:val="20"/>
              </w:rPr>
              <w:t>Translate insights into system-wide learning and improvement, enabling findings and recommendations to be shared across Victoria.</w:t>
            </w:r>
          </w:p>
        </w:tc>
      </w:tr>
      <w:tr w:rsidR="00580E96" w:rsidRPr="002E0137" w14:paraId="2CED321A" w14:textId="77777777" w:rsidTr="00580E96">
        <w:tc>
          <w:tcPr>
            <w:tcW w:w="2268" w:type="dxa"/>
            <w:tcBorders>
              <w:bottom w:val="single" w:sz="2" w:space="0" w:color="80808B"/>
              <w:right w:val="single" w:sz="4" w:space="0" w:color="auto"/>
            </w:tcBorders>
          </w:tcPr>
          <w:p w14:paraId="0C0CD087" w14:textId="77777777" w:rsidR="00580E96" w:rsidRPr="005924E8" w:rsidRDefault="00580E96" w:rsidP="00580E96">
            <w:pPr>
              <w:pStyle w:val="SCVbody"/>
              <w:spacing w:beforeLines="60" w:before="144" w:afterLines="80" w:after="192"/>
              <w:rPr>
                <w:b/>
                <w:bCs/>
                <w:sz w:val="20"/>
                <w:szCs w:val="20"/>
              </w:rPr>
            </w:pPr>
            <w:r w:rsidRPr="005924E8">
              <w:rPr>
                <w:b/>
                <w:bCs/>
                <w:sz w:val="20"/>
                <w:szCs w:val="20"/>
              </w:rPr>
              <w:t xml:space="preserve">SCV </w:t>
            </w:r>
            <w:r>
              <w:rPr>
                <w:b/>
                <w:bCs/>
                <w:sz w:val="20"/>
                <w:szCs w:val="20"/>
              </w:rPr>
              <w:t>p</w:t>
            </w:r>
            <w:r w:rsidRPr="005924E8">
              <w:rPr>
                <w:b/>
                <w:bCs/>
                <w:sz w:val="20"/>
                <w:szCs w:val="20"/>
              </w:rPr>
              <w:t xml:space="preserve">erformance </w:t>
            </w:r>
            <w:r>
              <w:rPr>
                <w:b/>
                <w:bCs/>
                <w:sz w:val="20"/>
                <w:szCs w:val="20"/>
              </w:rPr>
              <w:t>m</w:t>
            </w:r>
            <w:r w:rsidRPr="005924E8">
              <w:rPr>
                <w:b/>
                <w:bCs/>
                <w:sz w:val="20"/>
                <w:szCs w:val="20"/>
              </w:rPr>
              <w:t xml:space="preserve">onitoring </w:t>
            </w:r>
            <w:r>
              <w:rPr>
                <w:b/>
                <w:bCs/>
                <w:sz w:val="20"/>
                <w:szCs w:val="20"/>
              </w:rPr>
              <w:t>p</w:t>
            </w:r>
            <w:r w:rsidRPr="005924E8">
              <w:rPr>
                <w:b/>
                <w:bCs/>
                <w:sz w:val="20"/>
                <w:szCs w:val="20"/>
              </w:rPr>
              <w:t>rocess</w:t>
            </w:r>
          </w:p>
          <w:p w14:paraId="0F5112FD" w14:textId="77777777" w:rsidR="00580E96" w:rsidRPr="005924E8" w:rsidRDefault="00580E96" w:rsidP="00794F6B">
            <w:pPr>
              <w:pStyle w:val="SCVbody"/>
              <w:spacing w:beforeLines="60" w:before="144" w:afterLines="80" w:after="192"/>
              <w:rPr>
                <w:b/>
                <w:bCs/>
              </w:rPr>
            </w:pPr>
          </w:p>
        </w:tc>
        <w:tc>
          <w:tcPr>
            <w:tcW w:w="4190" w:type="dxa"/>
            <w:tcBorders>
              <w:bottom w:val="single" w:sz="2" w:space="0" w:color="80808B"/>
              <w:right w:val="single" w:sz="4" w:space="0" w:color="auto"/>
            </w:tcBorders>
          </w:tcPr>
          <w:p w14:paraId="5ABE8E2A" w14:textId="488EC4BB" w:rsidR="00580E96" w:rsidRPr="005924E8" w:rsidRDefault="00580E96" w:rsidP="00794F6B">
            <w:pPr>
              <w:pStyle w:val="SCVbody"/>
              <w:spacing w:beforeLines="60" w:before="144" w:afterLines="80" w:after="192"/>
              <w:rPr>
                <w:sz w:val="20"/>
                <w:szCs w:val="20"/>
              </w:rPr>
            </w:pPr>
            <w:r>
              <w:rPr>
                <w:sz w:val="20"/>
                <w:szCs w:val="20"/>
              </w:rPr>
              <w:t xml:space="preserve">Strengthen </w:t>
            </w:r>
            <w:r w:rsidRPr="005924E8">
              <w:rPr>
                <w:sz w:val="20"/>
                <w:szCs w:val="20"/>
              </w:rPr>
              <w:t>SCV’s performance monitoring systems and processes</w:t>
            </w:r>
            <w:r>
              <w:rPr>
                <w:sz w:val="20"/>
                <w:szCs w:val="20"/>
              </w:rPr>
              <w:t>, including</w:t>
            </w:r>
            <w:r w:rsidRPr="005924E8">
              <w:rPr>
                <w:sz w:val="20"/>
                <w:szCs w:val="20"/>
              </w:rPr>
              <w:t xml:space="preserve"> through the establishment of </w:t>
            </w:r>
            <w:r>
              <w:rPr>
                <w:sz w:val="20"/>
                <w:szCs w:val="20"/>
              </w:rPr>
              <w:t xml:space="preserve">a </w:t>
            </w:r>
            <w:r w:rsidRPr="005924E8">
              <w:rPr>
                <w:sz w:val="20"/>
                <w:szCs w:val="20"/>
              </w:rPr>
              <w:t xml:space="preserve">SCV data workplan to ensure effective data and intelligence use to identify, monitor and respond to statewide health system </w:t>
            </w:r>
            <w:r>
              <w:rPr>
                <w:sz w:val="20"/>
                <w:szCs w:val="20"/>
              </w:rPr>
              <w:t>q</w:t>
            </w:r>
            <w:r w:rsidRPr="005924E8">
              <w:rPr>
                <w:sz w:val="20"/>
                <w:szCs w:val="20"/>
              </w:rPr>
              <w:t xml:space="preserve">uality and </w:t>
            </w:r>
            <w:r>
              <w:rPr>
                <w:sz w:val="20"/>
                <w:szCs w:val="20"/>
              </w:rPr>
              <w:t>s</w:t>
            </w:r>
            <w:r w:rsidRPr="005924E8">
              <w:rPr>
                <w:sz w:val="20"/>
                <w:szCs w:val="20"/>
              </w:rPr>
              <w:t>afety challenges.</w:t>
            </w:r>
          </w:p>
        </w:tc>
        <w:tc>
          <w:tcPr>
            <w:tcW w:w="3746" w:type="dxa"/>
            <w:tcBorders>
              <w:left w:val="single" w:sz="4" w:space="0" w:color="auto"/>
              <w:bottom w:val="single" w:sz="2" w:space="0" w:color="80808B"/>
            </w:tcBorders>
          </w:tcPr>
          <w:p w14:paraId="4CB6E16B" w14:textId="52914CE3" w:rsidR="00580E96" w:rsidRPr="00E73FF4" w:rsidRDefault="00580E96" w:rsidP="00794F6B">
            <w:pPr>
              <w:pStyle w:val="SCVbullet1"/>
              <w:spacing w:beforeLines="60" w:before="144" w:afterLines="80" w:after="192"/>
            </w:pPr>
            <w:r w:rsidRPr="00D53F03">
              <w:rPr>
                <w:sz w:val="20"/>
                <w:szCs w:val="20"/>
              </w:rPr>
              <w:t>Monitor system quality and safety performance using a range of data types to identify, respond to and intervene in service and system risks and trends.</w:t>
            </w:r>
          </w:p>
          <w:p w14:paraId="5B60D58C" w14:textId="045C6FA5" w:rsidR="00580E96" w:rsidRPr="00E73FF4" w:rsidRDefault="00580E96" w:rsidP="00794F6B">
            <w:pPr>
              <w:pStyle w:val="SCVbullet1"/>
              <w:spacing w:beforeLines="60" w:before="144" w:afterLines="80" w:after="192"/>
              <w:rPr>
                <w:sz w:val="20"/>
                <w:szCs w:val="20"/>
              </w:rPr>
            </w:pPr>
            <w:r w:rsidRPr="00E73FF4">
              <w:rPr>
                <w:sz w:val="20"/>
                <w:szCs w:val="20"/>
              </w:rPr>
              <w:t>Translate insights into system-wide learning and improvement, enabling findings and recommendations to be shared across Victoria.</w:t>
            </w:r>
          </w:p>
        </w:tc>
      </w:tr>
      <w:tr w:rsidR="00580E96" w:rsidRPr="00DA0CFA" w14:paraId="70E60859" w14:textId="77777777" w:rsidTr="00580E96">
        <w:tc>
          <w:tcPr>
            <w:tcW w:w="2268" w:type="dxa"/>
            <w:tcBorders>
              <w:bottom w:val="single" w:sz="2" w:space="0" w:color="80808B"/>
              <w:right w:val="single" w:sz="4" w:space="0" w:color="auto"/>
            </w:tcBorders>
          </w:tcPr>
          <w:p w14:paraId="577866EE" w14:textId="77777777" w:rsidR="00580E96" w:rsidRPr="00435CE3" w:rsidRDefault="00580E96" w:rsidP="00580E96">
            <w:pPr>
              <w:pStyle w:val="SCVbody"/>
              <w:spacing w:beforeLines="60" w:before="144" w:afterLines="80" w:after="192"/>
              <w:rPr>
                <w:b/>
                <w:bCs/>
                <w:sz w:val="20"/>
                <w:szCs w:val="20"/>
              </w:rPr>
            </w:pPr>
            <w:r w:rsidRPr="00435CE3">
              <w:rPr>
                <w:b/>
                <w:bCs/>
                <w:sz w:val="20"/>
                <w:szCs w:val="20"/>
              </w:rPr>
              <w:t xml:space="preserve">VPCC Working Group supporting </w:t>
            </w:r>
            <w:r>
              <w:rPr>
                <w:b/>
                <w:bCs/>
                <w:sz w:val="20"/>
                <w:szCs w:val="20"/>
              </w:rPr>
              <w:t>g</w:t>
            </w:r>
            <w:r w:rsidRPr="00435CE3">
              <w:rPr>
                <w:b/>
                <w:bCs/>
                <w:sz w:val="20"/>
                <w:szCs w:val="20"/>
              </w:rPr>
              <w:t xml:space="preserve">ynaecological </w:t>
            </w:r>
            <w:r>
              <w:rPr>
                <w:b/>
                <w:bCs/>
                <w:sz w:val="20"/>
                <w:szCs w:val="20"/>
              </w:rPr>
              <w:t>p</w:t>
            </w:r>
            <w:r w:rsidRPr="00435CE3">
              <w:rPr>
                <w:b/>
                <w:bCs/>
                <w:sz w:val="20"/>
                <w:szCs w:val="20"/>
              </w:rPr>
              <w:t>ractices</w:t>
            </w:r>
          </w:p>
          <w:p w14:paraId="399071A9" w14:textId="77777777" w:rsidR="00580E96" w:rsidRPr="00435CE3" w:rsidRDefault="00580E96" w:rsidP="00794F6B">
            <w:pPr>
              <w:pStyle w:val="SCVbody"/>
              <w:spacing w:beforeLines="60" w:before="144" w:afterLines="80" w:after="192"/>
              <w:rPr>
                <w:b/>
                <w:bCs/>
              </w:rPr>
            </w:pPr>
          </w:p>
        </w:tc>
        <w:tc>
          <w:tcPr>
            <w:tcW w:w="4190" w:type="dxa"/>
            <w:tcBorders>
              <w:bottom w:val="single" w:sz="2" w:space="0" w:color="80808B"/>
              <w:right w:val="single" w:sz="4" w:space="0" w:color="auto"/>
            </w:tcBorders>
          </w:tcPr>
          <w:p w14:paraId="67ED9ED0" w14:textId="6A520FE4" w:rsidR="00580E96" w:rsidRPr="007E565D" w:rsidRDefault="00580E96" w:rsidP="00794F6B">
            <w:pPr>
              <w:pStyle w:val="SCVbody"/>
              <w:spacing w:beforeLines="60" w:before="144" w:afterLines="80" w:after="192"/>
              <w:rPr>
                <w:sz w:val="20"/>
                <w:szCs w:val="20"/>
              </w:rPr>
            </w:pPr>
            <w:r w:rsidRPr="00B16C88">
              <w:rPr>
                <w:sz w:val="20"/>
                <w:szCs w:val="20"/>
              </w:rPr>
              <w:t>Identify system-level patterns of care and variation in clinical practice through a review of billing practices</w:t>
            </w:r>
            <w:r>
              <w:rPr>
                <w:sz w:val="20"/>
                <w:szCs w:val="20"/>
              </w:rPr>
              <w:t xml:space="preserve"> </w:t>
            </w:r>
            <w:r w:rsidRPr="00506036">
              <w:rPr>
                <w:sz w:val="20"/>
                <w:szCs w:val="20"/>
              </w:rPr>
              <w:t xml:space="preserve">relating to pelvic pain, laparoscopy and endometrial surgery across Victorian public and private hospitals. </w:t>
            </w:r>
          </w:p>
        </w:tc>
        <w:tc>
          <w:tcPr>
            <w:tcW w:w="3746" w:type="dxa"/>
            <w:tcBorders>
              <w:left w:val="single" w:sz="4" w:space="0" w:color="auto"/>
              <w:bottom w:val="single" w:sz="2" w:space="0" w:color="80808B"/>
            </w:tcBorders>
          </w:tcPr>
          <w:p w14:paraId="21F28BB3" w14:textId="64E92997" w:rsidR="00580E96" w:rsidRPr="00DA0CFA" w:rsidRDefault="00580E96" w:rsidP="00DA0CFA">
            <w:pPr>
              <w:pStyle w:val="SCVbullet1"/>
              <w:rPr>
                <w:sz w:val="20"/>
                <w:szCs w:val="20"/>
              </w:rPr>
            </w:pPr>
            <w:r w:rsidRPr="00DA0CFA">
              <w:rPr>
                <w:sz w:val="20"/>
                <w:szCs w:val="20"/>
              </w:rPr>
              <w:t>Translate insights into system-wide learning and improvement, enabling findings and recommendations to be shared across Victoria.</w:t>
            </w:r>
          </w:p>
        </w:tc>
      </w:tr>
      <w:tr w:rsidR="00580E96" w14:paraId="519F06D3" w14:textId="77777777" w:rsidTr="00580E96">
        <w:tc>
          <w:tcPr>
            <w:tcW w:w="2268" w:type="dxa"/>
            <w:tcBorders>
              <w:bottom w:val="single" w:sz="4" w:space="0" w:color="auto"/>
              <w:right w:val="single" w:sz="4" w:space="0" w:color="auto"/>
            </w:tcBorders>
          </w:tcPr>
          <w:p w14:paraId="1612ABB5" w14:textId="77777777" w:rsidR="00580E96" w:rsidRPr="00CE6CB8" w:rsidRDefault="00580E96" w:rsidP="00580E96">
            <w:pPr>
              <w:pStyle w:val="SCVbody"/>
              <w:spacing w:beforeLines="60" w:before="144" w:afterLines="80" w:after="192"/>
              <w:rPr>
                <w:b/>
                <w:bCs/>
                <w:sz w:val="20"/>
                <w:szCs w:val="20"/>
              </w:rPr>
            </w:pPr>
            <w:r>
              <w:rPr>
                <w:b/>
                <w:bCs/>
                <w:sz w:val="20"/>
                <w:szCs w:val="20"/>
              </w:rPr>
              <w:t>Consultative councils</w:t>
            </w:r>
          </w:p>
          <w:p w14:paraId="3D193AF0" w14:textId="77777777" w:rsidR="00580E96" w:rsidRDefault="00580E96" w:rsidP="00794F6B">
            <w:pPr>
              <w:pStyle w:val="SCVbody"/>
              <w:spacing w:beforeLines="60" w:before="144" w:afterLines="80" w:after="192"/>
              <w:rPr>
                <w:b/>
                <w:bCs/>
              </w:rPr>
            </w:pPr>
          </w:p>
        </w:tc>
        <w:tc>
          <w:tcPr>
            <w:tcW w:w="4190" w:type="dxa"/>
            <w:tcBorders>
              <w:bottom w:val="single" w:sz="4" w:space="0" w:color="auto"/>
              <w:right w:val="single" w:sz="4" w:space="0" w:color="auto"/>
            </w:tcBorders>
          </w:tcPr>
          <w:p w14:paraId="43DB329F" w14:textId="61E68B2C" w:rsidR="00580E96" w:rsidRPr="007E565D" w:rsidRDefault="00580E96" w:rsidP="00794F6B">
            <w:pPr>
              <w:pStyle w:val="SCVbody"/>
              <w:spacing w:beforeLines="60" w:before="144" w:afterLines="80" w:after="192"/>
              <w:rPr>
                <w:sz w:val="20"/>
                <w:szCs w:val="20"/>
              </w:rPr>
            </w:pPr>
            <w:r>
              <w:rPr>
                <w:sz w:val="20"/>
                <w:szCs w:val="20"/>
              </w:rPr>
              <w:t>W</w:t>
            </w:r>
            <w:r w:rsidRPr="00CE6CB8">
              <w:rPr>
                <w:sz w:val="20"/>
                <w:szCs w:val="20"/>
              </w:rPr>
              <w:t>ork with the V</w:t>
            </w:r>
            <w:r>
              <w:rPr>
                <w:sz w:val="20"/>
                <w:szCs w:val="20"/>
              </w:rPr>
              <w:t>PCC</w:t>
            </w:r>
            <w:r w:rsidRPr="00CE6CB8">
              <w:rPr>
                <w:sz w:val="20"/>
                <w:szCs w:val="20"/>
              </w:rPr>
              <w:t xml:space="preserve"> and C</w:t>
            </w:r>
            <w:r>
              <w:rPr>
                <w:sz w:val="20"/>
                <w:szCs w:val="20"/>
              </w:rPr>
              <w:t>COPMM</w:t>
            </w:r>
            <w:r w:rsidRPr="00CE6CB8">
              <w:rPr>
                <w:sz w:val="20"/>
                <w:szCs w:val="20"/>
              </w:rPr>
              <w:t xml:space="preserve"> on legislative reform and alignment of their approaches and practices with SCV’s ways of working.</w:t>
            </w:r>
          </w:p>
        </w:tc>
        <w:tc>
          <w:tcPr>
            <w:tcW w:w="3746" w:type="dxa"/>
            <w:tcBorders>
              <w:left w:val="single" w:sz="4" w:space="0" w:color="auto"/>
              <w:bottom w:val="single" w:sz="4" w:space="0" w:color="auto"/>
            </w:tcBorders>
          </w:tcPr>
          <w:p w14:paraId="4B31D401" w14:textId="6900101F" w:rsidR="00580E96" w:rsidRPr="00F85278" w:rsidRDefault="00580E96" w:rsidP="00794F6B">
            <w:pPr>
              <w:pStyle w:val="SCVbullet1"/>
              <w:spacing w:beforeLines="60" w:before="144" w:afterLines="80" w:after="192"/>
              <w:rPr>
                <w:sz w:val="20"/>
                <w:szCs w:val="20"/>
              </w:rPr>
            </w:pPr>
            <w:r w:rsidRPr="00F85278">
              <w:rPr>
                <w:sz w:val="20"/>
                <w:szCs w:val="20"/>
              </w:rPr>
              <w:t>Translate insights into system-wide learning and improvement, enabling findings and recommendations to be shared across Victoria.</w:t>
            </w:r>
          </w:p>
        </w:tc>
      </w:tr>
    </w:tbl>
    <w:p w14:paraId="573E1E11" w14:textId="77777777" w:rsidR="00384C8D" w:rsidRDefault="00384C8D">
      <w:pPr>
        <w:rPr>
          <w:b/>
          <w:bCs/>
          <w:sz w:val="36"/>
          <w:szCs w:val="36"/>
        </w:rPr>
      </w:pPr>
      <w:r>
        <w:rPr>
          <w:b/>
          <w:bCs/>
          <w:sz w:val="36"/>
          <w:szCs w:val="36"/>
        </w:rPr>
        <w:br w:type="page"/>
      </w:r>
    </w:p>
    <w:p w14:paraId="111BB868" w14:textId="16084B51" w:rsidR="003C1D91" w:rsidRPr="00D85C86" w:rsidRDefault="003C1D91" w:rsidP="00090DAC">
      <w:pPr>
        <w:pStyle w:val="Heading2"/>
      </w:pPr>
      <w:r w:rsidRPr="00487F55">
        <w:t>Improvement</w:t>
      </w:r>
    </w:p>
    <w:p w14:paraId="66646046" w14:textId="29238820" w:rsidR="008712DB" w:rsidRPr="008712DB" w:rsidRDefault="008712DB" w:rsidP="008712DB">
      <w:pPr>
        <w:pStyle w:val="SCVbody"/>
      </w:pPr>
      <w:r w:rsidRPr="008712DB">
        <w:t>We work with our partners to drive continuous improvement in the quality and safety of healthcare by enabling effective accountability, acting on insights and focusing on what matters most.</w:t>
      </w:r>
    </w:p>
    <w:p w14:paraId="08ECA032" w14:textId="0A6B1176" w:rsidR="00AD42E9" w:rsidRPr="003C1D91" w:rsidRDefault="008712DB" w:rsidP="008712DB">
      <w:pPr>
        <w:pStyle w:val="SCVbody"/>
      </w:pPr>
      <w:r w:rsidRPr="008712DB">
        <w:t>Together, we aim to strengthen safety</w:t>
      </w:r>
      <w:r>
        <w:t xml:space="preserve"> </w:t>
      </w:r>
      <w:r w:rsidRPr="008712DB">
        <w:t>culture and build a learning health system</w:t>
      </w:r>
      <w:r>
        <w:t xml:space="preserve"> </w:t>
      </w:r>
      <w:r w:rsidRPr="008712DB">
        <w:t>that evolves, reduces avoidable harm and</w:t>
      </w:r>
      <w:r>
        <w:t xml:space="preserve"> </w:t>
      </w:r>
      <w:r w:rsidRPr="008712DB">
        <w:t>supports sustainability. Guided by strong</w:t>
      </w:r>
      <w:r>
        <w:t xml:space="preserve"> </w:t>
      </w:r>
      <w:r w:rsidRPr="008712DB">
        <w:t>governance, shared accountability and</w:t>
      </w:r>
      <w:r>
        <w:t xml:space="preserve"> </w:t>
      </w:r>
      <w:r w:rsidRPr="008712DB">
        <w:t>statewide engagement</w:t>
      </w:r>
      <w:r w:rsidR="00D85C86">
        <w:t>,</w:t>
      </w:r>
      <w:r w:rsidRPr="008712DB">
        <w:t xml:space="preserve"> we turn learning</w:t>
      </w:r>
      <w:r>
        <w:t xml:space="preserve"> </w:t>
      </w:r>
      <w:r w:rsidRPr="008712DB">
        <w:t>into proactive safety management,</w:t>
      </w:r>
      <w:r>
        <w:t xml:space="preserve"> </w:t>
      </w:r>
      <w:r w:rsidRPr="008712DB">
        <w:t>targeted improvement initiatives and</w:t>
      </w:r>
      <w:r>
        <w:t xml:space="preserve"> </w:t>
      </w:r>
      <w:r w:rsidRPr="008712DB">
        <w:t>better outcomes for consumers, carers</w:t>
      </w:r>
      <w:r>
        <w:t xml:space="preserve"> </w:t>
      </w:r>
      <w:r w:rsidRPr="008712DB">
        <w:t>and their families.</w:t>
      </w:r>
    </w:p>
    <w:p w14:paraId="3C35AB25" w14:textId="365C9AAE" w:rsidR="00D85C86" w:rsidRPr="001901F8" w:rsidRDefault="00D85C86" w:rsidP="001901F8">
      <w:pPr>
        <w:pStyle w:val="SCVbody"/>
        <w:rPr>
          <w:b/>
          <w:bCs/>
        </w:rPr>
      </w:pPr>
      <w:r w:rsidRPr="001901F8">
        <w:rPr>
          <w:b/>
          <w:bCs/>
        </w:rPr>
        <w:t xml:space="preserve">The </w:t>
      </w:r>
      <w:r w:rsidR="00FC3F8F" w:rsidRPr="00FC3F8F">
        <w:rPr>
          <w:b/>
          <w:bCs/>
          <w:i/>
          <w:iCs/>
        </w:rPr>
        <w:t>s</w:t>
      </w:r>
      <w:r w:rsidRPr="001901F8">
        <w:rPr>
          <w:b/>
          <w:bCs/>
          <w:i/>
          <w:iCs/>
        </w:rPr>
        <w:t>trategic plan 2026–29</w:t>
      </w:r>
      <w:r w:rsidRPr="001901F8">
        <w:rPr>
          <w:b/>
          <w:bCs/>
        </w:rPr>
        <w:t xml:space="preserve"> sets out our objectives to: </w:t>
      </w:r>
    </w:p>
    <w:p w14:paraId="33210B79" w14:textId="28C81394" w:rsidR="009F4157" w:rsidRDefault="00D85C86" w:rsidP="009F4157">
      <w:pPr>
        <w:pStyle w:val="SCVbullet1"/>
      </w:pPr>
      <w:r>
        <w:t>r</w:t>
      </w:r>
      <w:r w:rsidR="009F4157" w:rsidRPr="009F4157">
        <w:t>espond to emerging quality, safety and</w:t>
      </w:r>
      <w:r w:rsidR="009F4157">
        <w:t xml:space="preserve"> </w:t>
      </w:r>
      <w:r w:rsidR="009F4157" w:rsidRPr="009F4157">
        <w:t>improvement opportunities, and foster a</w:t>
      </w:r>
      <w:r w:rsidR="009F4157">
        <w:t xml:space="preserve"> </w:t>
      </w:r>
      <w:r w:rsidR="009F4157" w:rsidRPr="009F4157">
        <w:t>continuous learning health system</w:t>
      </w:r>
    </w:p>
    <w:p w14:paraId="1773104F" w14:textId="319DC06B" w:rsidR="009F4157" w:rsidRDefault="00D85C86">
      <w:pPr>
        <w:pStyle w:val="SCVbullet1"/>
      </w:pPr>
      <w:r>
        <w:t>e</w:t>
      </w:r>
      <w:r w:rsidR="00C51908" w:rsidRPr="00C51908">
        <w:t>nable a strong safety culture in health services</w:t>
      </w:r>
      <w:r w:rsidR="00C51908">
        <w:t xml:space="preserve"> </w:t>
      </w:r>
      <w:r w:rsidR="00C51908" w:rsidRPr="00C51908">
        <w:t>through embedding robust clinical governance</w:t>
      </w:r>
      <w:r w:rsidR="00C51908">
        <w:t xml:space="preserve"> </w:t>
      </w:r>
      <w:r w:rsidR="00C51908" w:rsidRPr="00C51908">
        <w:t>that prioritises quality and safety improvement</w:t>
      </w:r>
    </w:p>
    <w:p w14:paraId="24E5C5CB" w14:textId="47B7B846" w:rsidR="00C51908" w:rsidRDefault="00D85C86">
      <w:pPr>
        <w:pStyle w:val="SCVbullet1"/>
      </w:pPr>
      <w:r>
        <w:t xml:space="preserve">take </w:t>
      </w:r>
      <w:r w:rsidR="00A47CEA">
        <w:t>a whole-of-system approach to improvement, translating research and insights into planning, processes and practice that enables change in health services</w:t>
      </w:r>
    </w:p>
    <w:p w14:paraId="32EC4497" w14:textId="7D115E33" w:rsidR="00824A5F" w:rsidRDefault="00D85C86">
      <w:pPr>
        <w:pStyle w:val="SCVbullet1"/>
      </w:pPr>
      <w:r>
        <w:t>d</w:t>
      </w:r>
      <w:r w:rsidR="00824A5F" w:rsidRPr="00824A5F">
        <w:t>rive operational excellence by aligning efforts</w:t>
      </w:r>
      <w:r w:rsidR="00824A5F">
        <w:t xml:space="preserve"> </w:t>
      </w:r>
      <w:r w:rsidR="00824A5F" w:rsidRPr="00824A5F">
        <w:t>across SCV to improve performance and deliver</w:t>
      </w:r>
      <w:r w:rsidR="00824A5F">
        <w:t xml:space="preserve"> </w:t>
      </w:r>
      <w:r w:rsidR="00824A5F" w:rsidRPr="00824A5F">
        <w:t>strategic priorities.</w:t>
      </w:r>
    </w:p>
    <w:p w14:paraId="0DEA49F6" w14:textId="7DCD52A3" w:rsidR="008712DB" w:rsidRPr="00F50A3F" w:rsidRDefault="008712DB" w:rsidP="009F4157">
      <w:pPr>
        <w:pStyle w:val="SCVbody"/>
        <w:rPr>
          <w:rFonts w:ascii="Arial" w:hAnsi="Arial" w:cs="Arial"/>
        </w:rPr>
      </w:pPr>
      <w:r>
        <w:rPr>
          <w:rFonts w:ascii="Arial" w:hAnsi="Arial" w:cs="Arial"/>
          <w:b/>
        </w:rPr>
        <w:t>At the end of our 3</w:t>
      </w:r>
      <w:r w:rsidR="0073278C">
        <w:rPr>
          <w:rFonts w:ascii="Arial" w:hAnsi="Arial" w:cs="Arial"/>
          <w:b/>
        </w:rPr>
        <w:t>-</w:t>
      </w:r>
      <w:r>
        <w:rPr>
          <w:rFonts w:ascii="Arial" w:hAnsi="Arial" w:cs="Arial"/>
          <w:b/>
        </w:rPr>
        <w:t xml:space="preserve">year </w:t>
      </w:r>
      <w:r w:rsidR="00FC3F8F">
        <w:rPr>
          <w:rFonts w:ascii="Arial" w:hAnsi="Arial" w:cs="Arial"/>
          <w:b/>
        </w:rPr>
        <w:t>s</w:t>
      </w:r>
      <w:r>
        <w:rPr>
          <w:rFonts w:ascii="Arial" w:hAnsi="Arial" w:cs="Arial"/>
          <w:b/>
        </w:rPr>
        <w:t xml:space="preserve">trategic </w:t>
      </w:r>
      <w:r w:rsidR="00FC3F8F">
        <w:rPr>
          <w:rFonts w:ascii="Arial" w:hAnsi="Arial" w:cs="Arial"/>
          <w:b/>
        </w:rPr>
        <w:t>p</w:t>
      </w:r>
      <w:r>
        <w:rPr>
          <w:rFonts w:ascii="Arial" w:hAnsi="Arial" w:cs="Arial"/>
          <w:b/>
        </w:rPr>
        <w:t>lan</w:t>
      </w:r>
      <w:r w:rsidR="00DB290C">
        <w:rPr>
          <w:rFonts w:ascii="Arial" w:hAnsi="Arial" w:cs="Arial"/>
          <w:b/>
        </w:rPr>
        <w:t>,</w:t>
      </w:r>
      <w:r>
        <w:rPr>
          <w:rFonts w:ascii="Arial" w:hAnsi="Arial" w:cs="Arial"/>
          <w:b/>
        </w:rPr>
        <w:t xml:space="preserve"> w</w:t>
      </w:r>
      <w:r w:rsidRPr="00F50A3F">
        <w:rPr>
          <w:rFonts w:ascii="Arial" w:hAnsi="Arial" w:cs="Arial"/>
          <w:b/>
        </w:rPr>
        <w:t>e’ll know our impact by</w:t>
      </w:r>
      <w:r>
        <w:rPr>
          <w:rFonts w:ascii="Arial" w:hAnsi="Arial" w:cs="Arial"/>
          <w:b/>
        </w:rPr>
        <w:t>:</w:t>
      </w:r>
      <w:r w:rsidRPr="00F50A3F">
        <w:rPr>
          <w:rFonts w:ascii="Arial" w:hAnsi="Arial" w:cs="Arial"/>
        </w:rPr>
        <w:t xml:space="preserve"> </w:t>
      </w:r>
      <w:r w:rsidRPr="00F50A3F">
        <w:rPr>
          <w:rFonts w:ascii="Arial" w:hAnsi="Arial" w:cs="Arial"/>
          <w:color w:val="C00000"/>
        </w:rPr>
        <w:t xml:space="preserve"> </w:t>
      </w:r>
    </w:p>
    <w:p w14:paraId="67CEB935" w14:textId="6701E71B" w:rsidR="003C1D91" w:rsidRDefault="00D85C86" w:rsidP="00682C95">
      <w:pPr>
        <w:pStyle w:val="SCVbullet1"/>
      </w:pPr>
      <w:r>
        <w:t>h</w:t>
      </w:r>
      <w:r w:rsidR="00682C95" w:rsidRPr="00682C95">
        <w:t>igh levels of health service</w:t>
      </w:r>
      <w:r w:rsidR="00682C95">
        <w:t xml:space="preserve"> </w:t>
      </w:r>
      <w:r w:rsidR="00682C95" w:rsidRPr="00682C95">
        <w:t>participation in, and outcomes of</w:t>
      </w:r>
      <w:r w:rsidR="00682C95">
        <w:t xml:space="preserve"> </w:t>
      </w:r>
      <w:r w:rsidR="00682C95" w:rsidRPr="00682C95">
        <w:t>our improvement initiatives</w:t>
      </w:r>
    </w:p>
    <w:p w14:paraId="3191D8AD" w14:textId="7A9CB796" w:rsidR="00F85278" w:rsidRDefault="00D85C86" w:rsidP="00682C95">
      <w:pPr>
        <w:pStyle w:val="SCVbullet1"/>
      </w:pPr>
      <w:r>
        <w:t xml:space="preserve">demonstrable </w:t>
      </w:r>
      <w:r w:rsidR="00F85278">
        <w:t>reductions in avoidable harm in priority areas</w:t>
      </w:r>
    </w:p>
    <w:p w14:paraId="374AD528" w14:textId="43256E34" w:rsidR="00F85278" w:rsidRDefault="00D85C86" w:rsidP="00682C95">
      <w:pPr>
        <w:pStyle w:val="SCVbullet1"/>
      </w:pPr>
      <w:r>
        <w:t>h</w:t>
      </w:r>
      <w:r w:rsidR="00F85278">
        <w:t>igh sector uptake and engagement with SCV work.</w:t>
      </w:r>
    </w:p>
    <w:p w14:paraId="1B6EFAEA" w14:textId="77777777" w:rsidR="00D85C86" w:rsidRDefault="00D85C86">
      <w:pPr>
        <w:rPr>
          <w:b/>
          <w:bCs/>
          <w:sz w:val="24"/>
          <w:szCs w:val="24"/>
        </w:rPr>
      </w:pPr>
      <w:r>
        <w:rPr>
          <w:b/>
          <w:bCs/>
          <w:sz w:val="24"/>
          <w:szCs w:val="24"/>
        </w:rPr>
        <w:br w:type="page"/>
      </w:r>
    </w:p>
    <w:p w14:paraId="1A118A51" w14:textId="6FB55AF2" w:rsidR="008712DB" w:rsidRPr="00F375C0" w:rsidRDefault="008712DB" w:rsidP="00090DAC">
      <w:pPr>
        <w:pStyle w:val="Heading3"/>
      </w:pPr>
      <w:r w:rsidRPr="00F375C0">
        <w:t>Key initiatives</w:t>
      </w:r>
    </w:p>
    <w:tbl>
      <w:tblPr>
        <w:tblStyle w:val="TableGrid"/>
        <w:tblW w:w="0" w:type="auto"/>
        <w:tblCellMar>
          <w:top w:w="57" w:type="dxa"/>
          <w:bottom w:w="57" w:type="dxa"/>
        </w:tblCellMar>
        <w:tblLook w:val="04A0" w:firstRow="1" w:lastRow="0" w:firstColumn="1" w:lastColumn="0" w:noHBand="0" w:noVBand="1"/>
      </w:tblPr>
      <w:tblGrid>
        <w:gridCol w:w="2268"/>
        <w:gridCol w:w="3828"/>
        <w:gridCol w:w="4108"/>
      </w:tblGrid>
      <w:tr w:rsidR="00A554E4" w:rsidRPr="004118B1" w14:paraId="4146B9C8" w14:textId="77777777" w:rsidTr="00F83EA5">
        <w:trPr>
          <w:cnfStyle w:val="100000000000" w:firstRow="1" w:lastRow="0" w:firstColumn="0" w:lastColumn="0" w:oddVBand="0" w:evenVBand="0" w:oddHBand="0" w:evenHBand="0" w:firstRowFirstColumn="0" w:firstRowLastColumn="0" w:lastRowFirstColumn="0" w:lastRowLastColumn="0"/>
          <w:tblHeader/>
        </w:trPr>
        <w:tc>
          <w:tcPr>
            <w:tcW w:w="2268" w:type="dxa"/>
            <w:tcBorders>
              <w:top w:val="single" w:sz="4" w:space="0" w:color="auto"/>
              <w:right w:val="single" w:sz="4" w:space="0" w:color="auto"/>
            </w:tcBorders>
          </w:tcPr>
          <w:p w14:paraId="30804DB6" w14:textId="138F7673" w:rsidR="00A554E4" w:rsidRPr="00D85C86" w:rsidRDefault="00A554E4" w:rsidP="00090DAC">
            <w:pPr>
              <w:pStyle w:val="SCVbody"/>
              <w:spacing w:beforeLines="60" w:before="144" w:afterLines="80" w:after="192"/>
              <w:rPr>
                <w:b/>
                <w:bCs/>
              </w:rPr>
            </w:pPr>
            <w:r>
              <w:rPr>
                <w:b/>
                <w:bCs/>
              </w:rPr>
              <w:t>Our focus</w:t>
            </w:r>
          </w:p>
        </w:tc>
        <w:tc>
          <w:tcPr>
            <w:tcW w:w="3828" w:type="dxa"/>
            <w:tcBorders>
              <w:top w:val="single" w:sz="4" w:space="0" w:color="auto"/>
              <w:right w:val="single" w:sz="4" w:space="0" w:color="auto"/>
            </w:tcBorders>
          </w:tcPr>
          <w:p w14:paraId="41FB043A" w14:textId="6BC2F00F" w:rsidR="00A554E4" w:rsidRPr="00090DAC" w:rsidRDefault="00A554E4" w:rsidP="00090DAC">
            <w:pPr>
              <w:pStyle w:val="SCVbody"/>
              <w:spacing w:beforeLines="60" w:before="144" w:afterLines="80" w:after="192"/>
              <w:rPr>
                <w:b/>
                <w:bCs/>
                <w:sz w:val="20"/>
                <w:szCs w:val="20"/>
              </w:rPr>
            </w:pPr>
            <w:r w:rsidRPr="00D85C86">
              <w:rPr>
                <w:b/>
                <w:bCs/>
              </w:rPr>
              <w:t>During 2026</w:t>
            </w:r>
            <w:r>
              <w:rPr>
                <w:b/>
                <w:bCs/>
                <w:sz w:val="20"/>
                <w:szCs w:val="20"/>
              </w:rPr>
              <w:t>–</w:t>
            </w:r>
            <w:r w:rsidRPr="00D85C86">
              <w:rPr>
                <w:b/>
                <w:bCs/>
              </w:rPr>
              <w:t>27 we will:</w:t>
            </w:r>
          </w:p>
        </w:tc>
        <w:tc>
          <w:tcPr>
            <w:tcW w:w="4108" w:type="dxa"/>
            <w:tcBorders>
              <w:top w:val="single" w:sz="4" w:space="0" w:color="auto"/>
              <w:left w:val="single" w:sz="4" w:space="0" w:color="auto"/>
            </w:tcBorders>
          </w:tcPr>
          <w:p w14:paraId="55DE03DB" w14:textId="60D5B18A" w:rsidR="00A554E4" w:rsidRPr="00090DAC" w:rsidRDefault="00A554E4" w:rsidP="00090DAC">
            <w:pPr>
              <w:pStyle w:val="SCVbody"/>
              <w:spacing w:beforeLines="60" w:before="144" w:afterLines="80" w:after="192"/>
              <w:rPr>
                <w:b/>
                <w:bCs/>
                <w:sz w:val="20"/>
                <w:szCs w:val="20"/>
              </w:rPr>
            </w:pPr>
            <w:r w:rsidRPr="00D85C86">
              <w:rPr>
                <w:b/>
                <w:bCs/>
              </w:rPr>
              <w:t xml:space="preserve">Aligned objectives </w:t>
            </w:r>
          </w:p>
        </w:tc>
      </w:tr>
      <w:tr w:rsidR="00A554E4" w:rsidRPr="004118B1" w14:paraId="22C61984" w14:textId="77777777" w:rsidTr="00F83EA5">
        <w:tc>
          <w:tcPr>
            <w:tcW w:w="2268" w:type="dxa"/>
            <w:tcBorders>
              <w:right w:val="single" w:sz="4" w:space="0" w:color="auto"/>
            </w:tcBorders>
          </w:tcPr>
          <w:p w14:paraId="7B40F37F" w14:textId="77777777" w:rsidR="00A554E4" w:rsidRDefault="00A554E4" w:rsidP="00A554E4">
            <w:pPr>
              <w:pStyle w:val="SCVtablebody"/>
              <w:spacing w:beforeLines="60" w:before="144" w:afterLines="80" w:after="192" w:line="240" w:lineRule="auto"/>
              <w:rPr>
                <w:sz w:val="20"/>
                <w:szCs w:val="20"/>
              </w:rPr>
            </w:pPr>
            <w:r w:rsidRPr="004118B1">
              <w:rPr>
                <w:b/>
                <w:bCs/>
                <w:sz w:val="20"/>
                <w:szCs w:val="20"/>
                <w:lang w:val="en-US"/>
              </w:rPr>
              <w:t xml:space="preserve">Safer Together </w:t>
            </w:r>
            <w:r>
              <w:rPr>
                <w:b/>
                <w:bCs/>
                <w:sz w:val="20"/>
                <w:szCs w:val="20"/>
                <w:lang w:val="en-US"/>
              </w:rPr>
              <w:t>l</w:t>
            </w:r>
            <w:r w:rsidRPr="004118B1">
              <w:rPr>
                <w:b/>
                <w:bCs/>
                <w:sz w:val="20"/>
                <w:szCs w:val="20"/>
                <w:lang w:val="en-US"/>
              </w:rPr>
              <w:t xml:space="preserve">earning </w:t>
            </w:r>
            <w:r>
              <w:rPr>
                <w:b/>
                <w:bCs/>
                <w:sz w:val="20"/>
                <w:szCs w:val="20"/>
                <w:lang w:val="en-US"/>
              </w:rPr>
              <w:t>h</w:t>
            </w:r>
            <w:r w:rsidRPr="004118B1">
              <w:rPr>
                <w:b/>
                <w:bCs/>
                <w:sz w:val="20"/>
                <w:szCs w:val="20"/>
                <w:lang w:val="en-US"/>
              </w:rPr>
              <w:t xml:space="preserve">ealth </w:t>
            </w:r>
            <w:r>
              <w:rPr>
                <w:b/>
                <w:bCs/>
                <w:sz w:val="20"/>
                <w:szCs w:val="20"/>
                <w:lang w:val="en-US"/>
              </w:rPr>
              <w:t>s</w:t>
            </w:r>
            <w:r w:rsidRPr="004118B1">
              <w:rPr>
                <w:b/>
                <w:bCs/>
                <w:sz w:val="20"/>
                <w:szCs w:val="20"/>
                <w:lang w:val="en-US"/>
              </w:rPr>
              <w:t>ystem</w:t>
            </w:r>
          </w:p>
          <w:p w14:paraId="22772D4A" w14:textId="77777777" w:rsidR="00A554E4" w:rsidRPr="004118B1" w:rsidRDefault="00A554E4" w:rsidP="00D85C86">
            <w:pPr>
              <w:pStyle w:val="SCVtablebody"/>
              <w:spacing w:beforeLines="60" w:before="144" w:afterLines="80" w:after="192" w:line="240" w:lineRule="auto"/>
              <w:rPr>
                <w:b/>
                <w:bCs/>
                <w:sz w:val="20"/>
                <w:szCs w:val="20"/>
                <w:lang w:val="en-US"/>
              </w:rPr>
            </w:pPr>
          </w:p>
        </w:tc>
        <w:tc>
          <w:tcPr>
            <w:tcW w:w="3828" w:type="dxa"/>
            <w:tcBorders>
              <w:right w:val="single" w:sz="4" w:space="0" w:color="auto"/>
            </w:tcBorders>
          </w:tcPr>
          <w:p w14:paraId="51520399" w14:textId="52BBA1F1" w:rsidR="00A554E4" w:rsidRPr="004118B1" w:rsidRDefault="00A554E4" w:rsidP="00090DAC">
            <w:pPr>
              <w:pStyle w:val="SCVtablebody"/>
              <w:spacing w:beforeLines="60" w:before="144" w:afterLines="80" w:after="192" w:line="240" w:lineRule="auto"/>
              <w:rPr>
                <w:sz w:val="20"/>
                <w:szCs w:val="20"/>
              </w:rPr>
            </w:pPr>
            <w:r w:rsidRPr="004118B1">
              <w:rPr>
                <w:sz w:val="20"/>
                <w:szCs w:val="20"/>
              </w:rPr>
              <w:t>Accelerate statewi</w:t>
            </w:r>
            <w:r w:rsidRPr="00D85C86">
              <w:rPr>
                <w:sz w:val="20"/>
                <w:szCs w:val="20"/>
              </w:rPr>
              <w:t>de adoption of evidence-based safety and quality improvements</w:t>
            </w:r>
            <w:r w:rsidRPr="004118B1">
              <w:rPr>
                <w:sz w:val="20"/>
                <w:szCs w:val="20"/>
              </w:rPr>
              <w:t xml:space="preserve"> and reform through the Safer Together </w:t>
            </w:r>
            <w:r>
              <w:rPr>
                <w:sz w:val="20"/>
                <w:szCs w:val="20"/>
              </w:rPr>
              <w:t>l</w:t>
            </w:r>
            <w:r w:rsidRPr="004118B1">
              <w:rPr>
                <w:sz w:val="20"/>
                <w:szCs w:val="20"/>
              </w:rPr>
              <w:t xml:space="preserve">earning </w:t>
            </w:r>
            <w:r>
              <w:rPr>
                <w:sz w:val="20"/>
                <w:szCs w:val="20"/>
              </w:rPr>
              <w:t>h</w:t>
            </w:r>
            <w:r w:rsidRPr="004118B1">
              <w:rPr>
                <w:sz w:val="20"/>
                <w:szCs w:val="20"/>
              </w:rPr>
              <w:t xml:space="preserve">ealth </w:t>
            </w:r>
            <w:r>
              <w:rPr>
                <w:sz w:val="20"/>
                <w:szCs w:val="20"/>
              </w:rPr>
              <w:t>s</w:t>
            </w:r>
            <w:r w:rsidRPr="004118B1">
              <w:rPr>
                <w:sz w:val="20"/>
                <w:szCs w:val="20"/>
              </w:rPr>
              <w:t>ystem to deliver:</w:t>
            </w:r>
          </w:p>
          <w:p w14:paraId="5260EB88" w14:textId="7A4E1E59" w:rsidR="00A554E4" w:rsidRPr="004118B1" w:rsidRDefault="00A554E4">
            <w:pPr>
              <w:pStyle w:val="SCVbullet1"/>
              <w:rPr>
                <w:sz w:val="20"/>
                <w:szCs w:val="20"/>
              </w:rPr>
            </w:pPr>
            <w:r w:rsidRPr="004118B1">
              <w:rPr>
                <w:sz w:val="20"/>
                <w:szCs w:val="20"/>
              </w:rPr>
              <w:t>reductions in avoidable harm</w:t>
            </w:r>
          </w:p>
          <w:p w14:paraId="6B38B046" w14:textId="77777777" w:rsidR="00A554E4" w:rsidRPr="004118B1" w:rsidRDefault="00A554E4">
            <w:pPr>
              <w:pStyle w:val="SCVbullet1"/>
              <w:rPr>
                <w:sz w:val="20"/>
                <w:szCs w:val="20"/>
              </w:rPr>
            </w:pPr>
            <w:r w:rsidRPr="004118B1">
              <w:rPr>
                <w:sz w:val="20"/>
                <w:szCs w:val="20"/>
              </w:rPr>
              <w:t>reductions in avoidable admissions</w:t>
            </w:r>
          </w:p>
          <w:p w14:paraId="78CF4E89" w14:textId="77777777" w:rsidR="00A554E4" w:rsidRPr="004118B1" w:rsidRDefault="00A554E4">
            <w:pPr>
              <w:pStyle w:val="SCVbullet1"/>
              <w:rPr>
                <w:sz w:val="20"/>
                <w:szCs w:val="20"/>
              </w:rPr>
            </w:pPr>
            <w:r w:rsidRPr="004118B1">
              <w:rPr>
                <w:sz w:val="20"/>
                <w:szCs w:val="20"/>
              </w:rPr>
              <w:t>equitable, safe and quality use of medicines</w:t>
            </w:r>
          </w:p>
          <w:p w14:paraId="4404C732" w14:textId="77777777" w:rsidR="00A554E4" w:rsidRPr="004118B1" w:rsidRDefault="00A554E4">
            <w:pPr>
              <w:pStyle w:val="SCVbullet1"/>
              <w:rPr>
                <w:sz w:val="20"/>
                <w:szCs w:val="20"/>
              </w:rPr>
            </w:pPr>
            <w:r w:rsidRPr="004118B1">
              <w:rPr>
                <w:rFonts w:eastAsiaTheme="minorEastAsia"/>
                <w:sz w:val="20"/>
                <w:szCs w:val="20"/>
                <w:lang w:eastAsia="en-AU"/>
              </w:rPr>
              <w:t>increased value-based care delivery across Victoria.</w:t>
            </w:r>
          </w:p>
          <w:p w14:paraId="065A9286" w14:textId="77777777" w:rsidR="00A554E4" w:rsidRPr="004118B1" w:rsidRDefault="00A554E4" w:rsidP="00090DAC">
            <w:pPr>
              <w:pStyle w:val="SCVbullet1"/>
              <w:numPr>
                <w:ilvl w:val="0"/>
                <w:numId w:val="0"/>
              </w:numPr>
              <w:spacing w:beforeLines="60" w:before="144" w:afterLines="80" w:after="192"/>
              <w:ind w:left="284"/>
              <w:rPr>
                <w:sz w:val="20"/>
                <w:szCs w:val="20"/>
              </w:rPr>
            </w:pPr>
          </w:p>
        </w:tc>
        <w:tc>
          <w:tcPr>
            <w:tcW w:w="4108" w:type="dxa"/>
            <w:tcBorders>
              <w:left w:val="single" w:sz="4" w:space="0" w:color="auto"/>
            </w:tcBorders>
          </w:tcPr>
          <w:p w14:paraId="5BB3CB7C" w14:textId="6224A63B" w:rsidR="00A554E4" w:rsidRPr="004118B1" w:rsidRDefault="00A554E4">
            <w:pPr>
              <w:pStyle w:val="SCVbullet1"/>
              <w:rPr>
                <w:sz w:val="20"/>
                <w:szCs w:val="20"/>
              </w:rPr>
            </w:pPr>
            <w:r w:rsidRPr="004118B1">
              <w:rPr>
                <w:sz w:val="20"/>
                <w:szCs w:val="20"/>
              </w:rPr>
              <w:t>Lead transformational system-wide initiatives to optimise outcomes that are</w:t>
            </w:r>
            <w:r w:rsidR="00F83EA5">
              <w:rPr>
                <w:sz w:val="20"/>
                <w:szCs w:val="20"/>
              </w:rPr>
              <w:t xml:space="preserve"> </w:t>
            </w:r>
            <w:r w:rsidRPr="004118B1">
              <w:rPr>
                <w:sz w:val="20"/>
                <w:szCs w:val="20"/>
              </w:rPr>
              <w:t>consistent, reliable and equitable for all Victorians. </w:t>
            </w:r>
          </w:p>
          <w:p w14:paraId="1B9245B7" w14:textId="77777777" w:rsidR="00A554E4" w:rsidRPr="00D85C86" w:rsidRDefault="00A554E4">
            <w:pPr>
              <w:pStyle w:val="SCVbullet1"/>
              <w:rPr>
                <w:sz w:val="20"/>
                <w:szCs w:val="20"/>
              </w:rPr>
            </w:pPr>
            <w:r w:rsidRPr="004118B1">
              <w:rPr>
                <w:sz w:val="20"/>
                <w:szCs w:val="20"/>
              </w:rPr>
              <w:t>Take a whole-of-system approach to improvement, translating research and insights into planning, processes and practice that enables change in health services.</w:t>
            </w:r>
          </w:p>
          <w:p w14:paraId="55894603" w14:textId="77777777" w:rsidR="00A554E4" w:rsidRPr="004118B1" w:rsidRDefault="00A554E4">
            <w:pPr>
              <w:pStyle w:val="SCVbullet1"/>
              <w:rPr>
                <w:sz w:val="20"/>
                <w:szCs w:val="20"/>
              </w:rPr>
            </w:pPr>
            <w:r w:rsidRPr="004118B1">
              <w:rPr>
                <w:sz w:val="20"/>
                <w:szCs w:val="20"/>
              </w:rPr>
              <w:t>Harness lived experience, frontline and system-wide insights through strong partnerships with stakeholders to strengthen healthcare for those who use and work in it. </w:t>
            </w:r>
          </w:p>
          <w:p w14:paraId="0E4FB457" w14:textId="77777777" w:rsidR="00A554E4" w:rsidRPr="00090DAC" w:rsidRDefault="00A554E4" w:rsidP="00090DAC">
            <w:pPr>
              <w:pStyle w:val="SCVbody"/>
              <w:spacing w:beforeLines="60" w:before="144" w:afterLines="80" w:after="192"/>
              <w:rPr>
                <w:strike/>
                <w:sz w:val="20"/>
                <w:szCs w:val="20"/>
              </w:rPr>
            </w:pPr>
          </w:p>
        </w:tc>
      </w:tr>
      <w:tr w:rsidR="00A554E4" w:rsidRPr="004118B1" w14:paraId="7B3B3805" w14:textId="77777777" w:rsidTr="00F83EA5">
        <w:tc>
          <w:tcPr>
            <w:tcW w:w="2268" w:type="dxa"/>
            <w:tcBorders>
              <w:right w:val="single" w:sz="4" w:space="0" w:color="auto"/>
            </w:tcBorders>
          </w:tcPr>
          <w:p w14:paraId="34A98B3C" w14:textId="77777777" w:rsidR="00A554E4" w:rsidRPr="004118B1" w:rsidRDefault="00A554E4" w:rsidP="00A554E4">
            <w:pPr>
              <w:pStyle w:val="SCVtablebody"/>
              <w:spacing w:beforeLines="60" w:before="144" w:afterLines="80" w:after="192" w:line="240" w:lineRule="auto"/>
              <w:rPr>
                <w:b/>
                <w:bCs/>
                <w:sz w:val="20"/>
                <w:szCs w:val="20"/>
                <w:lang w:val="en-US"/>
              </w:rPr>
            </w:pPr>
            <w:r w:rsidRPr="004118B1">
              <w:rPr>
                <w:b/>
                <w:bCs/>
                <w:sz w:val="20"/>
                <w:szCs w:val="20"/>
                <w:lang w:val="en-US"/>
              </w:rPr>
              <w:t>Mental Health Improvement Program</w:t>
            </w:r>
          </w:p>
          <w:p w14:paraId="7008AA29" w14:textId="77777777" w:rsidR="00A554E4" w:rsidRPr="004118B1" w:rsidRDefault="00A554E4" w:rsidP="00090DAC">
            <w:pPr>
              <w:pStyle w:val="SCVtablebody"/>
              <w:spacing w:beforeLines="60" w:before="144" w:afterLines="80" w:after="192" w:line="240" w:lineRule="auto"/>
              <w:rPr>
                <w:b/>
                <w:bCs/>
                <w:sz w:val="20"/>
                <w:szCs w:val="20"/>
                <w:lang w:val="en-US"/>
              </w:rPr>
            </w:pPr>
          </w:p>
        </w:tc>
        <w:tc>
          <w:tcPr>
            <w:tcW w:w="3828" w:type="dxa"/>
            <w:tcBorders>
              <w:right w:val="single" w:sz="4" w:space="0" w:color="auto"/>
            </w:tcBorders>
          </w:tcPr>
          <w:p w14:paraId="7FB44067" w14:textId="737103EC" w:rsidR="00A554E4" w:rsidRPr="004118B1" w:rsidRDefault="00A554E4" w:rsidP="00090DAC">
            <w:pPr>
              <w:pStyle w:val="SCVtablebody"/>
              <w:spacing w:beforeLines="60" w:before="144" w:afterLines="80" w:after="192" w:line="240" w:lineRule="auto"/>
              <w:rPr>
                <w:sz w:val="20"/>
                <w:szCs w:val="20"/>
              </w:rPr>
            </w:pPr>
            <w:r w:rsidRPr="004118B1">
              <w:rPr>
                <w:sz w:val="20"/>
                <w:szCs w:val="20"/>
              </w:rPr>
              <w:t xml:space="preserve">Advance priority mental health reform through Safer Together by applying a </w:t>
            </w:r>
            <w:r>
              <w:rPr>
                <w:sz w:val="20"/>
                <w:szCs w:val="20"/>
              </w:rPr>
              <w:t>l</w:t>
            </w:r>
            <w:r w:rsidRPr="004118B1">
              <w:rPr>
                <w:sz w:val="20"/>
                <w:szCs w:val="20"/>
              </w:rPr>
              <w:t xml:space="preserve">earning </w:t>
            </w:r>
            <w:r>
              <w:rPr>
                <w:sz w:val="20"/>
                <w:szCs w:val="20"/>
              </w:rPr>
              <w:t>h</w:t>
            </w:r>
            <w:r w:rsidRPr="004118B1">
              <w:rPr>
                <w:sz w:val="20"/>
                <w:szCs w:val="20"/>
              </w:rPr>
              <w:t xml:space="preserve">ealth </w:t>
            </w:r>
            <w:r>
              <w:rPr>
                <w:sz w:val="20"/>
                <w:szCs w:val="20"/>
              </w:rPr>
              <w:t>s</w:t>
            </w:r>
            <w:r w:rsidRPr="004118B1">
              <w:rPr>
                <w:sz w:val="20"/>
                <w:szCs w:val="20"/>
              </w:rPr>
              <w:t>ystem approach to improve safety, quality and experience of care through:</w:t>
            </w:r>
          </w:p>
          <w:p w14:paraId="430FCBA6" w14:textId="77777777" w:rsidR="00A554E4" w:rsidRPr="004118B1" w:rsidRDefault="00A554E4">
            <w:pPr>
              <w:pStyle w:val="SCVbullet1"/>
              <w:rPr>
                <w:sz w:val="20"/>
                <w:szCs w:val="20"/>
              </w:rPr>
            </w:pPr>
            <w:r w:rsidRPr="004118B1">
              <w:rPr>
                <w:sz w:val="20"/>
                <w:szCs w:val="20"/>
              </w:rPr>
              <w:t>addressing sexual safety in inpatient units</w:t>
            </w:r>
          </w:p>
          <w:p w14:paraId="50047BC4" w14:textId="77777777" w:rsidR="00A554E4" w:rsidRPr="004118B1" w:rsidRDefault="00A554E4">
            <w:pPr>
              <w:pStyle w:val="SCVbullet1"/>
              <w:rPr>
                <w:sz w:val="20"/>
                <w:szCs w:val="20"/>
              </w:rPr>
            </w:pPr>
            <w:r w:rsidRPr="004118B1">
              <w:rPr>
                <w:sz w:val="20"/>
                <w:szCs w:val="20"/>
              </w:rPr>
              <w:t>adopting the Zero Suicide Framework</w:t>
            </w:r>
          </w:p>
          <w:p w14:paraId="570CED96" w14:textId="77777777" w:rsidR="00A554E4" w:rsidRPr="004118B1" w:rsidRDefault="00A554E4">
            <w:pPr>
              <w:pStyle w:val="SCVbullet1"/>
              <w:rPr>
                <w:sz w:val="20"/>
                <w:szCs w:val="20"/>
              </w:rPr>
            </w:pPr>
            <w:r w:rsidRPr="004118B1">
              <w:rPr>
                <w:sz w:val="20"/>
                <w:szCs w:val="20"/>
              </w:rPr>
              <w:t>reducing compulsory treatment</w:t>
            </w:r>
          </w:p>
          <w:p w14:paraId="2603761A" w14:textId="77777777" w:rsidR="00A554E4" w:rsidRPr="004118B1" w:rsidRDefault="00A554E4">
            <w:pPr>
              <w:pStyle w:val="SCVbullet1"/>
              <w:rPr>
                <w:sz w:val="20"/>
                <w:szCs w:val="20"/>
              </w:rPr>
            </w:pPr>
            <w:r w:rsidRPr="004118B1">
              <w:rPr>
                <w:sz w:val="20"/>
                <w:szCs w:val="20"/>
              </w:rPr>
              <w:t>eliminating restrictive practices.</w:t>
            </w:r>
          </w:p>
          <w:p w14:paraId="6DD6786B" w14:textId="77777777" w:rsidR="00A554E4" w:rsidRPr="004118B1" w:rsidRDefault="00A554E4" w:rsidP="00090DAC">
            <w:pPr>
              <w:pStyle w:val="SCVbullet1"/>
              <w:numPr>
                <w:ilvl w:val="0"/>
                <w:numId w:val="0"/>
              </w:numPr>
              <w:spacing w:beforeLines="60" w:before="144" w:afterLines="80" w:after="192"/>
              <w:ind w:left="284"/>
              <w:rPr>
                <w:sz w:val="20"/>
                <w:szCs w:val="20"/>
              </w:rPr>
            </w:pPr>
          </w:p>
        </w:tc>
        <w:tc>
          <w:tcPr>
            <w:tcW w:w="4108" w:type="dxa"/>
            <w:tcBorders>
              <w:left w:val="single" w:sz="4" w:space="0" w:color="auto"/>
            </w:tcBorders>
          </w:tcPr>
          <w:p w14:paraId="57D68AD2" w14:textId="72F06814" w:rsidR="00A554E4" w:rsidRPr="004118B1" w:rsidRDefault="00A554E4">
            <w:pPr>
              <w:pStyle w:val="SCVbullet1"/>
              <w:rPr>
                <w:sz w:val="20"/>
                <w:szCs w:val="20"/>
              </w:rPr>
            </w:pPr>
            <w:r w:rsidRPr="00D85C86">
              <w:rPr>
                <w:sz w:val="20"/>
                <w:szCs w:val="20"/>
              </w:rPr>
              <w:t>Lead transformational</w:t>
            </w:r>
            <w:r>
              <w:rPr>
                <w:sz w:val="20"/>
                <w:szCs w:val="20"/>
              </w:rPr>
              <w:t>,</w:t>
            </w:r>
            <w:r w:rsidRPr="00D85C86">
              <w:rPr>
                <w:sz w:val="20"/>
                <w:szCs w:val="20"/>
              </w:rPr>
              <w:t xml:space="preserve"> system-wide initiatives to optimise outcomes that are consistent, reliable and equitable for all Victorians.</w:t>
            </w:r>
          </w:p>
          <w:p w14:paraId="5C986E22" w14:textId="77777777" w:rsidR="00A554E4" w:rsidRPr="004118B1" w:rsidRDefault="00A554E4">
            <w:pPr>
              <w:pStyle w:val="SCVbullet1"/>
              <w:rPr>
                <w:sz w:val="20"/>
                <w:szCs w:val="20"/>
              </w:rPr>
            </w:pPr>
            <w:r w:rsidRPr="004118B1">
              <w:rPr>
                <w:sz w:val="20"/>
                <w:szCs w:val="20"/>
              </w:rPr>
              <w:t>Take a whole-of-system approach to improvement, translating research and insights into planning, processes and practice that enables change in health services.</w:t>
            </w:r>
          </w:p>
          <w:p w14:paraId="6AE20087" w14:textId="35677581" w:rsidR="00A554E4" w:rsidRPr="004118B1" w:rsidRDefault="00A554E4" w:rsidP="00090DAC">
            <w:pPr>
              <w:pStyle w:val="SCVbullet1"/>
              <w:rPr>
                <w:strike/>
                <w:sz w:val="20"/>
                <w:szCs w:val="20"/>
              </w:rPr>
            </w:pPr>
            <w:r w:rsidRPr="004118B1">
              <w:rPr>
                <w:sz w:val="20"/>
                <w:szCs w:val="20"/>
              </w:rPr>
              <w:t>Harness lived experience, frontline and system-wide insights through strong partnerships with stakeholders to strengthen healthcare for those who use and work in it.</w:t>
            </w:r>
          </w:p>
        </w:tc>
      </w:tr>
      <w:tr w:rsidR="00A554E4" w:rsidRPr="004118B1" w14:paraId="2E95E446" w14:textId="77777777" w:rsidTr="00F83EA5">
        <w:tc>
          <w:tcPr>
            <w:tcW w:w="2268" w:type="dxa"/>
            <w:tcBorders>
              <w:right w:val="single" w:sz="4" w:space="0" w:color="auto"/>
            </w:tcBorders>
          </w:tcPr>
          <w:p w14:paraId="74BFF868" w14:textId="77777777" w:rsidR="00A554E4" w:rsidRPr="004118B1" w:rsidRDefault="00A554E4" w:rsidP="00A554E4">
            <w:pPr>
              <w:pStyle w:val="SCVtablebody"/>
              <w:spacing w:beforeLines="60" w:before="144" w:afterLines="80" w:after="192" w:line="240" w:lineRule="auto"/>
              <w:rPr>
                <w:b/>
                <w:bCs/>
                <w:sz w:val="20"/>
                <w:szCs w:val="20"/>
                <w:lang w:val="en-US"/>
              </w:rPr>
            </w:pPr>
            <w:r w:rsidRPr="004118B1">
              <w:rPr>
                <w:b/>
                <w:bCs/>
                <w:sz w:val="20"/>
                <w:szCs w:val="20"/>
                <w:lang w:val="en-US"/>
              </w:rPr>
              <w:t xml:space="preserve">Strengthening </w:t>
            </w:r>
            <w:r>
              <w:rPr>
                <w:b/>
                <w:bCs/>
                <w:sz w:val="20"/>
                <w:szCs w:val="20"/>
                <w:lang w:val="en-US"/>
              </w:rPr>
              <w:t>q</w:t>
            </w:r>
            <w:r w:rsidRPr="004118B1">
              <w:rPr>
                <w:b/>
                <w:bCs/>
                <w:sz w:val="20"/>
                <w:szCs w:val="20"/>
                <w:lang w:val="en-US"/>
              </w:rPr>
              <w:t xml:space="preserve">uality and </w:t>
            </w:r>
            <w:r>
              <w:rPr>
                <w:b/>
                <w:bCs/>
                <w:sz w:val="20"/>
                <w:szCs w:val="20"/>
                <w:lang w:val="en-US"/>
              </w:rPr>
              <w:t>s</w:t>
            </w:r>
            <w:r w:rsidRPr="004118B1">
              <w:rPr>
                <w:b/>
                <w:bCs/>
                <w:sz w:val="20"/>
                <w:szCs w:val="20"/>
                <w:lang w:val="en-US"/>
              </w:rPr>
              <w:t xml:space="preserve">afety </w:t>
            </w:r>
            <w:r>
              <w:rPr>
                <w:b/>
                <w:bCs/>
                <w:sz w:val="20"/>
                <w:szCs w:val="20"/>
                <w:lang w:val="en-US"/>
              </w:rPr>
              <w:t>c</w:t>
            </w:r>
            <w:r w:rsidRPr="004118B1">
              <w:rPr>
                <w:b/>
                <w:bCs/>
                <w:sz w:val="20"/>
                <w:szCs w:val="20"/>
                <w:lang w:val="en-US"/>
              </w:rPr>
              <w:t>apability</w:t>
            </w:r>
          </w:p>
          <w:p w14:paraId="298D2BFF" w14:textId="77777777" w:rsidR="00A554E4" w:rsidRPr="004118B1" w:rsidRDefault="00A554E4" w:rsidP="00090DAC">
            <w:pPr>
              <w:pStyle w:val="SCVtablebody"/>
              <w:spacing w:beforeLines="60" w:before="144" w:afterLines="80" w:after="192" w:line="240" w:lineRule="auto"/>
              <w:rPr>
                <w:b/>
                <w:bCs/>
                <w:sz w:val="20"/>
                <w:szCs w:val="20"/>
                <w:lang w:val="en-US"/>
              </w:rPr>
            </w:pPr>
          </w:p>
        </w:tc>
        <w:tc>
          <w:tcPr>
            <w:tcW w:w="3828" w:type="dxa"/>
            <w:tcBorders>
              <w:right w:val="single" w:sz="4" w:space="0" w:color="auto"/>
            </w:tcBorders>
          </w:tcPr>
          <w:p w14:paraId="3B40CB1E" w14:textId="13568A26" w:rsidR="00A554E4" w:rsidRPr="004118B1" w:rsidRDefault="00A554E4" w:rsidP="00090DAC">
            <w:pPr>
              <w:pStyle w:val="SCVtablebody"/>
              <w:spacing w:beforeLines="60" w:before="144" w:afterLines="80" w:after="192" w:line="240" w:lineRule="auto"/>
              <w:rPr>
                <w:sz w:val="20"/>
                <w:szCs w:val="20"/>
                <w:lang w:val="en-US"/>
              </w:rPr>
            </w:pPr>
            <w:r w:rsidRPr="004118B1">
              <w:rPr>
                <w:sz w:val="20"/>
                <w:szCs w:val="20"/>
                <w:lang w:val="en-US"/>
              </w:rPr>
              <w:t xml:space="preserve">Advance quality and safety capability across the system by delivering targeted capability-building and knowledge-sharing initiatives to: </w:t>
            </w:r>
          </w:p>
          <w:p w14:paraId="3FBD02FC" w14:textId="4E9BB2E5" w:rsidR="00A554E4" w:rsidRPr="004118B1" w:rsidRDefault="00A554E4">
            <w:pPr>
              <w:pStyle w:val="SCVbullet1"/>
              <w:rPr>
                <w:sz w:val="20"/>
                <w:szCs w:val="20"/>
              </w:rPr>
            </w:pPr>
            <w:r w:rsidRPr="004118B1">
              <w:rPr>
                <w:sz w:val="20"/>
                <w:szCs w:val="20"/>
              </w:rPr>
              <w:t>strengthen clinical governance</w:t>
            </w:r>
          </w:p>
          <w:p w14:paraId="51284328" w14:textId="1741C564" w:rsidR="00A554E4" w:rsidRPr="004118B1" w:rsidRDefault="00A554E4">
            <w:pPr>
              <w:pStyle w:val="SCVbullet1"/>
              <w:rPr>
                <w:sz w:val="20"/>
                <w:szCs w:val="20"/>
              </w:rPr>
            </w:pPr>
            <w:r w:rsidRPr="004118B1">
              <w:rPr>
                <w:sz w:val="20"/>
                <w:szCs w:val="20"/>
              </w:rPr>
              <w:t>embed consumer partnerships</w:t>
            </w:r>
          </w:p>
          <w:p w14:paraId="10A5258F" w14:textId="245333D1" w:rsidR="00A554E4" w:rsidRPr="004118B1" w:rsidRDefault="00A554E4">
            <w:pPr>
              <w:pStyle w:val="SCVbullet1"/>
              <w:rPr>
                <w:sz w:val="20"/>
                <w:szCs w:val="20"/>
              </w:rPr>
            </w:pPr>
            <w:r w:rsidRPr="004118B1">
              <w:rPr>
                <w:sz w:val="20"/>
                <w:szCs w:val="20"/>
              </w:rPr>
              <w:t>drive quality improvement</w:t>
            </w:r>
          </w:p>
          <w:p w14:paraId="2A9E9220" w14:textId="6A1265BB" w:rsidR="00A554E4" w:rsidRPr="004118B1" w:rsidRDefault="00A554E4">
            <w:pPr>
              <w:pStyle w:val="SCVbullet1"/>
              <w:rPr>
                <w:sz w:val="20"/>
                <w:szCs w:val="20"/>
              </w:rPr>
            </w:pPr>
            <w:r w:rsidRPr="004118B1">
              <w:rPr>
                <w:sz w:val="20"/>
                <w:szCs w:val="20"/>
              </w:rPr>
              <w:t>respond to patient harm.</w:t>
            </w:r>
          </w:p>
          <w:p w14:paraId="7D130626" w14:textId="77777777" w:rsidR="00A554E4" w:rsidRDefault="00A554E4" w:rsidP="00993E3D">
            <w:pPr>
              <w:pStyle w:val="SCVtablebody"/>
              <w:spacing w:beforeLines="60" w:before="144" w:afterLines="80" w:after="192" w:line="240" w:lineRule="auto"/>
              <w:rPr>
                <w:sz w:val="20"/>
                <w:szCs w:val="20"/>
                <w:lang w:val="en-US"/>
              </w:rPr>
            </w:pPr>
            <w:r w:rsidRPr="004118B1">
              <w:rPr>
                <w:sz w:val="20"/>
                <w:szCs w:val="20"/>
                <w:lang w:val="en-US"/>
              </w:rPr>
              <w:t>This advances the Quality and Safety Capability Framework.</w:t>
            </w:r>
          </w:p>
          <w:p w14:paraId="4C50FEEB" w14:textId="7C1610D3" w:rsidR="00FB30BE" w:rsidRPr="004118B1" w:rsidRDefault="00FB30BE" w:rsidP="00993E3D">
            <w:pPr>
              <w:pStyle w:val="SCVtablebody"/>
              <w:spacing w:beforeLines="60" w:before="144" w:afterLines="80" w:after="192" w:line="240" w:lineRule="auto"/>
              <w:rPr>
                <w:b/>
                <w:bCs/>
                <w:sz w:val="20"/>
                <w:szCs w:val="20"/>
                <w:lang w:val="en-US"/>
              </w:rPr>
            </w:pPr>
          </w:p>
        </w:tc>
        <w:tc>
          <w:tcPr>
            <w:tcW w:w="4108" w:type="dxa"/>
            <w:tcBorders>
              <w:left w:val="single" w:sz="4" w:space="0" w:color="auto"/>
            </w:tcBorders>
          </w:tcPr>
          <w:p w14:paraId="5A505735" w14:textId="77777777" w:rsidR="00A554E4" w:rsidRPr="004118B1" w:rsidRDefault="00A554E4">
            <w:pPr>
              <w:pStyle w:val="SCVbullet1"/>
              <w:rPr>
                <w:sz w:val="20"/>
                <w:szCs w:val="20"/>
              </w:rPr>
            </w:pPr>
            <w:r w:rsidRPr="004118B1">
              <w:rPr>
                <w:sz w:val="20"/>
                <w:szCs w:val="20"/>
              </w:rPr>
              <w:t>Enable a strong safety culture in health services through embedding robust clinical governance that prioritises quality and safety.</w:t>
            </w:r>
          </w:p>
          <w:p w14:paraId="572E844A" w14:textId="77777777" w:rsidR="00A554E4" w:rsidRPr="004118B1" w:rsidRDefault="00A554E4">
            <w:pPr>
              <w:pStyle w:val="SCVbullet1"/>
              <w:rPr>
                <w:sz w:val="20"/>
                <w:szCs w:val="20"/>
              </w:rPr>
            </w:pPr>
            <w:r w:rsidRPr="004118B1">
              <w:rPr>
                <w:sz w:val="20"/>
                <w:szCs w:val="20"/>
              </w:rPr>
              <w:t>Take a whole-of-system approach to improvement, translating research and insights into planning, processes and practice that enables change in health services.</w:t>
            </w:r>
          </w:p>
        </w:tc>
      </w:tr>
      <w:tr w:rsidR="00A554E4" w:rsidRPr="004118B1" w14:paraId="0FBBA231" w14:textId="77777777" w:rsidTr="00F83EA5">
        <w:tc>
          <w:tcPr>
            <w:tcW w:w="2268" w:type="dxa"/>
            <w:tcBorders>
              <w:right w:val="single" w:sz="4" w:space="0" w:color="auto"/>
            </w:tcBorders>
          </w:tcPr>
          <w:p w14:paraId="3DA4B2B7" w14:textId="77777777" w:rsidR="001E589D" w:rsidRDefault="001E589D" w:rsidP="001E589D">
            <w:pPr>
              <w:pStyle w:val="SCVtablebody"/>
              <w:spacing w:beforeLines="60" w:before="144" w:afterLines="80" w:after="192" w:line="240" w:lineRule="auto"/>
              <w:rPr>
                <w:sz w:val="20"/>
                <w:szCs w:val="20"/>
                <w:lang w:val="en-US"/>
              </w:rPr>
            </w:pPr>
            <w:r w:rsidRPr="004118B1">
              <w:rPr>
                <w:b/>
                <w:bCs/>
                <w:sz w:val="20"/>
                <w:szCs w:val="20"/>
                <w:lang w:val="en-US"/>
              </w:rPr>
              <w:t>Strengthening the health system’s response when patient harm occurs</w:t>
            </w:r>
          </w:p>
          <w:p w14:paraId="0E64AF46" w14:textId="77777777" w:rsidR="00A554E4" w:rsidRPr="004118B1" w:rsidRDefault="00A554E4" w:rsidP="00D85C86">
            <w:pPr>
              <w:pStyle w:val="SCVtablebody"/>
              <w:spacing w:beforeLines="60" w:before="144" w:afterLines="80" w:after="192" w:line="240" w:lineRule="auto"/>
              <w:rPr>
                <w:b/>
                <w:bCs/>
                <w:sz w:val="20"/>
                <w:szCs w:val="20"/>
                <w:lang w:val="en-US"/>
              </w:rPr>
            </w:pPr>
          </w:p>
        </w:tc>
        <w:tc>
          <w:tcPr>
            <w:tcW w:w="3828" w:type="dxa"/>
            <w:tcBorders>
              <w:right w:val="single" w:sz="4" w:space="0" w:color="auto"/>
            </w:tcBorders>
          </w:tcPr>
          <w:p w14:paraId="47631FA8" w14:textId="412430D0" w:rsidR="00A554E4" w:rsidRPr="004118B1" w:rsidRDefault="00A554E4" w:rsidP="00C56E34">
            <w:pPr>
              <w:pStyle w:val="SCVtablebody"/>
              <w:spacing w:beforeLines="60" w:before="144" w:afterLines="80" w:after="192" w:line="240" w:lineRule="auto"/>
              <w:rPr>
                <w:sz w:val="20"/>
                <w:szCs w:val="20"/>
                <w:lang w:val="en-US"/>
              </w:rPr>
            </w:pPr>
            <w:r w:rsidRPr="004118B1">
              <w:rPr>
                <w:sz w:val="20"/>
                <w:szCs w:val="20"/>
                <w:lang w:val="en-US"/>
              </w:rPr>
              <w:t>Review SCV patient safety guidelines, policies and tools to include:</w:t>
            </w:r>
          </w:p>
          <w:p w14:paraId="767C59FE" w14:textId="5C0B66C4" w:rsidR="00A554E4" w:rsidRPr="004118B1" w:rsidRDefault="00A554E4">
            <w:pPr>
              <w:pStyle w:val="SCVbullet1"/>
              <w:rPr>
                <w:sz w:val="20"/>
                <w:szCs w:val="20"/>
                <w:lang w:val="en-US"/>
              </w:rPr>
            </w:pPr>
            <w:r w:rsidRPr="004118B1">
              <w:rPr>
                <w:sz w:val="20"/>
                <w:szCs w:val="20"/>
                <w:lang w:val="en-US"/>
              </w:rPr>
              <w:t xml:space="preserve">consideration for </w:t>
            </w:r>
            <w:r w:rsidRPr="004118B1">
              <w:rPr>
                <w:rFonts w:eastAsiaTheme="minorEastAsia"/>
                <w:sz w:val="20"/>
                <w:szCs w:val="20"/>
                <w:lang w:val="en-US" w:eastAsia="en-AU"/>
              </w:rPr>
              <w:t xml:space="preserve">person-centred, culturally </w:t>
            </w:r>
            <w:r w:rsidRPr="004118B1">
              <w:rPr>
                <w:sz w:val="20"/>
                <w:szCs w:val="20"/>
                <w:lang w:val="en-US"/>
              </w:rPr>
              <w:t>safe</w:t>
            </w:r>
            <w:r w:rsidRPr="004118B1">
              <w:rPr>
                <w:rFonts w:eastAsiaTheme="minorEastAsia"/>
                <w:sz w:val="20"/>
                <w:szCs w:val="20"/>
                <w:lang w:val="en-US" w:eastAsia="en-AU"/>
              </w:rPr>
              <w:t>, trauma-informed care</w:t>
            </w:r>
          </w:p>
          <w:p w14:paraId="6BD9642B" w14:textId="08F0CBC4" w:rsidR="00A554E4" w:rsidRPr="004118B1" w:rsidRDefault="00A554E4">
            <w:pPr>
              <w:pStyle w:val="SCVbullet1"/>
              <w:rPr>
                <w:rFonts w:eastAsiaTheme="minorEastAsia"/>
                <w:sz w:val="20"/>
                <w:szCs w:val="20"/>
                <w:lang w:val="en-US" w:eastAsia="en-AU"/>
              </w:rPr>
            </w:pPr>
            <w:r w:rsidRPr="004118B1">
              <w:rPr>
                <w:rFonts w:eastAsiaTheme="minorEastAsia"/>
                <w:sz w:val="20"/>
                <w:szCs w:val="20"/>
                <w:lang w:val="en-US" w:eastAsia="en-AU"/>
              </w:rPr>
              <w:t>a new policy position of a dedicated family support point of contact within Health Services, in response to paediatric Sentinel Events</w:t>
            </w:r>
          </w:p>
          <w:p w14:paraId="1B956C86" w14:textId="6B755C4A" w:rsidR="00A554E4" w:rsidRPr="004118B1" w:rsidRDefault="00A554E4">
            <w:pPr>
              <w:pStyle w:val="SCVbullet1"/>
              <w:rPr>
                <w:rFonts w:eastAsiaTheme="minorEastAsia"/>
                <w:sz w:val="20"/>
                <w:szCs w:val="20"/>
                <w:lang w:val="en-US" w:eastAsia="en-AU"/>
              </w:rPr>
            </w:pPr>
            <w:r w:rsidRPr="004118B1">
              <w:rPr>
                <w:rFonts w:eastAsiaTheme="minorEastAsia"/>
                <w:sz w:val="20"/>
                <w:szCs w:val="20"/>
                <w:lang w:val="en-US"/>
              </w:rPr>
              <w:t>improve maternity, neonatal and paediatric mortality reporting.</w:t>
            </w:r>
          </w:p>
        </w:tc>
        <w:tc>
          <w:tcPr>
            <w:tcW w:w="4108" w:type="dxa"/>
            <w:tcBorders>
              <w:left w:val="single" w:sz="4" w:space="0" w:color="auto"/>
            </w:tcBorders>
          </w:tcPr>
          <w:p w14:paraId="4E70FEE9" w14:textId="77777777" w:rsidR="00A554E4" w:rsidRPr="004118B1" w:rsidRDefault="00A554E4">
            <w:pPr>
              <w:pStyle w:val="SCVbullet1"/>
              <w:rPr>
                <w:sz w:val="20"/>
                <w:szCs w:val="20"/>
              </w:rPr>
            </w:pPr>
            <w:r w:rsidRPr="004118B1">
              <w:rPr>
                <w:sz w:val="20"/>
                <w:szCs w:val="20"/>
              </w:rPr>
              <w:t>Respond to emerging quality, safety and improvement opportunities, and foster a continuous learning health system.</w:t>
            </w:r>
          </w:p>
          <w:p w14:paraId="5FF00D41" w14:textId="77777777" w:rsidR="00A554E4" w:rsidRPr="004118B1" w:rsidRDefault="00A554E4">
            <w:pPr>
              <w:pStyle w:val="SCVbullet1"/>
              <w:rPr>
                <w:sz w:val="20"/>
                <w:szCs w:val="20"/>
              </w:rPr>
            </w:pPr>
            <w:r w:rsidRPr="004118B1">
              <w:rPr>
                <w:sz w:val="20"/>
                <w:szCs w:val="20"/>
              </w:rPr>
              <w:t>Take a whole-of-system approach to improvement, translating research and insights into planning, processes and practice that enables change in health services.</w:t>
            </w:r>
          </w:p>
          <w:p w14:paraId="173963F0" w14:textId="77777777" w:rsidR="00A554E4" w:rsidRPr="004118B1" w:rsidRDefault="00A554E4" w:rsidP="00C56E34">
            <w:pPr>
              <w:pStyle w:val="SCVbody"/>
              <w:spacing w:beforeLines="60" w:before="144" w:afterLines="80" w:after="192"/>
              <w:rPr>
                <w:sz w:val="20"/>
                <w:szCs w:val="20"/>
              </w:rPr>
            </w:pPr>
          </w:p>
        </w:tc>
      </w:tr>
      <w:tr w:rsidR="00A554E4" w:rsidRPr="004118B1" w14:paraId="18172900" w14:textId="77777777" w:rsidTr="00F83EA5">
        <w:tc>
          <w:tcPr>
            <w:tcW w:w="2268" w:type="dxa"/>
            <w:tcBorders>
              <w:right w:val="single" w:sz="4" w:space="0" w:color="auto"/>
            </w:tcBorders>
          </w:tcPr>
          <w:p w14:paraId="7938E7AB" w14:textId="77777777" w:rsidR="001E589D" w:rsidRPr="004118B1" w:rsidRDefault="001E589D" w:rsidP="001E589D">
            <w:pPr>
              <w:pStyle w:val="SCVtablebody"/>
              <w:spacing w:beforeLines="60" w:before="144" w:afterLines="80" w:after="192" w:line="240" w:lineRule="auto"/>
              <w:rPr>
                <w:b/>
                <w:bCs/>
                <w:sz w:val="20"/>
                <w:szCs w:val="20"/>
                <w:lang w:val="en-US"/>
              </w:rPr>
            </w:pPr>
            <w:r w:rsidRPr="004118B1">
              <w:rPr>
                <w:b/>
                <w:bCs/>
                <w:sz w:val="20"/>
                <w:szCs w:val="20"/>
                <w:lang w:val="en-US"/>
              </w:rPr>
              <w:t>Supporting health services to respond to patient safety concerns</w:t>
            </w:r>
          </w:p>
          <w:p w14:paraId="6978793B" w14:textId="77777777" w:rsidR="00A554E4" w:rsidRPr="004118B1" w:rsidRDefault="00A554E4" w:rsidP="00C56E34">
            <w:pPr>
              <w:pStyle w:val="SCVtablebody"/>
              <w:spacing w:beforeLines="60" w:before="144" w:afterLines="80" w:after="192" w:line="240" w:lineRule="auto"/>
              <w:rPr>
                <w:b/>
                <w:bCs/>
                <w:sz w:val="20"/>
                <w:szCs w:val="20"/>
                <w:lang w:val="en-US"/>
              </w:rPr>
            </w:pPr>
          </w:p>
        </w:tc>
        <w:tc>
          <w:tcPr>
            <w:tcW w:w="3828" w:type="dxa"/>
            <w:tcBorders>
              <w:right w:val="single" w:sz="4" w:space="0" w:color="auto"/>
            </w:tcBorders>
          </w:tcPr>
          <w:p w14:paraId="2A43E296" w14:textId="63E1145A" w:rsidR="00A554E4" w:rsidRPr="004118B1" w:rsidRDefault="00A554E4" w:rsidP="00C56E34">
            <w:pPr>
              <w:pStyle w:val="SCVtablebody"/>
              <w:spacing w:beforeLines="60" w:before="144" w:afterLines="80" w:after="192" w:line="240" w:lineRule="auto"/>
              <w:rPr>
                <w:sz w:val="20"/>
                <w:szCs w:val="20"/>
                <w:lang w:val="en-US"/>
              </w:rPr>
            </w:pPr>
            <w:r>
              <w:rPr>
                <w:sz w:val="20"/>
                <w:szCs w:val="20"/>
                <w:lang w:val="en-US"/>
              </w:rPr>
              <w:t>Assess</w:t>
            </w:r>
            <w:r w:rsidRPr="004118B1">
              <w:rPr>
                <w:sz w:val="20"/>
                <w:szCs w:val="20"/>
                <w:lang w:val="en-US"/>
              </w:rPr>
              <w:t xml:space="preserve"> SCV health service review systems and processes to: </w:t>
            </w:r>
          </w:p>
          <w:p w14:paraId="09586558" w14:textId="77777777" w:rsidR="00A554E4" w:rsidRPr="004118B1" w:rsidRDefault="00A554E4">
            <w:pPr>
              <w:pStyle w:val="SCVbullet1"/>
              <w:rPr>
                <w:sz w:val="20"/>
                <w:szCs w:val="20"/>
                <w:lang w:val="en-US"/>
              </w:rPr>
            </w:pPr>
            <w:r w:rsidRPr="004118B1">
              <w:rPr>
                <w:rFonts w:eastAsiaTheme="minorEastAsia"/>
                <w:sz w:val="20"/>
                <w:szCs w:val="20"/>
                <w:lang w:val="en-US" w:eastAsia="en-AU"/>
              </w:rPr>
              <w:t>ensure robust, holistic and independent reviews are undertaken effectively</w:t>
            </w:r>
          </w:p>
          <w:p w14:paraId="1F349412" w14:textId="77777777" w:rsidR="00A554E4" w:rsidRPr="004118B1" w:rsidRDefault="00A554E4">
            <w:pPr>
              <w:pStyle w:val="SCVbullet1"/>
              <w:rPr>
                <w:sz w:val="20"/>
                <w:szCs w:val="20"/>
                <w:lang w:val="en-US"/>
              </w:rPr>
            </w:pPr>
            <w:r w:rsidRPr="004118B1">
              <w:rPr>
                <w:rFonts w:eastAsiaTheme="minorEastAsia"/>
                <w:sz w:val="20"/>
                <w:szCs w:val="20"/>
                <w:lang w:val="en-US" w:eastAsia="en-AU"/>
              </w:rPr>
              <w:t>achieve strong recommendations and improvements for health services over time.</w:t>
            </w:r>
          </w:p>
        </w:tc>
        <w:tc>
          <w:tcPr>
            <w:tcW w:w="4108" w:type="dxa"/>
            <w:tcBorders>
              <w:left w:val="single" w:sz="4" w:space="0" w:color="auto"/>
            </w:tcBorders>
          </w:tcPr>
          <w:p w14:paraId="3F214BBC" w14:textId="77777777" w:rsidR="00A554E4" w:rsidRPr="004118B1" w:rsidRDefault="00A554E4">
            <w:pPr>
              <w:pStyle w:val="SCVbullet1"/>
              <w:rPr>
                <w:sz w:val="20"/>
                <w:szCs w:val="20"/>
              </w:rPr>
            </w:pPr>
            <w:r w:rsidRPr="004118B1">
              <w:rPr>
                <w:sz w:val="20"/>
                <w:szCs w:val="20"/>
              </w:rPr>
              <w:t>Respond to emerging quality, safety and improvement opportunities, and foster a continuous learning health system.</w:t>
            </w:r>
          </w:p>
          <w:p w14:paraId="7B6332ED" w14:textId="22813CA4" w:rsidR="00A554E4" w:rsidRPr="004118B1" w:rsidRDefault="00A554E4">
            <w:pPr>
              <w:pStyle w:val="SCVbullet1"/>
              <w:rPr>
                <w:sz w:val="20"/>
                <w:szCs w:val="20"/>
              </w:rPr>
            </w:pPr>
            <w:r w:rsidRPr="004118B1">
              <w:rPr>
                <w:sz w:val="20"/>
                <w:szCs w:val="20"/>
              </w:rPr>
              <w:t>Enable a strong safety culture in health services through embedding robust clinical governance that prioritises quality and safety improvement.</w:t>
            </w:r>
          </w:p>
          <w:p w14:paraId="27A5A0D1" w14:textId="77777777" w:rsidR="00A554E4" w:rsidRPr="004118B1" w:rsidRDefault="00A554E4">
            <w:pPr>
              <w:pStyle w:val="SCVbullet1"/>
              <w:rPr>
                <w:sz w:val="20"/>
                <w:szCs w:val="20"/>
              </w:rPr>
            </w:pPr>
            <w:r w:rsidRPr="004118B1">
              <w:rPr>
                <w:sz w:val="20"/>
                <w:szCs w:val="20"/>
              </w:rPr>
              <w:t>Take a whole-of-system approach to improvement, translating research and insights into planning, processes and practice that enables change in health services.</w:t>
            </w:r>
          </w:p>
        </w:tc>
      </w:tr>
      <w:tr w:rsidR="00A554E4" w:rsidRPr="004118B1" w14:paraId="506FC4DE" w14:textId="77777777" w:rsidTr="00F83EA5">
        <w:tc>
          <w:tcPr>
            <w:tcW w:w="2268" w:type="dxa"/>
            <w:tcBorders>
              <w:right w:val="single" w:sz="4" w:space="0" w:color="auto"/>
            </w:tcBorders>
          </w:tcPr>
          <w:p w14:paraId="5EEA49C5" w14:textId="77777777" w:rsidR="001E589D" w:rsidRPr="004118B1" w:rsidRDefault="001E589D" w:rsidP="001E589D">
            <w:pPr>
              <w:pStyle w:val="SCVbody"/>
              <w:spacing w:beforeLines="60" w:before="144" w:afterLines="80" w:after="192"/>
              <w:rPr>
                <w:b/>
                <w:bCs/>
                <w:sz w:val="20"/>
                <w:szCs w:val="20"/>
              </w:rPr>
            </w:pPr>
            <w:r w:rsidRPr="004118B1">
              <w:rPr>
                <w:b/>
                <w:bCs/>
                <w:sz w:val="20"/>
                <w:szCs w:val="20"/>
              </w:rPr>
              <w:t>Health Complaints Commissioner</w:t>
            </w:r>
          </w:p>
          <w:p w14:paraId="044BE3BF" w14:textId="77777777" w:rsidR="00A554E4" w:rsidRPr="004118B1" w:rsidRDefault="00A554E4" w:rsidP="00C56E34">
            <w:pPr>
              <w:pStyle w:val="SCVbody"/>
              <w:spacing w:beforeLines="60" w:before="144" w:afterLines="80" w:after="192"/>
              <w:rPr>
                <w:b/>
                <w:bCs/>
              </w:rPr>
            </w:pPr>
          </w:p>
        </w:tc>
        <w:tc>
          <w:tcPr>
            <w:tcW w:w="3828" w:type="dxa"/>
            <w:tcBorders>
              <w:right w:val="single" w:sz="4" w:space="0" w:color="auto"/>
            </w:tcBorders>
          </w:tcPr>
          <w:p w14:paraId="2A0D7859" w14:textId="3089C01E" w:rsidR="00A554E4" w:rsidRPr="004118B1" w:rsidRDefault="00A554E4" w:rsidP="00C56E34">
            <w:pPr>
              <w:pStyle w:val="SCVbody"/>
              <w:spacing w:beforeLines="60" w:before="144" w:afterLines="80" w:after="192"/>
              <w:rPr>
                <w:sz w:val="20"/>
                <w:szCs w:val="20"/>
              </w:rPr>
            </w:pPr>
            <w:r w:rsidRPr="004118B1">
              <w:rPr>
                <w:sz w:val="20"/>
                <w:szCs w:val="20"/>
              </w:rPr>
              <w:t>Commence implementation of the H</w:t>
            </w:r>
            <w:r>
              <w:rPr>
                <w:sz w:val="20"/>
                <w:szCs w:val="20"/>
              </w:rPr>
              <w:t xml:space="preserve">ealth </w:t>
            </w:r>
            <w:r w:rsidRPr="004118B1">
              <w:rPr>
                <w:sz w:val="20"/>
                <w:szCs w:val="20"/>
              </w:rPr>
              <w:t>C</w:t>
            </w:r>
            <w:r>
              <w:rPr>
                <w:sz w:val="20"/>
                <w:szCs w:val="20"/>
              </w:rPr>
              <w:t xml:space="preserve">omplaints </w:t>
            </w:r>
            <w:r w:rsidRPr="004118B1">
              <w:rPr>
                <w:sz w:val="20"/>
                <w:szCs w:val="20"/>
              </w:rPr>
              <w:t>C</w:t>
            </w:r>
            <w:r>
              <w:rPr>
                <w:sz w:val="20"/>
                <w:szCs w:val="20"/>
              </w:rPr>
              <w:t>ommissioner</w:t>
            </w:r>
            <w:r w:rsidRPr="004118B1">
              <w:rPr>
                <w:sz w:val="20"/>
                <w:szCs w:val="20"/>
              </w:rPr>
              <w:t xml:space="preserve"> transition into SCV, including staff movement and legislative reform.</w:t>
            </w:r>
          </w:p>
        </w:tc>
        <w:tc>
          <w:tcPr>
            <w:tcW w:w="4108" w:type="dxa"/>
            <w:tcBorders>
              <w:left w:val="single" w:sz="4" w:space="0" w:color="auto"/>
            </w:tcBorders>
          </w:tcPr>
          <w:p w14:paraId="61CEAA7F" w14:textId="07DA9F30" w:rsidR="00A554E4" w:rsidRPr="004118B1" w:rsidRDefault="00A554E4" w:rsidP="00C56E34">
            <w:pPr>
              <w:pStyle w:val="SCVbullet1"/>
              <w:spacing w:beforeLines="60" w:before="144" w:afterLines="80" w:after="192"/>
              <w:rPr>
                <w:sz w:val="20"/>
                <w:szCs w:val="20"/>
              </w:rPr>
            </w:pPr>
            <w:r w:rsidRPr="004118B1">
              <w:rPr>
                <w:sz w:val="20"/>
                <w:szCs w:val="20"/>
              </w:rPr>
              <w:t>Drive operational excellence by aligning efforts across SCV to improve performance and deli</w:t>
            </w:r>
            <w:r>
              <w:rPr>
                <w:sz w:val="20"/>
                <w:szCs w:val="20"/>
              </w:rPr>
              <w:t>v</w:t>
            </w:r>
            <w:r w:rsidRPr="004118B1">
              <w:rPr>
                <w:sz w:val="20"/>
                <w:szCs w:val="20"/>
              </w:rPr>
              <w:t>er strategic priorities.</w:t>
            </w:r>
          </w:p>
        </w:tc>
      </w:tr>
      <w:tr w:rsidR="00A554E4" w:rsidRPr="004118B1" w14:paraId="356CAF78" w14:textId="77777777" w:rsidTr="00F83EA5">
        <w:tc>
          <w:tcPr>
            <w:tcW w:w="2268" w:type="dxa"/>
            <w:tcBorders>
              <w:right w:val="single" w:sz="4" w:space="0" w:color="auto"/>
            </w:tcBorders>
          </w:tcPr>
          <w:p w14:paraId="672FA821" w14:textId="77777777" w:rsidR="001E589D" w:rsidRPr="004118B1" w:rsidRDefault="001E589D" w:rsidP="001E589D">
            <w:pPr>
              <w:pStyle w:val="SCVbody"/>
              <w:spacing w:beforeLines="60" w:before="144" w:afterLines="80" w:after="192"/>
              <w:rPr>
                <w:b/>
                <w:bCs/>
                <w:sz w:val="20"/>
                <w:szCs w:val="20"/>
              </w:rPr>
            </w:pPr>
            <w:r w:rsidRPr="004118B1">
              <w:rPr>
                <w:b/>
                <w:bCs/>
                <w:sz w:val="20"/>
                <w:szCs w:val="20"/>
              </w:rPr>
              <w:t xml:space="preserve">Health </w:t>
            </w:r>
            <w:r>
              <w:rPr>
                <w:b/>
                <w:bCs/>
                <w:sz w:val="20"/>
                <w:szCs w:val="20"/>
              </w:rPr>
              <w:t>r</w:t>
            </w:r>
            <w:r w:rsidRPr="004118B1">
              <w:rPr>
                <w:b/>
                <w:bCs/>
                <w:sz w:val="20"/>
                <w:szCs w:val="20"/>
              </w:rPr>
              <w:t xml:space="preserve">esearch </w:t>
            </w:r>
            <w:r>
              <w:rPr>
                <w:b/>
                <w:bCs/>
                <w:sz w:val="20"/>
                <w:szCs w:val="20"/>
              </w:rPr>
              <w:t>c</w:t>
            </w:r>
            <w:r w:rsidRPr="004118B1">
              <w:rPr>
                <w:b/>
                <w:bCs/>
                <w:sz w:val="20"/>
                <w:szCs w:val="20"/>
              </w:rPr>
              <w:t xml:space="preserve">apability </w:t>
            </w:r>
            <w:r>
              <w:rPr>
                <w:b/>
                <w:bCs/>
                <w:sz w:val="20"/>
                <w:szCs w:val="20"/>
              </w:rPr>
              <w:t>b</w:t>
            </w:r>
            <w:r w:rsidRPr="004118B1">
              <w:rPr>
                <w:b/>
                <w:bCs/>
                <w:sz w:val="20"/>
                <w:szCs w:val="20"/>
              </w:rPr>
              <w:t>uilding</w:t>
            </w:r>
          </w:p>
          <w:p w14:paraId="42734D5C" w14:textId="77777777" w:rsidR="00A554E4" w:rsidRPr="004118B1" w:rsidRDefault="00A554E4" w:rsidP="00C56E34">
            <w:pPr>
              <w:pStyle w:val="SCVbody"/>
              <w:spacing w:beforeLines="60" w:before="144" w:afterLines="80" w:after="192"/>
              <w:rPr>
                <w:b/>
                <w:bCs/>
              </w:rPr>
            </w:pPr>
          </w:p>
        </w:tc>
        <w:tc>
          <w:tcPr>
            <w:tcW w:w="3828" w:type="dxa"/>
            <w:tcBorders>
              <w:right w:val="single" w:sz="4" w:space="0" w:color="auto"/>
            </w:tcBorders>
          </w:tcPr>
          <w:p w14:paraId="3DD1742A" w14:textId="21871A81" w:rsidR="00A554E4" w:rsidRPr="004118B1" w:rsidRDefault="00A554E4" w:rsidP="00C56E34">
            <w:pPr>
              <w:pStyle w:val="SCVbullet1"/>
              <w:numPr>
                <w:ilvl w:val="0"/>
                <w:numId w:val="0"/>
              </w:numPr>
              <w:spacing w:beforeLines="60" w:before="144" w:afterLines="80" w:after="192"/>
              <w:rPr>
                <w:sz w:val="20"/>
                <w:szCs w:val="20"/>
                <w:lang w:val="en-US"/>
              </w:rPr>
            </w:pPr>
            <w:r w:rsidRPr="004118B1">
              <w:rPr>
                <w:rFonts w:eastAsia="Times New Roman" w:cstheme="minorHAnsi"/>
                <w:sz w:val="20"/>
                <w:szCs w:val="20"/>
                <w:lang w:val="en-US"/>
              </w:rPr>
              <w:t xml:space="preserve">Enhance the capacity of SCV and the </w:t>
            </w:r>
            <w:r>
              <w:rPr>
                <w:rFonts w:eastAsia="Times New Roman" w:cstheme="minorHAnsi"/>
                <w:sz w:val="20"/>
                <w:szCs w:val="20"/>
                <w:lang w:val="en-US"/>
              </w:rPr>
              <w:t>department</w:t>
            </w:r>
            <w:r w:rsidRPr="004118B1">
              <w:rPr>
                <w:rFonts w:eastAsia="Times New Roman" w:cstheme="minorHAnsi"/>
                <w:sz w:val="20"/>
                <w:szCs w:val="20"/>
                <w:lang w:val="en-US"/>
              </w:rPr>
              <w:t xml:space="preserve"> to:</w:t>
            </w:r>
          </w:p>
          <w:p w14:paraId="27624880" w14:textId="77777777" w:rsidR="00A554E4" w:rsidRPr="004118B1" w:rsidRDefault="00A554E4">
            <w:pPr>
              <w:pStyle w:val="SCVbullet1"/>
              <w:rPr>
                <w:b/>
                <w:sz w:val="20"/>
                <w:szCs w:val="20"/>
              </w:rPr>
            </w:pPr>
            <w:r w:rsidRPr="004118B1">
              <w:rPr>
                <w:rFonts w:eastAsiaTheme="minorEastAsia"/>
                <w:sz w:val="20"/>
                <w:szCs w:val="20"/>
                <w:lang w:val="en-US" w:eastAsia="en-AU"/>
              </w:rPr>
              <w:t>conduct and embed research</w:t>
            </w:r>
          </w:p>
          <w:p w14:paraId="008416CB" w14:textId="77777777" w:rsidR="00A554E4" w:rsidRPr="004118B1" w:rsidRDefault="00A554E4" w:rsidP="00C56E34">
            <w:pPr>
              <w:pStyle w:val="SCVbullet1"/>
              <w:spacing w:beforeLines="60" w:before="144"/>
              <w:rPr>
                <w:b/>
                <w:bCs/>
                <w:sz w:val="20"/>
                <w:szCs w:val="20"/>
              </w:rPr>
            </w:pPr>
            <w:r w:rsidRPr="004118B1">
              <w:rPr>
                <w:sz w:val="20"/>
                <w:szCs w:val="20"/>
                <w:lang w:val="en-US" w:eastAsia="en-AU"/>
              </w:rPr>
              <w:t xml:space="preserve">support a culture where research is integral to healthcare delivery and improvement. </w:t>
            </w:r>
          </w:p>
        </w:tc>
        <w:tc>
          <w:tcPr>
            <w:tcW w:w="4108" w:type="dxa"/>
            <w:tcBorders>
              <w:left w:val="single" w:sz="4" w:space="0" w:color="auto"/>
            </w:tcBorders>
          </w:tcPr>
          <w:p w14:paraId="666B1760" w14:textId="77777777" w:rsidR="00A554E4" w:rsidRPr="004118B1" w:rsidRDefault="00A554E4" w:rsidP="00C56E34">
            <w:pPr>
              <w:pStyle w:val="SCVbullet1"/>
              <w:spacing w:beforeLines="60" w:before="144" w:afterLines="80" w:after="192"/>
              <w:rPr>
                <w:sz w:val="20"/>
                <w:szCs w:val="20"/>
              </w:rPr>
            </w:pPr>
            <w:r w:rsidRPr="004118B1">
              <w:rPr>
                <w:sz w:val="20"/>
                <w:szCs w:val="20"/>
              </w:rPr>
              <w:t>Take a whole-of-system approach to improvement, translating research and insights into planning, processes and practice.</w:t>
            </w:r>
          </w:p>
        </w:tc>
      </w:tr>
      <w:tr w:rsidR="00A554E4" w:rsidRPr="004118B1" w14:paraId="155A593C" w14:textId="77777777" w:rsidTr="00F83EA5">
        <w:trPr>
          <w:trHeight w:val="2987"/>
        </w:trPr>
        <w:tc>
          <w:tcPr>
            <w:tcW w:w="2268" w:type="dxa"/>
            <w:tcBorders>
              <w:right w:val="single" w:sz="4" w:space="0" w:color="auto"/>
            </w:tcBorders>
          </w:tcPr>
          <w:p w14:paraId="6E3B0237" w14:textId="77777777" w:rsidR="001E589D" w:rsidRPr="004118B1" w:rsidRDefault="001E589D" w:rsidP="001E589D">
            <w:pPr>
              <w:pStyle w:val="SCVbody"/>
              <w:spacing w:beforeLines="60" w:before="144" w:afterLines="80" w:after="192"/>
              <w:rPr>
                <w:b/>
                <w:bCs/>
                <w:sz w:val="20"/>
                <w:szCs w:val="20"/>
              </w:rPr>
            </w:pPr>
            <w:r w:rsidRPr="004118B1">
              <w:rPr>
                <w:b/>
                <w:bCs/>
                <w:sz w:val="20"/>
                <w:szCs w:val="20"/>
              </w:rPr>
              <w:t>Australian Teletrial Program</w:t>
            </w:r>
          </w:p>
          <w:p w14:paraId="5140241D" w14:textId="77777777" w:rsidR="00A554E4" w:rsidRPr="004118B1" w:rsidRDefault="00A554E4" w:rsidP="00C56E34">
            <w:pPr>
              <w:pStyle w:val="SCVbody"/>
              <w:spacing w:beforeLines="60" w:before="144" w:afterLines="80" w:after="192"/>
              <w:rPr>
                <w:b/>
                <w:bCs/>
              </w:rPr>
            </w:pPr>
          </w:p>
        </w:tc>
        <w:tc>
          <w:tcPr>
            <w:tcW w:w="3828" w:type="dxa"/>
            <w:tcBorders>
              <w:right w:val="single" w:sz="4" w:space="0" w:color="auto"/>
            </w:tcBorders>
          </w:tcPr>
          <w:p w14:paraId="478BB21C" w14:textId="77777777" w:rsidR="00A554E4" w:rsidRPr="004118B1" w:rsidRDefault="00A554E4" w:rsidP="00C56E34">
            <w:pPr>
              <w:pStyle w:val="SCVbody"/>
              <w:spacing w:beforeLines="60" w:before="144" w:afterLines="80" w:after="192"/>
              <w:rPr>
                <w:sz w:val="20"/>
                <w:szCs w:val="20"/>
              </w:rPr>
            </w:pPr>
            <w:r w:rsidRPr="004118B1">
              <w:rPr>
                <w:sz w:val="20"/>
                <w:szCs w:val="20"/>
              </w:rPr>
              <w:t xml:space="preserve">Expand clinical trial activity and equitable access across regional, rural and remote Victoria by: </w:t>
            </w:r>
          </w:p>
          <w:p w14:paraId="553CC3B9" w14:textId="77777777" w:rsidR="00A554E4" w:rsidRPr="004118B1" w:rsidRDefault="00A554E4" w:rsidP="00C56E34">
            <w:pPr>
              <w:pStyle w:val="SCVbullet1"/>
              <w:spacing w:beforeLines="60" w:before="144"/>
              <w:rPr>
                <w:sz w:val="20"/>
                <w:szCs w:val="20"/>
              </w:rPr>
            </w:pPr>
            <w:r w:rsidRPr="004118B1">
              <w:rPr>
                <w:sz w:val="20"/>
                <w:szCs w:val="20"/>
              </w:rPr>
              <w:t xml:space="preserve">supporting ATP National Office’s program governance </w:t>
            </w:r>
          </w:p>
          <w:p w14:paraId="172D6B19" w14:textId="31BEA162" w:rsidR="00A554E4" w:rsidRPr="004118B1" w:rsidRDefault="00A554E4" w:rsidP="00C56E34">
            <w:pPr>
              <w:pStyle w:val="SCVbullet1"/>
              <w:spacing w:beforeLines="60" w:before="144"/>
              <w:rPr>
                <w:sz w:val="20"/>
                <w:szCs w:val="20"/>
              </w:rPr>
            </w:pPr>
            <w:r w:rsidRPr="004118B1">
              <w:rPr>
                <w:sz w:val="20"/>
                <w:szCs w:val="20"/>
              </w:rPr>
              <w:t xml:space="preserve">assisting </w:t>
            </w:r>
            <w:r>
              <w:rPr>
                <w:sz w:val="20"/>
                <w:szCs w:val="20"/>
              </w:rPr>
              <w:t>7</w:t>
            </w:r>
            <w:r w:rsidRPr="004118B1">
              <w:rPr>
                <w:sz w:val="20"/>
                <w:szCs w:val="20"/>
              </w:rPr>
              <w:t xml:space="preserve"> regional health services to conduct teletrials</w:t>
            </w:r>
          </w:p>
          <w:p w14:paraId="6AFA10AC" w14:textId="7BF4FA6F" w:rsidR="00A554E4" w:rsidRPr="00C56E34" w:rsidRDefault="00A554E4" w:rsidP="00C56E34">
            <w:pPr>
              <w:pStyle w:val="SCVbullet1"/>
              <w:spacing w:beforeLines="60" w:before="144"/>
              <w:rPr>
                <w:b/>
                <w:bCs/>
                <w:sz w:val="20"/>
                <w:szCs w:val="20"/>
              </w:rPr>
            </w:pPr>
            <w:r w:rsidRPr="004118B1">
              <w:rPr>
                <w:sz w:val="20"/>
                <w:szCs w:val="20"/>
              </w:rPr>
              <w:t xml:space="preserve">coordinating </w:t>
            </w:r>
            <w:r>
              <w:rPr>
                <w:sz w:val="20"/>
                <w:szCs w:val="20"/>
              </w:rPr>
              <w:t xml:space="preserve">a </w:t>
            </w:r>
            <w:r w:rsidRPr="004118B1">
              <w:rPr>
                <w:sz w:val="20"/>
                <w:szCs w:val="20"/>
              </w:rPr>
              <w:t>clinical trial concierge service</w:t>
            </w:r>
            <w:r>
              <w:rPr>
                <w:sz w:val="20"/>
                <w:szCs w:val="20"/>
              </w:rPr>
              <w:t xml:space="preserve"> that </w:t>
            </w:r>
            <w:r w:rsidRPr="004118B1">
              <w:rPr>
                <w:sz w:val="20"/>
                <w:szCs w:val="20"/>
              </w:rPr>
              <w:t>connect</w:t>
            </w:r>
            <w:r>
              <w:rPr>
                <w:sz w:val="20"/>
                <w:szCs w:val="20"/>
              </w:rPr>
              <w:t xml:space="preserve">s </w:t>
            </w:r>
            <w:r w:rsidRPr="004118B1">
              <w:rPr>
                <w:sz w:val="20"/>
                <w:szCs w:val="20"/>
              </w:rPr>
              <w:t>sponsor organisations with health services.</w:t>
            </w:r>
          </w:p>
        </w:tc>
        <w:tc>
          <w:tcPr>
            <w:tcW w:w="4108" w:type="dxa"/>
            <w:tcBorders>
              <w:left w:val="single" w:sz="4" w:space="0" w:color="auto"/>
            </w:tcBorders>
          </w:tcPr>
          <w:p w14:paraId="165E7DD0" w14:textId="77777777" w:rsidR="00A554E4" w:rsidRPr="004118B1" w:rsidRDefault="00A554E4" w:rsidP="00C56E34">
            <w:pPr>
              <w:pStyle w:val="SCVbullet1"/>
              <w:spacing w:beforeLines="60" w:before="144" w:afterLines="80" w:after="192"/>
              <w:rPr>
                <w:sz w:val="20"/>
                <w:szCs w:val="20"/>
              </w:rPr>
            </w:pPr>
            <w:r w:rsidRPr="00D85C86">
              <w:rPr>
                <w:sz w:val="20"/>
                <w:szCs w:val="20"/>
              </w:rPr>
              <w:t>Respond to emerging quality, safety and</w:t>
            </w:r>
            <w:r w:rsidRPr="004118B1">
              <w:rPr>
                <w:sz w:val="20"/>
                <w:szCs w:val="20"/>
              </w:rPr>
              <w:t xml:space="preserve"> improvement opportunities, and foster a continuous learning health system.</w:t>
            </w:r>
          </w:p>
          <w:p w14:paraId="420D5A9F" w14:textId="77777777" w:rsidR="00A554E4" w:rsidRPr="004118B1" w:rsidRDefault="00A554E4" w:rsidP="00C56E34">
            <w:pPr>
              <w:pStyle w:val="SCVbody"/>
              <w:spacing w:beforeLines="60" w:before="144" w:afterLines="80" w:after="192"/>
              <w:rPr>
                <w:sz w:val="20"/>
                <w:szCs w:val="20"/>
                <w:lang w:val="en-US"/>
              </w:rPr>
            </w:pPr>
          </w:p>
        </w:tc>
      </w:tr>
    </w:tbl>
    <w:p w14:paraId="54919FC6" w14:textId="7B9292FE" w:rsidR="003A3551" w:rsidRPr="001A0A4A" w:rsidRDefault="003A3551" w:rsidP="00A45CB0">
      <w:pPr>
        <w:pStyle w:val="SCVbody"/>
        <w:sectPr w:rsidR="003A3551" w:rsidRPr="001A0A4A" w:rsidSect="00F740E1">
          <w:pgSz w:w="11906" w:h="16838" w:code="9"/>
          <w:pgMar w:top="1985" w:right="851" w:bottom="1361" w:left="851" w:header="851" w:footer="851" w:gutter="0"/>
          <w:cols w:space="284"/>
          <w:docGrid w:linePitch="360"/>
        </w:sectPr>
      </w:pPr>
    </w:p>
    <w:p w14:paraId="71AB4060" w14:textId="77777777" w:rsidR="00E22A20" w:rsidRPr="0059267A" w:rsidRDefault="00E22A20" w:rsidP="00A45CB0">
      <w:pPr>
        <w:pStyle w:val="SCVbody"/>
      </w:pPr>
    </w:p>
    <w:sectPr w:rsidR="00E22A20" w:rsidRPr="0059267A" w:rsidSect="00F740E1">
      <w:headerReference w:type="even" r:id="rId43"/>
      <w:headerReference w:type="default" r:id="rId44"/>
      <w:footerReference w:type="even" r:id="rId45"/>
      <w:footerReference w:type="default" r:id="rId46"/>
      <w:pgSz w:w="11906" w:h="16838" w:code="9"/>
      <w:pgMar w:top="3402" w:right="851" w:bottom="1361" w:left="851" w:header="851" w:footer="85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8B028F" w14:textId="77777777" w:rsidR="000342D6" w:rsidRDefault="000342D6" w:rsidP="002D711A">
      <w:pPr>
        <w:spacing w:after="0" w:line="240" w:lineRule="auto"/>
      </w:pPr>
      <w:r>
        <w:separator/>
      </w:r>
    </w:p>
  </w:endnote>
  <w:endnote w:type="continuationSeparator" w:id="0">
    <w:p w14:paraId="7D8070D6" w14:textId="77777777" w:rsidR="000342D6" w:rsidRDefault="000342D6" w:rsidP="002D71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ACFF" w:usb2="00000009" w:usb3="00000000" w:csb0="000001FF" w:csb1="00000000"/>
  </w:font>
  <w:font w:name="Wingdings 2">
    <w:panose1 w:val="05020102010507070707"/>
    <w:charset w:val="4D"/>
    <w:family w:val="decorative"/>
    <w:pitch w:val="variable"/>
    <w:sig w:usb0="00000003" w:usb1="00000000" w:usb2="00000000" w:usb3="00000000" w:csb0="80000001"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DD64F" w14:textId="77777777" w:rsidR="00C50A2B" w:rsidRDefault="00651BA6">
    <w:pPr>
      <w:pStyle w:val="Footer"/>
    </w:pPr>
    <w:r>
      <mc:AlternateContent>
        <mc:Choice Requires="wps">
          <w:drawing>
            <wp:anchor distT="0" distB="0" distL="114300" distR="114300" simplePos="0" relativeHeight="251658245" behindDoc="0" locked="0" layoutInCell="0" allowOverlap="1" wp14:anchorId="42154226" wp14:editId="67FAD127">
              <wp:simplePos x="0" y="0"/>
              <wp:positionH relativeFrom="page">
                <wp:posOffset>0</wp:posOffset>
              </wp:positionH>
              <wp:positionV relativeFrom="page">
                <wp:posOffset>10189687</wp:posOffset>
              </wp:positionV>
              <wp:extent cx="7560310" cy="311785"/>
              <wp:effectExtent l="0" t="0" r="0" b="12065"/>
              <wp:wrapNone/>
              <wp:docPr id="8" name="MSIPCM85da41e59cf8990602f6e330" descr="{&quot;HashCode&quot;:904758361,&quot;Height&quot;:841.0,&quot;Width&quot;:595.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4208BCD" w14:textId="77777777" w:rsidR="00651BA6" w:rsidRPr="00651BA6" w:rsidRDefault="00651BA6" w:rsidP="00651BA6">
                          <w:pPr>
                            <w:spacing w:before="0" w:after="0"/>
                            <w:jc w:val="center"/>
                            <w:rPr>
                              <w:rFonts w:ascii="Arial Black" w:hAnsi="Arial Black"/>
                              <w:color w:val="000000"/>
                            </w:rPr>
                          </w:pPr>
                          <w:r w:rsidRPr="00651BA6">
                            <w:rPr>
                              <w:rFonts w:ascii="Arial Black" w:hAnsi="Arial Black"/>
                              <w:color w:val="00000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2154226" id="_x0000_t202" coordsize="21600,21600" o:spt="202" path="m,l,21600r21600,l21600,xe">
              <v:stroke joinstyle="miter"/>
              <v:path gradientshapeok="t" o:connecttype="rect"/>
            </v:shapetype>
            <v:shape id="MSIPCM85da41e59cf8990602f6e330" o:spid="_x0000_s1026" type="#_x0000_t202" alt="{&quot;HashCode&quot;:904758361,&quot;Height&quot;:841.0,&quot;Width&quot;:595.0,&quot;Placement&quot;:&quot;Footer&quot;,&quot;Index&quot;:&quot;OddAndEven&quot;,&quot;Section&quot;:1,&quot;Top&quot;:0.0,&quot;Left&quot;:0.0}" style="position:absolute;margin-left:0;margin-top:802.35pt;width:595.3pt;height:24.55pt;z-index:251658245;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" o:allowincell="f" filled="f" stroked="f" strokeweight=".5pt">
              <v:textbox inset=",0,,0">
                <w:txbxContent>
                  <w:p w14:paraId="44208BCD" w14:textId="77777777" w:rsidR="00651BA6" w:rsidRPr="00651BA6" w:rsidRDefault="00651BA6" w:rsidP="00651BA6">
                    <w:pPr>
                      <w:spacing w:before="0" w:after="0"/>
                      <w:jc w:val="center"/>
                      <w:rPr>
                        <w:rFonts w:ascii="Arial Black" w:hAnsi="Arial Black"/>
                        <w:color w:val="000000"/>
                      </w:rPr>
                    </w:pPr>
                    <w:r w:rsidRPr="00651BA6">
                      <w:rPr>
                        <w:rFonts w:ascii="Arial Black" w:hAnsi="Arial Black"/>
                        <w:color w:val="00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1E28D" w14:textId="77777777" w:rsidR="00C50A2B" w:rsidRPr="006B337A" w:rsidRDefault="00651BA6" w:rsidP="006B337A">
    <w:pPr>
      <w:pStyle w:val="SCVheaderempty"/>
    </w:pPr>
    <w:r>
      <w:rPr>
        <w:noProof/>
      </w:rPr>
      <mc:AlternateContent>
        <mc:Choice Requires="wps">
          <w:drawing>
            <wp:anchor distT="0" distB="0" distL="114300" distR="114300" simplePos="0" relativeHeight="251658244" behindDoc="0" locked="0" layoutInCell="0" allowOverlap="1" wp14:anchorId="159EC4EF" wp14:editId="4DAC1C01">
              <wp:simplePos x="0" y="0"/>
              <wp:positionH relativeFrom="page">
                <wp:posOffset>0</wp:posOffset>
              </wp:positionH>
              <wp:positionV relativeFrom="page">
                <wp:posOffset>10189210</wp:posOffset>
              </wp:positionV>
              <wp:extent cx="7560310" cy="311785"/>
              <wp:effectExtent l="0" t="0" r="0" b="12065"/>
              <wp:wrapNone/>
              <wp:docPr id="2" name="MSIPCM4fe946caa31db4b464ad4a8e" descr="{&quot;HashCode&quot;:904758361,&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C88476F" w14:textId="77777777" w:rsidR="00651BA6" w:rsidRPr="00651BA6" w:rsidRDefault="00651BA6" w:rsidP="00651BA6">
                          <w:pPr>
                            <w:spacing w:before="0" w:after="0"/>
                            <w:jc w:val="center"/>
                            <w:rPr>
                              <w:rFonts w:ascii="Arial Black" w:hAnsi="Arial Black"/>
                              <w:color w:val="000000"/>
                            </w:rPr>
                          </w:pPr>
                          <w:r w:rsidRPr="00651BA6">
                            <w:rPr>
                              <w:rFonts w:ascii="Arial Black" w:hAnsi="Arial Black"/>
                              <w:color w:val="00000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159EC4EF" id="_x0000_t202" coordsize="21600,21600" o:spt="202" path="m,l,21600r21600,l21600,xe">
              <v:stroke joinstyle="miter"/>
              <v:path gradientshapeok="t" o:connecttype="rect"/>
            </v:shapetype>
            <v:shape id="MSIPCM4fe946caa31db4b464ad4a8e" o:spid="_x0000_s1027" type="#_x0000_t202" alt="{&quot;HashCode&quot;:904758361,&quot;Height&quot;:841.0,&quot;Width&quot;:595.0,&quot;Placement&quot;:&quot;Footer&quot;,&quot;Index&quot;:&quot;Primary&quot;,&quot;Section&quot;:1,&quot;Top&quot;:0.0,&quot;Left&quot;:0.0}" style="position:absolute;margin-left:0;margin-top:802.3pt;width:595.3pt;height:24.55pt;z-index:25165824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" o:allowincell="f" filled="f" stroked="f" strokeweight=".5pt">
              <v:textbox inset=",0,,0">
                <w:txbxContent>
                  <w:p w14:paraId="2C88476F" w14:textId="77777777" w:rsidR="00651BA6" w:rsidRPr="00651BA6" w:rsidRDefault="00651BA6" w:rsidP="00651BA6">
                    <w:pPr>
                      <w:spacing w:before="0" w:after="0"/>
                      <w:jc w:val="center"/>
                      <w:rPr>
                        <w:rFonts w:ascii="Arial Black" w:hAnsi="Arial Black"/>
                        <w:color w:val="000000"/>
                      </w:rPr>
                    </w:pPr>
                    <w:r w:rsidRPr="00651BA6">
                      <w:rPr>
                        <w:rFonts w:ascii="Arial Black" w:hAnsi="Arial Black"/>
                        <w:color w:val="00000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5E8D7" w14:textId="77777777" w:rsidR="009854CB" w:rsidRDefault="009854C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96D69" w14:textId="77777777" w:rsidR="00C50A2B" w:rsidRPr="002A5891" w:rsidRDefault="00651BA6" w:rsidP="006B337A">
    <w:pPr>
      <w:pStyle w:val="SCVfooterempty"/>
    </w:pPr>
    <w:r>
      <w:rPr>
        <w:noProof/>
      </w:rPr>
      <mc:AlternateContent>
        <mc:Choice Requires="wps">
          <w:drawing>
            <wp:anchor distT="0" distB="0" distL="114300" distR="114300" simplePos="0" relativeHeight="251658247" behindDoc="0" locked="0" layoutInCell="0" allowOverlap="1" wp14:anchorId="146A837B" wp14:editId="727D3857">
              <wp:simplePos x="0" y="0"/>
              <wp:positionH relativeFrom="page">
                <wp:posOffset>0</wp:posOffset>
              </wp:positionH>
              <wp:positionV relativeFrom="page">
                <wp:posOffset>10189210</wp:posOffset>
              </wp:positionV>
              <wp:extent cx="7560310" cy="311785"/>
              <wp:effectExtent l="0" t="0" r="0" b="12065"/>
              <wp:wrapNone/>
              <wp:docPr id="14" name="MSIPCM95f549839bdbab76079cfd26" descr="{&quot;HashCode&quot;:904758361,&quot;Height&quot;:841.0,&quot;Width&quot;:595.0,&quot;Placement&quot;:&quot;Footer&quot;,&quot;Index&quot;:&quot;OddAndEven&quot;,&quot;Section&quot;:2,&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C9141FF" w14:textId="77777777" w:rsidR="00651BA6" w:rsidRPr="00651BA6" w:rsidRDefault="00651BA6" w:rsidP="00651BA6">
                          <w:pPr>
                            <w:spacing w:before="0" w:after="0"/>
                            <w:jc w:val="center"/>
                            <w:rPr>
                              <w:rFonts w:ascii="Arial Black" w:hAnsi="Arial Black"/>
                              <w:color w:val="000000"/>
                            </w:rPr>
                          </w:pPr>
                          <w:r w:rsidRPr="00651BA6">
                            <w:rPr>
                              <w:rFonts w:ascii="Arial Black" w:hAnsi="Arial Black"/>
                              <w:color w:val="00000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146A837B" id="_x0000_t202" coordsize="21600,21600" o:spt="202" path="m,l,21600r21600,l21600,xe">
              <v:stroke joinstyle="miter"/>
              <v:path gradientshapeok="t" o:connecttype="rect"/>
            </v:shapetype>
            <v:shape id="MSIPCM95f549839bdbab76079cfd26" o:spid="_x0000_s1028" type="#_x0000_t202" alt="{&quot;HashCode&quot;:904758361,&quot;Height&quot;:841.0,&quot;Width&quot;:595.0,&quot;Placement&quot;:&quot;Footer&quot;,&quot;Index&quot;:&quot;OddAndEven&quot;,&quot;Section&quot;:2,&quot;Top&quot;:0.0,&quot;Left&quot;:0.0}" style="position:absolute;margin-left:0;margin-top:802.3pt;width:595.3pt;height:24.55pt;z-index:251658247;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" o:allowincell="f" filled="f" stroked="f" strokeweight=".5pt">
              <v:textbox inset=",0,,0">
                <w:txbxContent>
                  <w:p w14:paraId="5C9141FF" w14:textId="77777777" w:rsidR="00651BA6" w:rsidRPr="00651BA6" w:rsidRDefault="00651BA6" w:rsidP="00651BA6">
                    <w:pPr>
                      <w:spacing w:before="0" w:after="0"/>
                      <w:jc w:val="center"/>
                      <w:rPr>
                        <w:rFonts w:ascii="Arial Black" w:hAnsi="Arial Black"/>
                        <w:color w:val="000000"/>
                      </w:rPr>
                    </w:pPr>
                    <w:r w:rsidRPr="00651BA6">
                      <w:rPr>
                        <w:rFonts w:ascii="Arial Black" w:hAnsi="Arial Black"/>
                        <w:color w:val="000000"/>
                      </w:rPr>
                      <w:t>OFFICIAL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C4F69" w14:textId="77777777" w:rsidR="00C50A2B" w:rsidRPr="006B337A" w:rsidRDefault="00651BA6" w:rsidP="006B337A">
    <w:pPr>
      <w:pStyle w:val="SCVheaderempty"/>
    </w:pPr>
    <w:r>
      <w:rPr>
        <w:noProof/>
      </w:rPr>
      <mc:AlternateContent>
        <mc:Choice Requires="wps">
          <w:drawing>
            <wp:anchor distT="0" distB="0" distL="114300" distR="114300" simplePos="0" relativeHeight="251658246" behindDoc="0" locked="0" layoutInCell="0" allowOverlap="1" wp14:anchorId="794850E9" wp14:editId="423E02B6">
              <wp:simplePos x="0" y="0"/>
              <wp:positionH relativeFrom="page">
                <wp:posOffset>0</wp:posOffset>
              </wp:positionH>
              <wp:positionV relativeFrom="page">
                <wp:posOffset>10189687</wp:posOffset>
              </wp:positionV>
              <wp:extent cx="7560310" cy="311785"/>
              <wp:effectExtent l="0" t="0" r="0" b="12065"/>
              <wp:wrapNone/>
              <wp:docPr id="13" name="MSIPCMcb4047618476c565b29a7162" descr="{&quot;HashCode&quot;:904758361,&quot;Height&quot;:841.0,&quot;Width&quot;:595.0,&quot;Placement&quot;:&quot;Foot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C59DB61" w14:textId="77777777" w:rsidR="00651BA6" w:rsidRPr="00651BA6" w:rsidRDefault="00651BA6" w:rsidP="00651BA6">
                          <w:pPr>
                            <w:spacing w:before="0" w:after="0"/>
                            <w:jc w:val="center"/>
                            <w:rPr>
                              <w:rFonts w:ascii="Arial Black" w:hAnsi="Arial Black"/>
                              <w:color w:val="000000"/>
                            </w:rPr>
                          </w:pPr>
                          <w:r w:rsidRPr="00651BA6">
                            <w:rPr>
                              <w:rFonts w:ascii="Arial Black" w:hAnsi="Arial Black"/>
                              <w:color w:val="00000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794850E9" id="_x0000_t202" coordsize="21600,21600" o:spt="202" path="m,l,21600r21600,l21600,xe">
              <v:stroke joinstyle="miter"/>
              <v:path gradientshapeok="t" o:connecttype="rect"/>
            </v:shapetype>
            <v:shape id="MSIPCMcb4047618476c565b29a7162" o:spid="_x0000_s1029" type="#_x0000_t202" alt="{&quot;HashCode&quot;:904758361,&quot;Height&quot;:841.0,&quot;Width&quot;:595.0,&quot;Placement&quot;:&quot;Footer&quot;,&quot;Index&quot;:&quot;Primary&quot;,&quot;Section&quot;:2,&quot;Top&quot;:0.0,&quot;Left&quot;:0.0}" style="position:absolute;margin-left:0;margin-top:802.35pt;width:595.3pt;height:24.55pt;z-index:251658246;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" o:allowincell="f" filled="f" stroked="f" strokeweight=".5pt">
              <v:textbox inset=",0,,0">
                <w:txbxContent>
                  <w:p w14:paraId="7C59DB61" w14:textId="77777777" w:rsidR="00651BA6" w:rsidRPr="00651BA6" w:rsidRDefault="00651BA6" w:rsidP="00651BA6">
                    <w:pPr>
                      <w:spacing w:before="0" w:after="0"/>
                      <w:jc w:val="center"/>
                      <w:rPr>
                        <w:rFonts w:ascii="Arial Black" w:hAnsi="Arial Black"/>
                        <w:color w:val="000000"/>
                      </w:rPr>
                    </w:pPr>
                    <w:r w:rsidRPr="00651BA6">
                      <w:rPr>
                        <w:rFonts w:ascii="Arial Black" w:hAnsi="Arial Black"/>
                        <w:color w:val="000000"/>
                      </w:rPr>
                      <w:t>OFFICIAL</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DB557" w14:textId="77777777" w:rsidR="00C50A2B" w:rsidRDefault="00C50A2B">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val="0"/>
      </w:rPr>
      <w:id w:val="1768267429"/>
      <w:docPartObj>
        <w:docPartGallery w:val="Page Numbers (Bottom of Page)"/>
        <w:docPartUnique/>
      </w:docPartObj>
    </w:sdtPr>
    <w:sdtEndPr>
      <w:rPr>
        <w:noProof/>
      </w:rPr>
    </w:sdtEndPr>
    <w:sdtContent>
      <w:p w14:paraId="38967F75" w14:textId="3B07C8E6" w:rsidR="00184388" w:rsidRDefault="00184388">
        <w:pPr>
          <w:pStyle w:val="Footer"/>
          <w:jc w:val="right"/>
        </w:pPr>
        <w:r>
          <w:rPr>
            <w:noProof w:val="0"/>
          </w:rPr>
          <w:fldChar w:fldCharType="begin"/>
        </w:r>
        <w:r>
          <w:instrText xml:space="preserve"> PAGE   \* MERGEFORMAT </w:instrText>
        </w:r>
        <w:r>
          <w:rPr>
            <w:noProof w:val="0"/>
          </w:rPr>
          <w:fldChar w:fldCharType="separate"/>
        </w:r>
        <w:r>
          <w:t>2</w:t>
        </w:r>
        <w:r>
          <w:fldChar w:fldCharType="end"/>
        </w:r>
      </w:p>
    </w:sdtContent>
  </w:sdt>
  <w:p w14:paraId="5FD02351" w14:textId="1F23B9AA" w:rsidR="00C50A2B" w:rsidRPr="002A5891" w:rsidRDefault="00C50A2B" w:rsidP="00651BA6">
    <w:pPr>
      <w:pStyle w:val="SCVfootereven"/>
      <w:tabs>
        <w:tab w:val="clear" w:pos="1304"/>
        <w:tab w:val="center" w:pos="5245"/>
        <w:tab w:val="right" w:pos="10065"/>
      </w:tabs>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0B030" w14:textId="3D96732E" w:rsidR="00C50A2B" w:rsidRPr="002A5891" w:rsidRDefault="00651BA6" w:rsidP="00651BA6">
    <w:pPr>
      <w:pStyle w:val="SCVfooterodd"/>
      <w:tabs>
        <w:tab w:val="clear" w:pos="1304"/>
        <w:tab w:val="center" w:pos="5245"/>
        <w:tab w:val="right" w:pos="10065"/>
      </w:tabs>
      <w:jc w:val="left"/>
    </w:pPr>
    <w:r w:rsidRPr="00553D7D">
      <w:rPr>
        <w:b/>
        <w:bCs/>
      </w:rPr>
      <mc:AlternateContent>
        <mc:Choice Requires="wps">
          <w:drawing>
            <wp:anchor distT="0" distB="0" distL="114300" distR="114300" simplePos="0" relativeHeight="251658248" behindDoc="0" locked="0" layoutInCell="0" allowOverlap="1" wp14:anchorId="76F8D4BB" wp14:editId="0E19147A">
              <wp:simplePos x="0" y="0"/>
              <wp:positionH relativeFrom="page">
                <wp:posOffset>0</wp:posOffset>
              </wp:positionH>
              <wp:positionV relativeFrom="page">
                <wp:posOffset>10189210</wp:posOffset>
              </wp:positionV>
              <wp:extent cx="7560310" cy="311785"/>
              <wp:effectExtent l="0" t="0" r="0" b="12065"/>
              <wp:wrapNone/>
              <wp:docPr id="15" name="MSIPCMf8dc44a38a665c7c47be6fe4" descr="{&quot;HashCode&quot;:904758361,&quot;Height&quot;:841.0,&quot;Width&quot;:595.0,&quot;Placement&quot;:&quot;Footer&quot;,&quot;Index&quot;:&quot;Primary&quot;,&quot;Section&quot;:3,&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2F35F8C" w14:textId="77777777" w:rsidR="00651BA6" w:rsidRPr="00651BA6" w:rsidRDefault="00651BA6" w:rsidP="00651BA6">
                          <w:pPr>
                            <w:spacing w:before="0" w:after="0"/>
                            <w:jc w:val="center"/>
                            <w:rPr>
                              <w:rFonts w:ascii="Arial Black" w:hAnsi="Arial Black"/>
                              <w:color w:val="000000"/>
                            </w:rPr>
                          </w:pPr>
                          <w:r w:rsidRPr="00651BA6">
                            <w:rPr>
                              <w:rFonts w:ascii="Arial Black" w:hAnsi="Arial Black"/>
                              <w:color w:val="00000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76F8D4BB" id="_x0000_t202" coordsize="21600,21600" o:spt="202" path="m,l,21600r21600,l21600,xe">
              <v:stroke joinstyle="miter"/>
              <v:path gradientshapeok="t" o:connecttype="rect"/>
            </v:shapetype>
            <v:shape id="MSIPCMf8dc44a38a665c7c47be6fe4" o:spid="_x0000_s1030" type="#_x0000_t202" alt="{&quot;HashCode&quot;:904758361,&quot;Height&quot;:841.0,&quot;Width&quot;:595.0,&quot;Placement&quot;:&quot;Footer&quot;,&quot;Index&quot;:&quot;Primary&quot;,&quot;Section&quot;:3,&quot;Top&quot;:0.0,&quot;Left&quot;:0.0}" style="position:absolute;margin-left:0;margin-top:802.3pt;width:595.3pt;height:24.55pt;z-index:25165824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" o:allowincell="f" filled="f" stroked="f" strokeweight=".5pt">
              <v:textbox inset=",0,,0">
                <w:txbxContent>
                  <w:p w14:paraId="62F35F8C" w14:textId="77777777" w:rsidR="00651BA6" w:rsidRPr="00651BA6" w:rsidRDefault="00651BA6" w:rsidP="00651BA6">
                    <w:pPr>
                      <w:spacing w:before="0" w:after="0"/>
                      <w:jc w:val="center"/>
                      <w:rPr>
                        <w:rFonts w:ascii="Arial Black" w:hAnsi="Arial Black"/>
                        <w:color w:val="000000"/>
                      </w:rPr>
                    </w:pPr>
                    <w:r w:rsidRPr="00651BA6">
                      <w:rPr>
                        <w:rFonts w:ascii="Arial Black" w:hAnsi="Arial Black"/>
                        <w:color w:val="000000"/>
                      </w:rPr>
                      <w:t>OFFICIAL</w:t>
                    </w:r>
                  </w:p>
                </w:txbxContent>
              </v:textbox>
              <w10:wrap anchorx="page" anchory="page"/>
            </v:shape>
          </w:pict>
        </mc:Fallback>
      </mc:AlternateContent>
    </w:r>
    <w:r w:rsidR="00553D7D" w:rsidRPr="00553D7D">
      <w:rPr>
        <w:b/>
        <w:bCs/>
      </w:rPr>
      <w:t>Safer Care Victoria</w:t>
    </w:r>
    <w:r w:rsidR="00553D7D">
      <w:t xml:space="preserve"> </w:t>
    </w:r>
    <w:r w:rsidR="00785D4A" w:rsidRPr="003B5188">
      <w:fldChar w:fldCharType="begin"/>
    </w:r>
    <w:r w:rsidR="00785D4A" w:rsidRPr="005F6A53">
      <w:rPr>
        <w:b/>
        <w:bCs/>
      </w:rPr>
      <w:instrText>STYLEREF  "SCV report title"  \* MERGEFORMAT</w:instrText>
    </w:r>
    <w:r w:rsidR="00785D4A" w:rsidRPr="003B5188">
      <w:fldChar w:fldCharType="separate"/>
    </w:r>
    <w:r w:rsidR="00BA15DD" w:rsidRPr="00BA15DD">
      <w:rPr>
        <w:b/>
        <w:bCs/>
        <w:lang w:val="en-US"/>
      </w:rPr>
      <w:t>Annual Plan 2026</w:t>
    </w:r>
    <w:r w:rsidR="00BA15DD">
      <w:rPr>
        <w:b/>
        <w:bCs/>
      </w:rPr>
      <w:t>–27</w:t>
    </w:r>
    <w:r w:rsidR="00785D4A" w:rsidRPr="003B5188">
      <w:fldChar w:fldCharType="end"/>
    </w:r>
    <w:r>
      <w:tab/>
    </w:r>
    <w:r>
      <w:rPr>
        <w:b/>
      </w:rPr>
      <w:tab/>
    </w:r>
    <w:r w:rsidR="00C50A2B">
      <w:rPr>
        <w:noProof w:val="0"/>
      </w:rPr>
      <w:fldChar w:fldCharType="begin"/>
    </w:r>
    <w:r w:rsidR="00C50A2B">
      <w:instrText xml:space="preserve"> PAGE   \* MERGEFORMAT </w:instrText>
    </w:r>
    <w:r w:rsidR="00C50A2B">
      <w:rPr>
        <w:noProof w:val="0"/>
      </w:rPr>
      <w:fldChar w:fldCharType="separate"/>
    </w:r>
    <w:r w:rsidR="00C50A2B">
      <w:t>3</w:t>
    </w:r>
    <w:r w:rsidR="00C50A2B">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33680" w14:textId="77451012" w:rsidR="000E3570" w:rsidRPr="002A5891" w:rsidRDefault="000E3570" w:rsidP="00651BA6">
    <w:pPr>
      <w:pStyle w:val="SCVfootereven"/>
      <w:tabs>
        <w:tab w:val="clear" w:pos="1304"/>
        <w:tab w:val="center" w:pos="5245"/>
        <w:tab w:val="right" w:pos="10065"/>
      </w:tabs>
    </w:pPr>
    <w:r>
      <mc:AlternateContent>
        <mc:Choice Requires="wps">
          <w:drawing>
            <wp:anchor distT="0" distB="0" distL="114300" distR="114300" simplePos="0" relativeHeight="251658251" behindDoc="0" locked="0" layoutInCell="0" allowOverlap="1" wp14:anchorId="187E6EAC" wp14:editId="4568695E">
              <wp:simplePos x="0" y="0"/>
              <wp:positionH relativeFrom="page">
                <wp:posOffset>0</wp:posOffset>
              </wp:positionH>
              <wp:positionV relativeFrom="page">
                <wp:posOffset>10189210</wp:posOffset>
              </wp:positionV>
              <wp:extent cx="7560310" cy="311785"/>
              <wp:effectExtent l="0" t="0" r="0" b="12065"/>
              <wp:wrapNone/>
              <wp:docPr id="649811100" name="MSIPCM00a844029575e827cc2c71c1" descr="{&quot;HashCode&quot;:904758361,&quot;Height&quot;:841.0,&quot;Width&quot;:595.0,&quot;Placement&quot;:&quot;Footer&quot;,&quot;Index&quot;:&quot;OddAndEven&quot;,&quot;Section&quot;:3,&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A74C10E" w14:textId="77777777" w:rsidR="000E3570" w:rsidRPr="00651BA6" w:rsidRDefault="000E3570" w:rsidP="00651BA6">
                          <w:pPr>
                            <w:spacing w:before="0" w:after="0"/>
                            <w:jc w:val="center"/>
                            <w:rPr>
                              <w:rFonts w:ascii="Arial Black" w:hAnsi="Arial Black"/>
                              <w:color w:val="000000"/>
                            </w:rPr>
                          </w:pPr>
                          <w:r w:rsidRPr="00651BA6">
                            <w:rPr>
                              <w:rFonts w:ascii="Arial Black" w:hAnsi="Arial Black"/>
                              <w:color w:val="00000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187E6EAC" id="_x0000_t202" coordsize="21600,21600" o:spt="202" path="m,l,21600r21600,l21600,xe">
              <v:stroke joinstyle="miter"/>
              <v:path gradientshapeok="t" o:connecttype="rect"/>
            </v:shapetype>
            <v:shape id="MSIPCM00a844029575e827cc2c71c1" o:spid="_x0000_s1031" type="#_x0000_t202" alt="{&quot;HashCode&quot;:904758361,&quot;Height&quot;:841.0,&quot;Width&quot;:595.0,&quot;Placement&quot;:&quot;Footer&quot;,&quot;Index&quot;:&quot;OddAndEven&quot;,&quot;Section&quot;:3,&quot;Top&quot;:0.0,&quot;Left&quot;:0.0}" style="position:absolute;margin-left:0;margin-top:802.3pt;width:595.3pt;height:24.55pt;z-index:251658251;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" o:allowincell="f" filled="f" stroked="f" strokeweight=".5pt">
              <v:textbox inset=",0,,0">
                <w:txbxContent>
                  <w:p w14:paraId="0A74C10E" w14:textId="77777777" w:rsidR="000E3570" w:rsidRPr="00651BA6" w:rsidRDefault="000E3570" w:rsidP="00651BA6">
                    <w:pPr>
                      <w:spacing w:before="0" w:after="0"/>
                      <w:jc w:val="center"/>
                      <w:rPr>
                        <w:rFonts w:ascii="Arial Black" w:hAnsi="Arial Black"/>
                        <w:color w:val="000000"/>
                      </w:rPr>
                    </w:pPr>
                    <w:r w:rsidRPr="00651BA6">
                      <w:rPr>
                        <w:rFonts w:ascii="Arial Black" w:hAnsi="Arial Black"/>
                        <w:color w:val="000000"/>
                      </w:rPr>
                      <w:t>OFFICIAL</w:t>
                    </w:r>
                  </w:p>
                </w:txbxContent>
              </v:textbox>
              <w10:wrap anchorx="page" anchory="page"/>
            </v:shape>
          </w:pict>
        </mc:Fallback>
      </mc:AlternateContent>
    </w:r>
    <w:r>
      <w:rPr>
        <w:noProof w:val="0"/>
      </w:rPr>
      <w:fldChar w:fldCharType="begin"/>
    </w:r>
    <w:r>
      <w:instrText xml:space="preserve"> PAGE   \* MERGEFORMAT </w:instrText>
    </w:r>
    <w:r>
      <w:rPr>
        <w:noProof w:val="0"/>
      </w:rPr>
      <w:fldChar w:fldCharType="separate"/>
    </w:r>
    <w:r>
      <w:t>8</w:t>
    </w:r>
    <w:r>
      <w:fldChar w:fldCharType="end"/>
    </w:r>
    <w:r>
      <w:tab/>
    </w:r>
    <w:r w:rsidRPr="00724F74">
      <w:rPr>
        <w:b/>
      </w:rPr>
      <w:t>Safer Care Victoria</w:t>
    </w:r>
    <w:r>
      <w:rPr>
        <w:b/>
      </w:rPr>
      <w:tab/>
    </w:r>
    <w:fldSimple w:instr="STYLEREF  &quot;SCV report title&quot;  \* MERGEFORMAT">
      <w:r w:rsidR="00E1445C" w:rsidRPr="00E1445C">
        <w:rPr>
          <w:b/>
          <w:bCs/>
          <w:lang w:val="en-US"/>
        </w:rPr>
        <w:t>Annual Plan 2026</w:t>
      </w:r>
      <w:r w:rsidR="00E1445C">
        <w:t>–27</w:t>
      </w:r>
    </w:fldSimple>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8506E" w14:textId="77777777" w:rsidR="00C50A2B" w:rsidRPr="002A5891" w:rsidRDefault="00651BA6" w:rsidP="00BC437C">
    <w:pPr>
      <w:pStyle w:val="SCVfooterempty"/>
    </w:pPr>
    <w:r>
      <w:rPr>
        <w:noProof/>
      </w:rPr>
      <mc:AlternateContent>
        <mc:Choice Requires="wps">
          <w:drawing>
            <wp:anchor distT="0" distB="0" distL="114300" distR="114300" simplePos="0" relativeHeight="251658250" behindDoc="0" locked="0" layoutInCell="0" allowOverlap="1" wp14:anchorId="047CFC24" wp14:editId="3EB33AAC">
              <wp:simplePos x="0" y="0"/>
              <wp:positionH relativeFrom="page">
                <wp:posOffset>0</wp:posOffset>
              </wp:positionH>
              <wp:positionV relativeFrom="page">
                <wp:posOffset>10189687</wp:posOffset>
              </wp:positionV>
              <wp:extent cx="7560310" cy="311785"/>
              <wp:effectExtent l="0" t="0" r="0" b="12065"/>
              <wp:wrapNone/>
              <wp:docPr id="20" name="MSIPCMd08d4d098ab544d95265a8fb" descr="{&quot;HashCode&quot;:904758361,&quot;Height&quot;:841.0,&quot;Width&quot;:595.0,&quot;Placement&quot;:&quot;Footer&quot;,&quot;Index&quot;:&quot;OddAndEven&quot;,&quot;Section&quot;:5,&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FD6A983" w14:textId="77777777" w:rsidR="00651BA6" w:rsidRPr="00651BA6" w:rsidRDefault="00651BA6" w:rsidP="00651BA6">
                          <w:pPr>
                            <w:spacing w:before="0" w:after="0"/>
                            <w:jc w:val="center"/>
                            <w:rPr>
                              <w:rFonts w:ascii="Arial Black" w:hAnsi="Arial Black"/>
                              <w:color w:val="000000"/>
                            </w:rPr>
                          </w:pPr>
                          <w:r w:rsidRPr="00651BA6">
                            <w:rPr>
                              <w:rFonts w:ascii="Arial Black" w:hAnsi="Arial Black"/>
                              <w:color w:val="00000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047CFC24" id="_x0000_t202" coordsize="21600,21600" o:spt="202" path="m,l,21600r21600,l21600,xe">
              <v:stroke joinstyle="miter"/>
              <v:path gradientshapeok="t" o:connecttype="rect"/>
            </v:shapetype>
            <v:shape id="MSIPCMd08d4d098ab544d95265a8fb" o:spid="_x0000_s1032" type="#_x0000_t202" alt="{&quot;HashCode&quot;:904758361,&quot;Height&quot;:841.0,&quot;Width&quot;:595.0,&quot;Placement&quot;:&quot;Footer&quot;,&quot;Index&quot;:&quot;OddAndEven&quot;,&quot;Section&quot;:5,&quot;Top&quot;:0.0,&quot;Left&quot;:0.0}" style="position:absolute;margin-left:0;margin-top:802.35pt;width:595.3pt;height:24.55pt;z-index:25165825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" o:allowincell="f" filled="f" stroked="f" strokeweight=".5pt">
              <v:textbox inset=",0,,0">
                <w:txbxContent>
                  <w:p w14:paraId="3FD6A983" w14:textId="77777777" w:rsidR="00651BA6" w:rsidRPr="00651BA6" w:rsidRDefault="00651BA6" w:rsidP="00651BA6">
                    <w:pPr>
                      <w:spacing w:before="0" w:after="0"/>
                      <w:jc w:val="center"/>
                      <w:rPr>
                        <w:rFonts w:ascii="Arial Black" w:hAnsi="Arial Black"/>
                        <w:color w:val="000000"/>
                      </w:rPr>
                    </w:pPr>
                    <w:r w:rsidRPr="00651BA6">
                      <w:rPr>
                        <w:rFonts w:ascii="Arial Black" w:hAnsi="Arial Black"/>
                        <w:color w:val="000000"/>
                      </w:rPr>
                      <w:t>OFFICIAL</w:t>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03F2B" w14:textId="0FCE6ED7" w:rsidR="00C50A2B" w:rsidRPr="002A5891" w:rsidRDefault="00651BA6" w:rsidP="00553D7D">
    <w:pPr>
      <w:pStyle w:val="SCVfooterempty"/>
      <w:tabs>
        <w:tab w:val="clear" w:pos="1304"/>
        <w:tab w:val="left" w:pos="4035"/>
      </w:tabs>
    </w:pPr>
    <w:r>
      <w:rPr>
        <w:noProof/>
      </w:rPr>
      <mc:AlternateContent>
        <mc:Choice Requires="wps">
          <w:drawing>
            <wp:anchor distT="0" distB="0" distL="114300" distR="114300" simplePos="0" relativeHeight="251658249" behindDoc="0" locked="0" layoutInCell="0" allowOverlap="1" wp14:anchorId="3F77B4B0" wp14:editId="634C1A44">
              <wp:simplePos x="0" y="0"/>
              <wp:positionH relativeFrom="page">
                <wp:posOffset>0</wp:posOffset>
              </wp:positionH>
              <wp:positionV relativeFrom="page">
                <wp:posOffset>10189210</wp:posOffset>
              </wp:positionV>
              <wp:extent cx="7560310" cy="311785"/>
              <wp:effectExtent l="0" t="0" r="0" b="12065"/>
              <wp:wrapNone/>
              <wp:docPr id="19" name="MSIPCM27e14e23aaba14f2ae2f9ee4" descr="{&quot;HashCode&quot;:904758361,&quot;Height&quot;:841.0,&quot;Width&quot;:595.0,&quot;Placement&quot;:&quot;Footer&quot;,&quot;Index&quot;:&quot;Primary&quot;,&quot;Section&quot;:5,&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95C0F0D" w14:textId="77777777" w:rsidR="00651BA6" w:rsidRPr="00651BA6" w:rsidRDefault="00651BA6" w:rsidP="00651BA6">
                          <w:pPr>
                            <w:spacing w:before="0" w:after="0"/>
                            <w:jc w:val="center"/>
                            <w:rPr>
                              <w:rFonts w:ascii="Arial Black" w:hAnsi="Arial Black"/>
                              <w:color w:val="000000"/>
                            </w:rPr>
                          </w:pPr>
                          <w:r w:rsidRPr="00651BA6">
                            <w:rPr>
                              <w:rFonts w:ascii="Arial Black" w:hAnsi="Arial Black"/>
                              <w:color w:val="00000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3F77B4B0" id="_x0000_t202" coordsize="21600,21600" o:spt="202" path="m,l,21600r21600,l21600,xe">
              <v:stroke joinstyle="miter"/>
              <v:path gradientshapeok="t" o:connecttype="rect"/>
            </v:shapetype>
            <v:shape id="MSIPCM27e14e23aaba14f2ae2f9ee4" o:spid="_x0000_s1033" type="#_x0000_t202" alt="{&quot;HashCode&quot;:904758361,&quot;Height&quot;:841.0,&quot;Width&quot;:595.0,&quot;Placement&quot;:&quot;Footer&quot;,&quot;Index&quot;:&quot;Primary&quot;,&quot;Section&quot;:5,&quot;Top&quot;:0.0,&quot;Left&quot;:0.0}" style="position:absolute;margin-left:0;margin-top:802.3pt;width:595.3pt;height:24.55pt;z-index:251658249;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" o:allowincell="f" filled="f" stroked="f" strokeweight=".5pt">
              <v:textbox inset=",0,,0">
                <w:txbxContent>
                  <w:p w14:paraId="795C0F0D" w14:textId="77777777" w:rsidR="00651BA6" w:rsidRPr="00651BA6" w:rsidRDefault="00651BA6" w:rsidP="00651BA6">
                    <w:pPr>
                      <w:spacing w:before="0" w:after="0"/>
                      <w:jc w:val="center"/>
                      <w:rPr>
                        <w:rFonts w:ascii="Arial Black" w:hAnsi="Arial Black"/>
                        <w:color w:val="000000"/>
                      </w:rPr>
                    </w:pPr>
                    <w:r w:rsidRPr="00651BA6">
                      <w:rPr>
                        <w:rFonts w:ascii="Arial Black" w:hAnsi="Arial Black"/>
                        <w:color w:val="000000"/>
                      </w:rPr>
                      <w:t>OFFICIAL</w:t>
                    </w:r>
                  </w:p>
                </w:txbxContent>
              </v:textbox>
              <w10:wrap anchorx="page" anchory="page"/>
            </v:shape>
          </w:pict>
        </mc:Fallback>
      </mc:AlternateContent>
    </w:r>
    <w:r w:rsidR="00553D7D">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E4B06A" w14:textId="77777777" w:rsidR="000342D6" w:rsidRDefault="000342D6" w:rsidP="00E33E08">
      <w:pPr>
        <w:spacing w:before="0" w:after="0" w:line="240" w:lineRule="auto"/>
      </w:pPr>
    </w:p>
  </w:footnote>
  <w:footnote w:type="continuationSeparator" w:id="0">
    <w:p w14:paraId="2901E33B" w14:textId="77777777" w:rsidR="000342D6" w:rsidRDefault="000342D6" w:rsidP="00E33E08">
      <w:pPr>
        <w:spacing w:before="0" w:after="0" w:line="240" w:lineRule="auto"/>
      </w:pPr>
    </w:p>
  </w:footnote>
  <w:footnote w:id="1">
    <w:p w14:paraId="14C96497" w14:textId="52786A28" w:rsidR="000F7286" w:rsidRDefault="000F7286">
      <w:pPr>
        <w:pStyle w:val="FootnoteText"/>
      </w:pPr>
      <w:r>
        <w:rPr>
          <w:rStyle w:val="FootnoteReference"/>
        </w:rPr>
        <w:footnoteRef/>
      </w:r>
      <w:r>
        <w:t xml:space="preserve"> </w:t>
      </w:r>
      <w:r w:rsidRPr="000F7286">
        <w:t>https://www.safercare.vic.gov.au/publications/statement-of-expectation</w:t>
      </w:r>
      <w:r w:rsidR="004D2D50">
        <w:t>s</w:t>
      </w:r>
    </w:p>
  </w:footnote>
  <w:footnote w:id="2">
    <w:p w14:paraId="0C0D3B57" w14:textId="051C8F09" w:rsidR="006F51A1" w:rsidRDefault="006F51A1">
      <w:pPr>
        <w:pStyle w:val="FootnoteText"/>
      </w:pPr>
      <w:r>
        <w:rPr>
          <w:rStyle w:val="FootnoteReference"/>
        </w:rPr>
        <w:footnoteRef/>
      </w:r>
      <w:r>
        <w:t xml:space="preserve"> </w:t>
      </w:r>
      <w:r w:rsidRPr="006F51A1">
        <w:t>https://www.safercare.vic.gov.au/about-us/plans-and-reports</w:t>
      </w:r>
    </w:p>
  </w:footnote>
  <w:footnote w:id="3">
    <w:p w14:paraId="1BBF8E02" w14:textId="25E7CCD7" w:rsidR="000F7286" w:rsidRDefault="000F7286">
      <w:pPr>
        <w:pStyle w:val="FootnoteText"/>
      </w:pPr>
      <w:r>
        <w:rPr>
          <w:rStyle w:val="FootnoteReference"/>
        </w:rPr>
        <w:footnoteRef/>
      </w:r>
      <w:r>
        <w:t xml:space="preserve"> </w:t>
      </w:r>
      <w:r w:rsidRPr="000F7286">
        <w:t>http://www.safercare.vic.gov.au/about/ccopmm</w:t>
      </w:r>
    </w:p>
  </w:footnote>
  <w:footnote w:id="4">
    <w:p w14:paraId="316F463C" w14:textId="0C1BEEAD" w:rsidR="00CC1568" w:rsidRDefault="00CC1568">
      <w:pPr>
        <w:pStyle w:val="FootnoteText"/>
      </w:pPr>
      <w:r>
        <w:rPr>
          <w:rStyle w:val="FootnoteReference"/>
        </w:rPr>
        <w:footnoteRef/>
      </w:r>
      <w:r>
        <w:t xml:space="preserve"> </w:t>
      </w:r>
      <w:r w:rsidRPr="00CC1568">
        <w:t>https://www.safercare.vic.gov.au/councils/vpcc</w:t>
      </w:r>
    </w:p>
  </w:footnote>
  <w:footnote w:id="5">
    <w:p w14:paraId="7D8CB298" w14:textId="53DE86B6" w:rsidR="00E53C61" w:rsidRDefault="00E53C61">
      <w:pPr>
        <w:pStyle w:val="FootnoteText"/>
      </w:pPr>
      <w:r>
        <w:rPr>
          <w:rStyle w:val="FootnoteReference"/>
        </w:rPr>
        <w:footnoteRef/>
      </w:r>
      <w:r>
        <w:t xml:space="preserve"> </w:t>
      </w:r>
      <w:r w:rsidRPr="00E53C61">
        <w:t>https://www.safetyandquality.gov.au/national-standards/nsqhs-standards</w:t>
      </w:r>
    </w:p>
  </w:footnote>
  <w:footnote w:id="6">
    <w:p w14:paraId="1339F72B" w14:textId="611FF87C" w:rsidR="00E53C61" w:rsidRDefault="00E53C61">
      <w:pPr>
        <w:pStyle w:val="FootnoteText"/>
      </w:pPr>
      <w:r>
        <w:rPr>
          <w:rStyle w:val="FootnoteReference"/>
        </w:rPr>
        <w:footnoteRef/>
      </w:r>
      <w:r>
        <w:t xml:space="preserve"> </w:t>
      </w:r>
      <w:r w:rsidRPr="00E53C61">
        <w:t>https://www.safercare.vic.gov.au/best-practice-improvement/clinical-governance/framework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D1437" w14:textId="77777777" w:rsidR="009854CB" w:rsidRDefault="009854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57E41" w14:textId="76232A14" w:rsidR="00AA4288" w:rsidRDefault="005619BB" w:rsidP="00AA4288">
    <w:pPr>
      <w:pStyle w:val="SCVheaderempty"/>
    </w:pPr>
    <w:r>
      <w:rPr>
        <w:noProof/>
      </w:rPr>
      <w:drawing>
        <wp:anchor distT="0" distB="0" distL="114300" distR="114300" simplePos="0" relativeHeight="251658241" behindDoc="1" locked="1" layoutInCell="1" allowOverlap="1" wp14:anchorId="3045B6E6" wp14:editId="1A7B63FA">
          <wp:simplePos x="0" y="0"/>
          <wp:positionH relativeFrom="page">
            <wp:align>left</wp:align>
          </wp:positionH>
          <wp:positionV relativeFrom="page">
            <wp:align>top</wp:align>
          </wp:positionV>
          <wp:extent cx="7563600" cy="10697040"/>
          <wp:effectExtent l="0" t="0" r="0" b="9525"/>
          <wp:wrapNone/>
          <wp:docPr id="2080312324" name="Picture 2080312324" descr="Safer Care Victo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afer Care Victoria"/>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3600" cy="1069704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E231B" w14:textId="77777777" w:rsidR="009854CB" w:rsidRDefault="009854C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51D54" w14:textId="77777777" w:rsidR="00C50A2B" w:rsidRDefault="00C50A2B" w:rsidP="00947A0F">
    <w:pPr>
      <w:pStyle w:val="SCVheaderempty"/>
    </w:pPr>
    <w:r>
      <w:rPr>
        <w:noProof/>
      </w:rPr>
      <w:drawing>
        <wp:anchor distT="0" distB="0" distL="114300" distR="114300" simplePos="0" relativeHeight="251658240" behindDoc="1" locked="1" layoutInCell="1" allowOverlap="1" wp14:anchorId="60153DAA" wp14:editId="09A0EEDC">
          <wp:simplePos x="0" y="0"/>
          <wp:positionH relativeFrom="page">
            <wp:posOffset>540385</wp:posOffset>
          </wp:positionH>
          <wp:positionV relativeFrom="page">
            <wp:posOffset>540385</wp:posOffset>
          </wp:positionV>
          <wp:extent cx="6505200" cy="5670000"/>
          <wp:effectExtent l="0" t="0" r="0" b="6985"/>
          <wp:wrapNone/>
          <wp:docPr id="1360651111" name="Picture 1360651111" descr="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Decorative"/>
                  <pic:cNvPicPr/>
                </pic:nvPicPr>
                <pic:blipFill>
                  <a:blip r:embed="rId1">
                    <a:extLst>
                      <a:ext uri="{28A0092B-C50C-407E-A947-70E740481C1C}">
                        <a14:useLocalDpi xmlns:a14="http://schemas.microsoft.com/office/drawing/2010/main" val="0"/>
                      </a:ext>
                    </a:extLst>
                  </a:blip>
                  <a:stretch>
                    <a:fillRect/>
                  </a:stretch>
                </pic:blipFill>
                <pic:spPr>
                  <a:xfrm>
                    <a:off x="0" y="0"/>
                    <a:ext cx="6505200" cy="5670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8E1A3" w14:textId="77777777" w:rsidR="000C0AE9" w:rsidRDefault="000C0AE9" w:rsidP="00AA4288">
    <w:pPr>
      <w:pStyle w:val="SCVheaderempty"/>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1621D" w14:textId="77777777" w:rsidR="00C50A2B" w:rsidRDefault="00C50A2B" w:rsidP="0086277A">
    <w:pPr>
      <w:pStyle w:val="NoSpacing"/>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DF154" w14:textId="7A189A48" w:rsidR="00C50A2B" w:rsidRDefault="00C50A2B" w:rsidP="00947A0F">
    <w:pPr>
      <w:pStyle w:val="SCVheaderempty"/>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54B1C" w14:textId="77777777" w:rsidR="00C50A2B" w:rsidRDefault="00C50A2B" w:rsidP="00947A0F">
    <w:pPr>
      <w:pStyle w:val="SCVheaderempty"/>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DD20B" w14:textId="77777777" w:rsidR="00C50A2B" w:rsidRDefault="00C50A2B" w:rsidP="00BC437C">
    <w:pPr>
      <w:pStyle w:val="SCV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8B6B3" w14:textId="4929C227" w:rsidR="00C50A2B" w:rsidRDefault="00C50A2B" w:rsidP="00972812">
    <w:pPr>
      <w:pStyle w:val="SCV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4488F" w14:textId="77777777" w:rsidR="00C50A2B" w:rsidRDefault="000C0AE9" w:rsidP="006B337A">
    <w:pPr>
      <w:pStyle w:val="SCVheaderempty"/>
    </w:pPr>
    <w:r>
      <w:rPr>
        <w:noProof/>
      </w:rPr>
      <w:drawing>
        <wp:anchor distT="0" distB="0" distL="114300" distR="114300" simplePos="0" relativeHeight="251658243" behindDoc="1" locked="1" layoutInCell="1" allowOverlap="1" wp14:anchorId="5B78E34E" wp14:editId="01E81A1A">
          <wp:simplePos x="0" y="0"/>
          <wp:positionH relativeFrom="page">
            <wp:align>left</wp:align>
          </wp:positionH>
          <wp:positionV relativeFrom="page">
            <wp:align>top</wp:align>
          </wp:positionV>
          <wp:extent cx="7559640" cy="10691640"/>
          <wp:effectExtent l="0" t="0" r="3810" b="0"/>
          <wp:wrapNone/>
          <wp:docPr id="9" name="back cover" descr="Safer Care Victo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ack cover" descr="Safer Care Victoria"/>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59640" cy="10691640"/>
                  </a:xfrm>
                  <a:prstGeom prst="rect">
                    <a:avLst/>
                  </a:prstGeom>
                </pic:spPr>
              </pic:pic>
            </a:graphicData>
          </a:graphic>
          <wp14:sizeRelH relativeFrom="margin">
            <wp14:pctWidth>0</wp14:pctWidth>
          </wp14:sizeRelH>
          <wp14:sizeRelV relativeFrom="margin">
            <wp14:pctHeight>0</wp14:pctHeight>
          </wp14:sizeRelV>
        </wp:anchor>
      </w:drawing>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0C64D" w14:textId="77777777" w:rsidR="00C50A2B" w:rsidRDefault="00F504CA" w:rsidP="00BC437C">
    <w:pPr>
      <w:pStyle w:val="SCVheaderempty"/>
    </w:pPr>
    <w:r>
      <w:rPr>
        <w:noProof/>
      </w:rPr>
      <w:drawing>
        <wp:anchor distT="0" distB="0" distL="114300" distR="114300" simplePos="0" relativeHeight="251658242" behindDoc="1" locked="1" layoutInCell="1" allowOverlap="1" wp14:anchorId="62E358E9" wp14:editId="3C748F99">
          <wp:simplePos x="538163" y="671513"/>
          <wp:positionH relativeFrom="page">
            <wp:align>left</wp:align>
          </wp:positionH>
          <wp:positionV relativeFrom="page">
            <wp:align>top</wp:align>
          </wp:positionV>
          <wp:extent cx="7560000" cy="10692000"/>
          <wp:effectExtent l="0" t="0" r="3175" b="0"/>
          <wp:wrapNone/>
          <wp:docPr id="7" name="back cover" descr="Safer Care Victo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ack cover" descr="Safer Care Victoria"/>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textHash int2:hashCode="J1H7rEOVDECbpc" int2:id="k50MRuWj">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0059A"/>
    <w:multiLevelType w:val="hybridMultilevel"/>
    <w:tmpl w:val="0E74F210"/>
    <w:lvl w:ilvl="0" w:tplc="E12E3DA2">
      <w:start w:val="1"/>
      <w:numFmt w:val="bullet"/>
      <w:lvlText w:val=""/>
      <w:lvlJc w:val="left"/>
      <w:pPr>
        <w:ind w:left="1440" w:hanging="360"/>
      </w:pPr>
      <w:rPr>
        <w:rFonts w:ascii="Symbol" w:hAnsi="Symbol"/>
      </w:rPr>
    </w:lvl>
    <w:lvl w:ilvl="1" w:tplc="C4C4049C">
      <w:start w:val="1"/>
      <w:numFmt w:val="bullet"/>
      <w:lvlText w:val=""/>
      <w:lvlJc w:val="left"/>
      <w:pPr>
        <w:ind w:left="1440" w:hanging="360"/>
      </w:pPr>
      <w:rPr>
        <w:rFonts w:ascii="Symbol" w:hAnsi="Symbol"/>
      </w:rPr>
    </w:lvl>
    <w:lvl w:ilvl="2" w:tplc="1A5EC66C">
      <w:start w:val="1"/>
      <w:numFmt w:val="bullet"/>
      <w:lvlText w:val=""/>
      <w:lvlJc w:val="left"/>
      <w:pPr>
        <w:ind w:left="1440" w:hanging="360"/>
      </w:pPr>
      <w:rPr>
        <w:rFonts w:ascii="Symbol" w:hAnsi="Symbol"/>
      </w:rPr>
    </w:lvl>
    <w:lvl w:ilvl="3" w:tplc="BA4EF4BA">
      <w:start w:val="1"/>
      <w:numFmt w:val="bullet"/>
      <w:lvlText w:val=""/>
      <w:lvlJc w:val="left"/>
      <w:pPr>
        <w:ind w:left="1440" w:hanging="360"/>
      </w:pPr>
      <w:rPr>
        <w:rFonts w:ascii="Symbol" w:hAnsi="Symbol"/>
      </w:rPr>
    </w:lvl>
    <w:lvl w:ilvl="4" w:tplc="16D09226">
      <w:start w:val="1"/>
      <w:numFmt w:val="bullet"/>
      <w:lvlText w:val=""/>
      <w:lvlJc w:val="left"/>
      <w:pPr>
        <w:ind w:left="1440" w:hanging="360"/>
      </w:pPr>
      <w:rPr>
        <w:rFonts w:ascii="Symbol" w:hAnsi="Symbol"/>
      </w:rPr>
    </w:lvl>
    <w:lvl w:ilvl="5" w:tplc="2E40A002">
      <w:start w:val="1"/>
      <w:numFmt w:val="bullet"/>
      <w:lvlText w:val=""/>
      <w:lvlJc w:val="left"/>
      <w:pPr>
        <w:ind w:left="1440" w:hanging="360"/>
      </w:pPr>
      <w:rPr>
        <w:rFonts w:ascii="Symbol" w:hAnsi="Symbol"/>
      </w:rPr>
    </w:lvl>
    <w:lvl w:ilvl="6" w:tplc="16504942">
      <w:start w:val="1"/>
      <w:numFmt w:val="bullet"/>
      <w:lvlText w:val=""/>
      <w:lvlJc w:val="left"/>
      <w:pPr>
        <w:ind w:left="1440" w:hanging="360"/>
      </w:pPr>
      <w:rPr>
        <w:rFonts w:ascii="Symbol" w:hAnsi="Symbol"/>
      </w:rPr>
    </w:lvl>
    <w:lvl w:ilvl="7" w:tplc="01822F3E">
      <w:start w:val="1"/>
      <w:numFmt w:val="bullet"/>
      <w:lvlText w:val=""/>
      <w:lvlJc w:val="left"/>
      <w:pPr>
        <w:ind w:left="1440" w:hanging="360"/>
      </w:pPr>
      <w:rPr>
        <w:rFonts w:ascii="Symbol" w:hAnsi="Symbol"/>
      </w:rPr>
    </w:lvl>
    <w:lvl w:ilvl="8" w:tplc="C7F8236A">
      <w:start w:val="1"/>
      <w:numFmt w:val="bullet"/>
      <w:lvlText w:val=""/>
      <w:lvlJc w:val="left"/>
      <w:pPr>
        <w:ind w:left="1440" w:hanging="360"/>
      </w:pPr>
      <w:rPr>
        <w:rFonts w:ascii="Symbol" w:hAnsi="Symbol"/>
      </w:rPr>
    </w:lvl>
  </w:abstractNum>
  <w:abstractNum w:abstractNumId="1" w15:restartNumberingAfterBreak="0">
    <w:nsid w:val="13955EE6"/>
    <w:multiLevelType w:val="multilevel"/>
    <w:tmpl w:val="F46ED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7B64C0"/>
    <w:multiLevelType w:val="multilevel"/>
    <w:tmpl w:val="B96621C2"/>
    <w:styleLink w:val="ZZPulloutbullets"/>
    <w:lvl w:ilvl="0">
      <w:start w:val="1"/>
      <w:numFmt w:val="bullet"/>
      <w:pStyle w:val="SCVpulloutbullet"/>
      <w:lvlText w:val="•"/>
      <w:lvlJc w:val="left"/>
      <w:pPr>
        <w:ind w:left="284" w:hanging="284"/>
      </w:pPr>
      <w:rPr>
        <w:rFonts w:ascii="Calibri" w:hAnsi="Calibri" w:hint="default"/>
        <w:color w:val="007586" w:themeColor="text2"/>
      </w:rPr>
    </w:lvl>
    <w:lvl w:ilvl="1">
      <w:start w:val="1"/>
      <w:numFmt w:val="none"/>
      <w:lvlRestart w:val="0"/>
      <w:lvlText w:val=""/>
      <w:lvlJc w:val="left"/>
      <w:pPr>
        <w:ind w:left="0" w:firstLine="0"/>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3" w15:restartNumberingAfterBreak="0">
    <w:nsid w:val="2EB93586"/>
    <w:multiLevelType w:val="multilevel"/>
    <w:tmpl w:val="36EEC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6D00F74"/>
    <w:multiLevelType w:val="hybridMultilevel"/>
    <w:tmpl w:val="0F48B1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93615B0"/>
    <w:multiLevelType w:val="multilevel"/>
    <w:tmpl w:val="F27293EC"/>
    <w:name w:val="List num2"/>
    <w:lvl w:ilvl="0">
      <w:start w:val="1"/>
      <w:numFmt w:val="decimal"/>
      <w:suff w:val="space"/>
      <w:lvlText w:val="Section %1.0"/>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right"/>
      <w:pPr>
        <w:ind w:left="0" w:firstLine="0"/>
      </w:pPr>
      <w:rPr>
        <w:rFonts w:hint="default"/>
      </w:rPr>
    </w:lvl>
  </w:abstractNum>
  <w:abstractNum w:abstractNumId="6" w15:restartNumberingAfterBreak="0">
    <w:nsid w:val="3E4D5F33"/>
    <w:multiLevelType w:val="multilevel"/>
    <w:tmpl w:val="C6565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E6C68D4"/>
    <w:multiLevelType w:val="multilevel"/>
    <w:tmpl w:val="FCC83088"/>
    <w:styleLink w:val="ZZNumbersdigit"/>
    <w:lvl w:ilvl="0">
      <w:start w:val="1"/>
      <w:numFmt w:val="decimal"/>
      <w:pStyle w:val="SCVnumberdigit"/>
      <w:lvlText w:val="%1."/>
      <w:lvlJc w:val="left"/>
      <w:pPr>
        <w:tabs>
          <w:tab w:val="num" w:pos="397"/>
        </w:tabs>
        <w:ind w:left="397" w:hanging="397"/>
      </w:pPr>
      <w:rPr>
        <w:rFonts w:cs="Times New Roman" w:hint="default"/>
      </w:rPr>
    </w:lvl>
    <w:lvl w:ilvl="1">
      <w:start w:val="1"/>
      <w:numFmt w:val="lowerLetter"/>
      <w:pStyle w:val="SCVnumberloweralphaindent"/>
      <w:lvlText w:val="%2."/>
      <w:lvlJc w:val="left"/>
      <w:pPr>
        <w:tabs>
          <w:tab w:val="num" w:pos="794"/>
        </w:tabs>
        <w:ind w:left="794" w:hanging="397"/>
      </w:pPr>
      <w:rPr>
        <w:rFonts w:cs="Times New Roman" w:hint="default"/>
      </w:rPr>
    </w:lvl>
    <w:lvl w:ilvl="2">
      <w:start w:val="1"/>
      <w:numFmt w:val="none"/>
      <w:lvlRestart w:val="0"/>
      <w:lvlText w:val=""/>
      <w:lvlJc w:val="left"/>
      <w:pPr>
        <w:ind w:left="0" w:firstLine="0"/>
      </w:pPr>
      <w:rPr>
        <w:rFonts w:hint="default"/>
        <w:color w:val="auto"/>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cs="Times New Roman" w:hint="default"/>
      </w:rPr>
    </w:lvl>
    <w:lvl w:ilvl="5">
      <w:start w:val="1"/>
      <w:numFmt w:val="none"/>
      <w:lvlRestart w:val="0"/>
      <w:lvlText w:val=""/>
      <w:lvlJc w:val="left"/>
      <w:pPr>
        <w:tabs>
          <w:tab w:val="num" w:pos="0"/>
        </w:tabs>
        <w:ind w:left="0" w:firstLine="0"/>
      </w:pPr>
      <w:rPr>
        <w:rFonts w:cs="Times New Roman" w:hint="default"/>
      </w:rPr>
    </w:lvl>
    <w:lvl w:ilvl="6">
      <w:start w:val="1"/>
      <w:numFmt w:val="none"/>
      <w:lvlRestart w:val="0"/>
      <w:lvlText w:val=""/>
      <w:lvlJc w:val="left"/>
      <w:pPr>
        <w:ind w:left="0" w:firstLine="0"/>
      </w:pPr>
      <w:rPr>
        <w:rFonts w:cs="Times New Roman" w:hint="default"/>
      </w:rPr>
    </w:lvl>
    <w:lvl w:ilvl="7">
      <w:start w:val="1"/>
      <w:numFmt w:val="none"/>
      <w:lvlRestart w:val="0"/>
      <w:lvlText w:val=""/>
      <w:lvlJc w:val="left"/>
      <w:pPr>
        <w:ind w:left="0" w:firstLine="0"/>
      </w:pPr>
      <w:rPr>
        <w:rFonts w:cs="Times New Roman" w:hint="default"/>
      </w:rPr>
    </w:lvl>
    <w:lvl w:ilvl="8">
      <w:start w:val="1"/>
      <w:numFmt w:val="none"/>
      <w:lvlRestart w:val="0"/>
      <w:lvlText w:val=""/>
      <w:lvlJc w:val="right"/>
      <w:pPr>
        <w:ind w:left="0" w:firstLine="0"/>
      </w:pPr>
      <w:rPr>
        <w:rFonts w:cs="Times New Roman" w:hint="default"/>
      </w:rPr>
    </w:lvl>
  </w:abstractNum>
  <w:abstractNum w:abstractNumId="8" w15:restartNumberingAfterBreak="0">
    <w:nsid w:val="4A8513C4"/>
    <w:multiLevelType w:val="multilevel"/>
    <w:tmpl w:val="1EF4C3C8"/>
    <w:styleLink w:val="ZZTablenumbers"/>
    <w:lvl w:ilvl="0">
      <w:start w:val="1"/>
      <w:numFmt w:val="decimal"/>
      <w:pStyle w:val="SCVtablenumber1"/>
      <w:lvlText w:val="%1."/>
      <w:lvlJc w:val="left"/>
      <w:pPr>
        <w:ind w:left="340" w:hanging="340"/>
      </w:pPr>
      <w:rPr>
        <w:rFonts w:hint="default"/>
      </w:rPr>
    </w:lvl>
    <w:lvl w:ilvl="1">
      <w:start w:val="1"/>
      <w:numFmt w:val="lowerLetter"/>
      <w:pStyle w:val="SCVtablenumber2"/>
      <w:lvlText w:val="(%2)"/>
      <w:lvlJc w:val="left"/>
      <w:pPr>
        <w:tabs>
          <w:tab w:val="num" w:pos="340"/>
        </w:tabs>
        <w:ind w:left="680" w:hanging="340"/>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9" w15:restartNumberingAfterBreak="0">
    <w:nsid w:val="541611C2"/>
    <w:multiLevelType w:val="multilevel"/>
    <w:tmpl w:val="E0D49F02"/>
    <w:styleLink w:val="ZZTablebullets"/>
    <w:lvl w:ilvl="0">
      <w:start w:val="1"/>
      <w:numFmt w:val="bullet"/>
      <w:pStyle w:val="SCVtablebullet1"/>
      <w:lvlText w:val="•"/>
      <w:lvlJc w:val="left"/>
      <w:pPr>
        <w:ind w:left="227" w:hanging="227"/>
      </w:pPr>
      <w:rPr>
        <w:rFonts w:ascii="Calibri" w:hAnsi="Calibri" w:hint="default"/>
      </w:rPr>
    </w:lvl>
    <w:lvl w:ilvl="1">
      <w:start w:val="1"/>
      <w:numFmt w:val="bullet"/>
      <w:lvlRestart w:val="0"/>
      <w:pStyle w:val="SCVtablebullet2"/>
      <w:lvlText w:val="–"/>
      <w:lvlJc w:val="left"/>
      <w:pPr>
        <w:tabs>
          <w:tab w:val="num" w:pos="227"/>
        </w:tabs>
        <w:ind w:left="454" w:hanging="227"/>
      </w:pPr>
      <w:rPr>
        <w:rFonts w:ascii="Calibri" w:hAnsi="Calibri" w:hint="default"/>
      </w:rPr>
    </w:lvl>
    <w:lvl w:ilvl="2">
      <w:start w:val="1"/>
      <w:numFmt w:val="none"/>
      <w:lvlRestart w:val="0"/>
      <w:lvlText w:val=""/>
      <w:lvlJc w:val="left"/>
      <w:rPr>
        <w:rFonts w:cs="Times New Roman" w:hint="default"/>
      </w:rPr>
    </w:lvl>
    <w:lvl w:ilvl="3">
      <w:start w:val="1"/>
      <w:numFmt w:val="none"/>
      <w:lvlRestart w:val="0"/>
      <w:lvlText w:val=""/>
      <w:lvlJc w:val="left"/>
      <w:rPr>
        <w:rFonts w:cs="Times New Roman" w:hint="default"/>
      </w:rPr>
    </w:lvl>
    <w:lvl w:ilvl="4">
      <w:start w:val="1"/>
      <w:numFmt w:val="none"/>
      <w:lvlRestart w:val="0"/>
      <w:lvlText w:val=""/>
      <w:lvlJc w:val="left"/>
      <w:rPr>
        <w:rFonts w:cs="Times New Roman" w:hint="default"/>
      </w:rPr>
    </w:lvl>
    <w:lvl w:ilvl="5">
      <w:start w:val="1"/>
      <w:numFmt w:val="none"/>
      <w:lvlRestart w:val="0"/>
      <w:lvlText w:val=""/>
      <w:lvlJc w:val="left"/>
      <w:rPr>
        <w:rFonts w:cs="Times New Roman" w:hint="default"/>
      </w:rPr>
    </w:lvl>
    <w:lvl w:ilvl="6">
      <w:start w:val="1"/>
      <w:numFmt w:val="none"/>
      <w:lvlRestart w:val="0"/>
      <w:lvlText w:val=""/>
      <w:lvlJc w:val="left"/>
      <w:rPr>
        <w:rFonts w:cs="Times New Roman" w:hint="default"/>
      </w:rPr>
    </w:lvl>
    <w:lvl w:ilvl="7">
      <w:start w:val="1"/>
      <w:numFmt w:val="none"/>
      <w:lvlRestart w:val="0"/>
      <w:lvlText w:val=""/>
      <w:lvlJc w:val="left"/>
      <w:rPr>
        <w:rFonts w:cs="Times New Roman" w:hint="default"/>
      </w:rPr>
    </w:lvl>
    <w:lvl w:ilvl="8">
      <w:start w:val="1"/>
      <w:numFmt w:val="none"/>
      <w:lvlRestart w:val="0"/>
      <w:lvlText w:val=""/>
      <w:lvlJc w:val="left"/>
      <w:rPr>
        <w:rFonts w:cs="Times New Roman" w:hint="default"/>
      </w:rPr>
    </w:lvl>
  </w:abstractNum>
  <w:abstractNum w:abstractNumId="10" w15:restartNumberingAfterBreak="0">
    <w:nsid w:val="57AC2975"/>
    <w:multiLevelType w:val="hybridMultilevel"/>
    <w:tmpl w:val="4CCA39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5D6526D7"/>
    <w:multiLevelType w:val="hybridMultilevel"/>
    <w:tmpl w:val="971216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1320433"/>
    <w:multiLevelType w:val="multilevel"/>
    <w:tmpl w:val="69C2D2B4"/>
    <w:styleLink w:val="ZZBullets"/>
    <w:lvl w:ilvl="0">
      <w:start w:val="1"/>
      <w:numFmt w:val="bullet"/>
      <w:pStyle w:val="SCVbullet1"/>
      <w:lvlText w:val=""/>
      <w:lvlJc w:val="left"/>
      <w:pPr>
        <w:ind w:left="284" w:hanging="284"/>
      </w:pPr>
      <w:rPr>
        <w:rFonts w:ascii="Wingdings 2" w:hAnsi="Wingdings 2" w:hint="default"/>
        <w:color w:val="004C97" w:themeColor="accent4"/>
        <w:position w:val="2"/>
        <w:sz w:val="16"/>
      </w:rPr>
    </w:lvl>
    <w:lvl w:ilvl="1">
      <w:start w:val="1"/>
      <w:numFmt w:val="bullet"/>
      <w:pStyle w:val="SCVbullet2"/>
      <w:lvlText w:val="–"/>
      <w:lvlJc w:val="left"/>
      <w:pPr>
        <w:tabs>
          <w:tab w:val="num" w:pos="284"/>
        </w:tabs>
        <w:ind w:left="567" w:hanging="283"/>
      </w:pPr>
      <w:rPr>
        <w:rFonts w:ascii="Arial Black" w:hAnsi="Arial Black"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3" w15:restartNumberingAfterBreak="0">
    <w:nsid w:val="6309259F"/>
    <w:multiLevelType w:val="multilevel"/>
    <w:tmpl w:val="4198B786"/>
    <w:styleLink w:val="ZZQuotebullets"/>
    <w:lvl w:ilvl="0">
      <w:start w:val="1"/>
      <w:numFmt w:val="bullet"/>
      <w:pStyle w:val="SCVquotebullet1"/>
      <w:lvlText w:val="•"/>
      <w:lvlJc w:val="left"/>
      <w:pPr>
        <w:ind w:left="680" w:hanging="283"/>
      </w:pPr>
      <w:rPr>
        <w:rFonts w:ascii="Calibri" w:hAnsi="Calibri" w:hint="default"/>
        <w:color w:val="007586" w:themeColor="text2"/>
      </w:rPr>
    </w:lvl>
    <w:lvl w:ilvl="1">
      <w:start w:val="1"/>
      <w:numFmt w:val="bullet"/>
      <w:lvlRestart w:val="0"/>
      <w:pStyle w:val="SCVquotebullet2"/>
      <w:lvlText w:val="–"/>
      <w:lvlJc w:val="left"/>
      <w:pPr>
        <w:ind w:left="964" w:hanging="284"/>
      </w:pPr>
      <w:rPr>
        <w:rFonts w:ascii="Calibri" w:hAnsi="Calibri" w:hint="default"/>
        <w:color w:val="007586" w:themeColor="text2"/>
      </w:rPr>
    </w:lvl>
    <w:lvl w:ilvl="2">
      <w:start w:val="1"/>
      <w:numFmt w:val="none"/>
      <w:lvlRestart w:val="0"/>
      <w:lvlText w:val=""/>
      <w:lvlJc w:val="left"/>
      <w:pPr>
        <w:ind w:left="0" w:firstLine="0"/>
      </w:pPr>
      <w:rPr>
        <w:rFonts w:cs="Times New Roman" w:hint="default"/>
      </w:rPr>
    </w:lvl>
    <w:lvl w:ilvl="3">
      <w:start w:val="1"/>
      <w:numFmt w:val="none"/>
      <w:lvlRestart w:val="0"/>
      <w:lvlText w:val=""/>
      <w:lvlJc w:val="left"/>
      <w:pPr>
        <w:ind w:left="0" w:firstLine="0"/>
      </w:pPr>
      <w:rPr>
        <w:rFonts w:cs="Times New Roman" w:hint="default"/>
      </w:rPr>
    </w:lvl>
    <w:lvl w:ilvl="4">
      <w:start w:val="1"/>
      <w:numFmt w:val="none"/>
      <w:lvlRestart w:val="0"/>
      <w:lvlText w:val=""/>
      <w:lvlJc w:val="left"/>
      <w:pPr>
        <w:ind w:left="0" w:firstLine="0"/>
      </w:pPr>
      <w:rPr>
        <w:rFonts w:cs="Times New Roman" w:hint="default"/>
      </w:rPr>
    </w:lvl>
    <w:lvl w:ilvl="5">
      <w:start w:val="1"/>
      <w:numFmt w:val="none"/>
      <w:lvlRestart w:val="0"/>
      <w:lvlText w:val=""/>
      <w:lvlJc w:val="left"/>
      <w:pPr>
        <w:ind w:left="0" w:firstLine="0"/>
      </w:pPr>
      <w:rPr>
        <w:rFonts w:cs="Times New Roman" w:hint="default"/>
      </w:rPr>
    </w:lvl>
    <w:lvl w:ilvl="6">
      <w:start w:val="1"/>
      <w:numFmt w:val="none"/>
      <w:lvlRestart w:val="0"/>
      <w:lvlText w:val=""/>
      <w:lvlJc w:val="left"/>
      <w:pPr>
        <w:ind w:left="0" w:firstLine="0"/>
      </w:pPr>
      <w:rPr>
        <w:rFonts w:cs="Times New Roman" w:hint="default"/>
      </w:rPr>
    </w:lvl>
    <w:lvl w:ilvl="7">
      <w:start w:val="1"/>
      <w:numFmt w:val="none"/>
      <w:lvlRestart w:val="0"/>
      <w:lvlText w:val=""/>
      <w:lvlJc w:val="left"/>
      <w:pPr>
        <w:ind w:left="0" w:firstLine="0"/>
      </w:pPr>
      <w:rPr>
        <w:rFonts w:cs="Times New Roman" w:hint="default"/>
      </w:rPr>
    </w:lvl>
    <w:lvl w:ilvl="8">
      <w:start w:val="1"/>
      <w:numFmt w:val="none"/>
      <w:lvlRestart w:val="0"/>
      <w:lvlText w:val=""/>
      <w:lvlJc w:val="left"/>
      <w:pPr>
        <w:ind w:left="0" w:firstLine="0"/>
      </w:pPr>
      <w:rPr>
        <w:rFonts w:cs="Times New Roman" w:hint="default"/>
      </w:rPr>
    </w:lvl>
  </w:abstractNum>
  <w:abstractNum w:abstractNumId="14" w15:restartNumberingAfterBreak="0">
    <w:nsid w:val="785F2229"/>
    <w:multiLevelType w:val="multilevel"/>
    <w:tmpl w:val="6B286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9F619B4"/>
    <w:multiLevelType w:val="multilevel"/>
    <w:tmpl w:val="32A667BE"/>
    <w:styleLink w:val="ZZBulletsafternumbers"/>
    <w:lvl w:ilvl="0">
      <w:start w:val="1"/>
      <w:numFmt w:val="none"/>
      <w:lvlText w:val=""/>
      <w:lvlJc w:val="left"/>
      <w:pPr>
        <w:ind w:left="0" w:firstLine="0"/>
      </w:pPr>
      <w:rPr>
        <w:rFonts w:hint="default"/>
      </w:rPr>
    </w:lvl>
    <w:lvl w:ilvl="1">
      <w:start w:val="1"/>
      <w:numFmt w:val="bullet"/>
      <w:lvlRestart w:val="0"/>
      <w:pStyle w:val="SCVbulletafternumbers"/>
      <w:lvlText w:val="•"/>
      <w:lvlJc w:val="left"/>
      <w:pPr>
        <w:ind w:left="794" w:hanging="397"/>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6" w15:restartNumberingAfterBreak="0">
    <w:nsid w:val="7CEC3359"/>
    <w:multiLevelType w:val="hybridMultilevel"/>
    <w:tmpl w:val="537E7A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7FD44514"/>
    <w:multiLevelType w:val="multilevel"/>
    <w:tmpl w:val="457635A8"/>
    <w:name w:val="List num"/>
    <w:lvl w:ilvl="0">
      <w:start w:val="1"/>
      <w:numFmt w:val="lowerLetter"/>
      <w:lvlText w:val="(%1)"/>
      <w:lvlJc w:val="left"/>
      <w:pPr>
        <w:ind w:left="397" w:hanging="397"/>
      </w:pPr>
      <w:rPr>
        <w:rFonts w:hint="default"/>
      </w:rPr>
    </w:lvl>
    <w:lvl w:ilvl="1">
      <w:start w:val="1"/>
      <w:numFmt w:val="lowerRoman"/>
      <w:lvlText w:val="(%2)"/>
      <w:lvlJc w:val="left"/>
      <w:pPr>
        <w:ind w:left="794" w:hanging="397"/>
      </w:pPr>
      <w:rPr>
        <w:rFonts w:hint="default"/>
      </w:rPr>
    </w:lvl>
    <w:lvl w:ilvl="2">
      <w:start w:val="1"/>
      <w:numFmt w:val="decimal"/>
      <w:lvlText w:val="(%3)"/>
      <w:lvlJc w:val="left"/>
      <w:pPr>
        <w:ind w:left="1191" w:hanging="397"/>
      </w:pPr>
      <w:rPr>
        <w:rFonts w:hint="default"/>
      </w:rPr>
    </w:lvl>
    <w:lvl w:ilvl="3">
      <w:start w:val="1"/>
      <w:numFmt w:val="upperLetter"/>
      <w:lvlText w:val="(%4)"/>
      <w:lvlJc w:val="left"/>
      <w:pPr>
        <w:ind w:left="1588" w:hanging="397"/>
      </w:pPr>
      <w:rPr>
        <w:rFonts w:hint="default"/>
      </w:rPr>
    </w:lvl>
    <w:lvl w:ilvl="4">
      <w:start w:val="1"/>
      <w:numFmt w:val="upperRoman"/>
      <w:lvlRestart w:val="1"/>
      <w:lvlText w:val="(%5)"/>
      <w:lvlJc w:val="left"/>
      <w:pPr>
        <w:ind w:left="1985" w:hanging="397"/>
      </w:pPr>
      <w:rPr>
        <w:rFonts w:hint="default"/>
      </w:rPr>
    </w:lvl>
    <w:lvl w:ilvl="5">
      <w:start w:val="1"/>
      <w:numFmt w:val="decimal"/>
      <w:lvlText w:val="%3.%4.%5.%6"/>
      <w:lvlJc w:val="left"/>
      <w:pPr>
        <w:tabs>
          <w:tab w:val="num" w:pos="2345"/>
        </w:tabs>
        <w:ind w:left="2382" w:hanging="397"/>
      </w:pPr>
      <w:rPr>
        <w:rFonts w:hint="default"/>
      </w:rPr>
    </w:lvl>
    <w:lvl w:ilvl="6">
      <w:start w:val="1"/>
      <w:numFmt w:val="lowerLetter"/>
      <w:lvlText w:val="(%7)"/>
      <w:lvlJc w:val="left"/>
      <w:pPr>
        <w:tabs>
          <w:tab w:val="num" w:pos="2742"/>
        </w:tabs>
        <w:ind w:left="2779" w:hanging="397"/>
      </w:pPr>
      <w:rPr>
        <w:rFonts w:hint="default"/>
      </w:rPr>
    </w:lvl>
    <w:lvl w:ilvl="7">
      <w:start w:val="1"/>
      <w:numFmt w:val="lowerRoman"/>
      <w:lvlText w:val="(%8)"/>
      <w:lvlJc w:val="left"/>
      <w:pPr>
        <w:tabs>
          <w:tab w:val="num" w:pos="3139"/>
        </w:tabs>
        <w:ind w:left="3176" w:hanging="397"/>
      </w:pPr>
      <w:rPr>
        <w:rFonts w:hint="default"/>
      </w:rPr>
    </w:lvl>
    <w:lvl w:ilvl="8">
      <w:start w:val="1"/>
      <w:numFmt w:val="decimal"/>
      <w:lvlText w:val="%9."/>
      <w:lvlJc w:val="left"/>
      <w:pPr>
        <w:tabs>
          <w:tab w:val="num" w:pos="3536"/>
        </w:tabs>
        <w:ind w:left="3573" w:hanging="397"/>
      </w:pPr>
      <w:rPr>
        <w:rFonts w:hint="default"/>
      </w:rPr>
    </w:lvl>
  </w:abstractNum>
  <w:num w:numId="1" w16cid:durableId="92303037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3096343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5663912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240679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0259970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1970783">
    <w:abstractNumId w:val="12"/>
  </w:num>
  <w:num w:numId="7" w16cid:durableId="923227505">
    <w:abstractNumId w:val="15"/>
  </w:num>
  <w:num w:numId="8" w16cid:durableId="1021660768">
    <w:abstractNumId w:val="7"/>
  </w:num>
  <w:num w:numId="9" w16cid:durableId="670913307">
    <w:abstractNumId w:val="2"/>
  </w:num>
  <w:num w:numId="10" w16cid:durableId="47460287">
    <w:abstractNumId w:val="13"/>
  </w:num>
  <w:num w:numId="11" w16cid:durableId="1438404703">
    <w:abstractNumId w:val="9"/>
  </w:num>
  <w:num w:numId="12" w16cid:durableId="544371940">
    <w:abstractNumId w:val="8"/>
  </w:num>
  <w:num w:numId="13" w16cid:durableId="988750169">
    <w:abstractNumId w:val="1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56713755">
    <w:abstractNumId w:val="1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28620839">
    <w:abstractNumId w:val="11"/>
  </w:num>
  <w:num w:numId="16" w16cid:durableId="1691563305">
    <w:abstractNumId w:val="12"/>
  </w:num>
  <w:num w:numId="17" w16cid:durableId="913471364">
    <w:abstractNumId w:val="12"/>
  </w:num>
  <w:num w:numId="18" w16cid:durableId="54162768">
    <w:abstractNumId w:val="12"/>
  </w:num>
  <w:num w:numId="19" w16cid:durableId="616444748">
    <w:abstractNumId w:val="4"/>
  </w:num>
  <w:num w:numId="20" w16cid:durableId="1773747316">
    <w:abstractNumId w:val="16"/>
  </w:num>
  <w:num w:numId="21" w16cid:durableId="1520852635">
    <w:abstractNumId w:val="12"/>
  </w:num>
  <w:num w:numId="22" w16cid:durableId="25647357">
    <w:abstractNumId w:val="12"/>
  </w:num>
  <w:num w:numId="23" w16cid:durableId="1540049015">
    <w:abstractNumId w:val="12"/>
  </w:num>
  <w:num w:numId="24" w16cid:durableId="146745102">
    <w:abstractNumId w:val="12"/>
  </w:num>
  <w:num w:numId="25" w16cid:durableId="1940722950">
    <w:abstractNumId w:val="12"/>
  </w:num>
  <w:num w:numId="26" w16cid:durableId="804808463">
    <w:abstractNumId w:val="12"/>
  </w:num>
  <w:num w:numId="27" w16cid:durableId="1237592536">
    <w:abstractNumId w:val="12"/>
  </w:num>
  <w:num w:numId="28" w16cid:durableId="541524466">
    <w:abstractNumId w:val="12"/>
  </w:num>
  <w:num w:numId="29" w16cid:durableId="1857041508">
    <w:abstractNumId w:val="6"/>
  </w:num>
  <w:num w:numId="30" w16cid:durableId="454953781">
    <w:abstractNumId w:val="12"/>
  </w:num>
  <w:num w:numId="31" w16cid:durableId="1204516680">
    <w:abstractNumId w:val="12"/>
  </w:num>
  <w:num w:numId="32" w16cid:durableId="1588923157">
    <w:abstractNumId w:val="12"/>
  </w:num>
  <w:num w:numId="33" w16cid:durableId="2042854337">
    <w:abstractNumId w:val="12"/>
  </w:num>
  <w:num w:numId="34" w16cid:durableId="925499478">
    <w:abstractNumId w:val="12"/>
  </w:num>
  <w:num w:numId="35" w16cid:durableId="1154296455">
    <w:abstractNumId w:val="12"/>
  </w:num>
  <w:num w:numId="36" w16cid:durableId="2124299428">
    <w:abstractNumId w:val="14"/>
  </w:num>
  <w:num w:numId="37" w16cid:durableId="764957802">
    <w:abstractNumId w:val="1"/>
  </w:num>
  <w:num w:numId="38" w16cid:durableId="522207826">
    <w:abstractNumId w:val="3"/>
  </w:num>
  <w:num w:numId="39" w16cid:durableId="909315354">
    <w:abstractNumId w:val="10"/>
  </w:num>
  <w:num w:numId="40" w16cid:durableId="1844320602">
    <w:abstractNumId w:val="0"/>
  </w:num>
  <w:num w:numId="41" w16cid:durableId="921454297">
    <w:abstractNumId w:val="1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3"/>
  <w:displayBackgroundShape/>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399"/>
    <w:rsid w:val="00000F68"/>
    <w:rsid w:val="0000226B"/>
    <w:rsid w:val="00002AD0"/>
    <w:rsid w:val="000043A6"/>
    <w:rsid w:val="00006B72"/>
    <w:rsid w:val="00006C90"/>
    <w:rsid w:val="00007C20"/>
    <w:rsid w:val="00010628"/>
    <w:rsid w:val="00012F6F"/>
    <w:rsid w:val="00014213"/>
    <w:rsid w:val="000142F2"/>
    <w:rsid w:val="0001493B"/>
    <w:rsid w:val="00014B55"/>
    <w:rsid w:val="000150A3"/>
    <w:rsid w:val="00015440"/>
    <w:rsid w:val="00015B72"/>
    <w:rsid w:val="000162C5"/>
    <w:rsid w:val="00016513"/>
    <w:rsid w:val="00016B84"/>
    <w:rsid w:val="00017124"/>
    <w:rsid w:val="00017774"/>
    <w:rsid w:val="00017A7C"/>
    <w:rsid w:val="00017FC7"/>
    <w:rsid w:val="000205D1"/>
    <w:rsid w:val="000206A0"/>
    <w:rsid w:val="000208C2"/>
    <w:rsid w:val="00020B3F"/>
    <w:rsid w:val="00020E3E"/>
    <w:rsid w:val="0002186A"/>
    <w:rsid w:val="00022BC9"/>
    <w:rsid w:val="00022E13"/>
    <w:rsid w:val="00022FB8"/>
    <w:rsid w:val="0002328B"/>
    <w:rsid w:val="000237A2"/>
    <w:rsid w:val="00023BF3"/>
    <w:rsid w:val="000252D6"/>
    <w:rsid w:val="00025481"/>
    <w:rsid w:val="00026811"/>
    <w:rsid w:val="0003004C"/>
    <w:rsid w:val="00030502"/>
    <w:rsid w:val="00031BF9"/>
    <w:rsid w:val="000333E7"/>
    <w:rsid w:val="000342D6"/>
    <w:rsid w:val="000345F9"/>
    <w:rsid w:val="000350BE"/>
    <w:rsid w:val="000355FF"/>
    <w:rsid w:val="0003673E"/>
    <w:rsid w:val="00036E3C"/>
    <w:rsid w:val="000370B0"/>
    <w:rsid w:val="000370DA"/>
    <w:rsid w:val="00040918"/>
    <w:rsid w:val="00040E50"/>
    <w:rsid w:val="0004185E"/>
    <w:rsid w:val="00042975"/>
    <w:rsid w:val="00042FF2"/>
    <w:rsid w:val="00044446"/>
    <w:rsid w:val="0004545A"/>
    <w:rsid w:val="00045FF5"/>
    <w:rsid w:val="00046131"/>
    <w:rsid w:val="0004698F"/>
    <w:rsid w:val="000477DC"/>
    <w:rsid w:val="000524E8"/>
    <w:rsid w:val="00052F61"/>
    <w:rsid w:val="00053C3E"/>
    <w:rsid w:val="00056988"/>
    <w:rsid w:val="000620C0"/>
    <w:rsid w:val="000625BB"/>
    <w:rsid w:val="00062DBC"/>
    <w:rsid w:val="00062EB8"/>
    <w:rsid w:val="00062EF9"/>
    <w:rsid w:val="00066E72"/>
    <w:rsid w:val="0006778A"/>
    <w:rsid w:val="000701A9"/>
    <w:rsid w:val="0007086A"/>
    <w:rsid w:val="00072279"/>
    <w:rsid w:val="000742CD"/>
    <w:rsid w:val="000745B7"/>
    <w:rsid w:val="00075E6C"/>
    <w:rsid w:val="000772C1"/>
    <w:rsid w:val="00077EF6"/>
    <w:rsid w:val="00081C12"/>
    <w:rsid w:val="0008228E"/>
    <w:rsid w:val="00083637"/>
    <w:rsid w:val="0008396A"/>
    <w:rsid w:val="00083BA6"/>
    <w:rsid w:val="00084072"/>
    <w:rsid w:val="00084721"/>
    <w:rsid w:val="00084BC9"/>
    <w:rsid w:val="00087114"/>
    <w:rsid w:val="000873A2"/>
    <w:rsid w:val="00087D42"/>
    <w:rsid w:val="000904F0"/>
    <w:rsid w:val="0009063E"/>
    <w:rsid w:val="00090897"/>
    <w:rsid w:val="00090DAC"/>
    <w:rsid w:val="00090F95"/>
    <w:rsid w:val="00091269"/>
    <w:rsid w:val="00091A24"/>
    <w:rsid w:val="00091F19"/>
    <w:rsid w:val="00092072"/>
    <w:rsid w:val="000921F0"/>
    <w:rsid w:val="00093057"/>
    <w:rsid w:val="00093174"/>
    <w:rsid w:val="00094D4F"/>
    <w:rsid w:val="000954E8"/>
    <w:rsid w:val="0009617A"/>
    <w:rsid w:val="00096CDF"/>
    <w:rsid w:val="0009703A"/>
    <w:rsid w:val="000A0DC8"/>
    <w:rsid w:val="000A1933"/>
    <w:rsid w:val="000A2620"/>
    <w:rsid w:val="000A3139"/>
    <w:rsid w:val="000A47E4"/>
    <w:rsid w:val="000A5C51"/>
    <w:rsid w:val="000A5CF8"/>
    <w:rsid w:val="000A5D25"/>
    <w:rsid w:val="000A62CD"/>
    <w:rsid w:val="000A6A39"/>
    <w:rsid w:val="000A6E3E"/>
    <w:rsid w:val="000B11B3"/>
    <w:rsid w:val="000B1C6C"/>
    <w:rsid w:val="000B1F66"/>
    <w:rsid w:val="000B29AD"/>
    <w:rsid w:val="000B37DC"/>
    <w:rsid w:val="000B4D27"/>
    <w:rsid w:val="000B533F"/>
    <w:rsid w:val="000B6472"/>
    <w:rsid w:val="000B7982"/>
    <w:rsid w:val="000B7B42"/>
    <w:rsid w:val="000C013B"/>
    <w:rsid w:val="000C0487"/>
    <w:rsid w:val="000C0572"/>
    <w:rsid w:val="000C0890"/>
    <w:rsid w:val="000C0AE9"/>
    <w:rsid w:val="000C11DA"/>
    <w:rsid w:val="000C1AC9"/>
    <w:rsid w:val="000C331A"/>
    <w:rsid w:val="000C342A"/>
    <w:rsid w:val="000C48E1"/>
    <w:rsid w:val="000C55F7"/>
    <w:rsid w:val="000C5FBE"/>
    <w:rsid w:val="000C6265"/>
    <w:rsid w:val="000C6372"/>
    <w:rsid w:val="000C653E"/>
    <w:rsid w:val="000C6756"/>
    <w:rsid w:val="000C7042"/>
    <w:rsid w:val="000C7476"/>
    <w:rsid w:val="000D00F0"/>
    <w:rsid w:val="000D0732"/>
    <w:rsid w:val="000D0B66"/>
    <w:rsid w:val="000D1550"/>
    <w:rsid w:val="000D19EE"/>
    <w:rsid w:val="000D2EF3"/>
    <w:rsid w:val="000D37B2"/>
    <w:rsid w:val="000D3D4A"/>
    <w:rsid w:val="000D5207"/>
    <w:rsid w:val="000D52AB"/>
    <w:rsid w:val="000D629A"/>
    <w:rsid w:val="000D7364"/>
    <w:rsid w:val="000D7841"/>
    <w:rsid w:val="000D79AF"/>
    <w:rsid w:val="000D7B81"/>
    <w:rsid w:val="000E0884"/>
    <w:rsid w:val="000E08C7"/>
    <w:rsid w:val="000E0E50"/>
    <w:rsid w:val="000E16A0"/>
    <w:rsid w:val="000E1F43"/>
    <w:rsid w:val="000E30A6"/>
    <w:rsid w:val="000E3570"/>
    <w:rsid w:val="000E392D"/>
    <w:rsid w:val="000E39B6"/>
    <w:rsid w:val="000E3D05"/>
    <w:rsid w:val="000E4061"/>
    <w:rsid w:val="000E4210"/>
    <w:rsid w:val="000E4552"/>
    <w:rsid w:val="000E5D6D"/>
    <w:rsid w:val="000E6B54"/>
    <w:rsid w:val="000E728A"/>
    <w:rsid w:val="000F031B"/>
    <w:rsid w:val="000F04C8"/>
    <w:rsid w:val="000F0A93"/>
    <w:rsid w:val="000F18FE"/>
    <w:rsid w:val="000F1A7C"/>
    <w:rsid w:val="000F2120"/>
    <w:rsid w:val="000F3ED8"/>
    <w:rsid w:val="000F40B5"/>
    <w:rsid w:val="000F4288"/>
    <w:rsid w:val="000F4EA8"/>
    <w:rsid w:val="000F591A"/>
    <w:rsid w:val="000F70F2"/>
    <w:rsid w:val="000F7165"/>
    <w:rsid w:val="000F7286"/>
    <w:rsid w:val="000F72B0"/>
    <w:rsid w:val="000F768F"/>
    <w:rsid w:val="00100361"/>
    <w:rsid w:val="0010081F"/>
    <w:rsid w:val="001013A9"/>
    <w:rsid w:val="00102379"/>
    <w:rsid w:val="0010260F"/>
    <w:rsid w:val="00103722"/>
    <w:rsid w:val="00104282"/>
    <w:rsid w:val="0010457F"/>
    <w:rsid w:val="001054D3"/>
    <w:rsid w:val="00105A5B"/>
    <w:rsid w:val="00105EB8"/>
    <w:rsid w:val="00105F12"/>
    <w:rsid w:val="001065D6"/>
    <w:rsid w:val="001068D5"/>
    <w:rsid w:val="00107714"/>
    <w:rsid w:val="00107CA8"/>
    <w:rsid w:val="00110195"/>
    <w:rsid w:val="0011037B"/>
    <w:rsid w:val="001132C6"/>
    <w:rsid w:val="0011405F"/>
    <w:rsid w:val="001141CD"/>
    <w:rsid w:val="0011560C"/>
    <w:rsid w:val="00115A58"/>
    <w:rsid w:val="00120242"/>
    <w:rsid w:val="0012039B"/>
    <w:rsid w:val="001206B9"/>
    <w:rsid w:val="00120A68"/>
    <w:rsid w:val="00121252"/>
    <w:rsid w:val="001215CE"/>
    <w:rsid w:val="0012219F"/>
    <w:rsid w:val="00123865"/>
    <w:rsid w:val="00123967"/>
    <w:rsid w:val="00123A25"/>
    <w:rsid w:val="00123F05"/>
    <w:rsid w:val="00124563"/>
    <w:rsid w:val="00124609"/>
    <w:rsid w:val="0012511B"/>
    <w:rsid w:val="00125481"/>
    <w:rsid w:val="001254CE"/>
    <w:rsid w:val="00125500"/>
    <w:rsid w:val="00126122"/>
    <w:rsid w:val="00130B59"/>
    <w:rsid w:val="00131ED9"/>
    <w:rsid w:val="00132ACB"/>
    <w:rsid w:val="00133859"/>
    <w:rsid w:val="00133939"/>
    <w:rsid w:val="00133A25"/>
    <w:rsid w:val="001349E3"/>
    <w:rsid w:val="00135406"/>
    <w:rsid w:val="00135EC6"/>
    <w:rsid w:val="00136257"/>
    <w:rsid w:val="00137365"/>
    <w:rsid w:val="00137BB0"/>
    <w:rsid w:val="00140292"/>
    <w:rsid w:val="00140667"/>
    <w:rsid w:val="00140F4F"/>
    <w:rsid w:val="001414D6"/>
    <w:rsid w:val="00141AD5"/>
    <w:rsid w:val="001422CC"/>
    <w:rsid w:val="00142CC3"/>
    <w:rsid w:val="001431DC"/>
    <w:rsid w:val="001447B0"/>
    <w:rsid w:val="001447FC"/>
    <w:rsid w:val="001451BC"/>
    <w:rsid w:val="00145346"/>
    <w:rsid w:val="00146552"/>
    <w:rsid w:val="00146BAA"/>
    <w:rsid w:val="00146E5B"/>
    <w:rsid w:val="00150333"/>
    <w:rsid w:val="00150B30"/>
    <w:rsid w:val="00150B7F"/>
    <w:rsid w:val="0015221A"/>
    <w:rsid w:val="001526DD"/>
    <w:rsid w:val="001526EE"/>
    <w:rsid w:val="00152AAE"/>
    <w:rsid w:val="0015375A"/>
    <w:rsid w:val="00154854"/>
    <w:rsid w:val="001557F2"/>
    <w:rsid w:val="0016026B"/>
    <w:rsid w:val="00160927"/>
    <w:rsid w:val="00160CF0"/>
    <w:rsid w:val="00160D80"/>
    <w:rsid w:val="001616E0"/>
    <w:rsid w:val="001617B6"/>
    <w:rsid w:val="00161AFF"/>
    <w:rsid w:val="00161F7C"/>
    <w:rsid w:val="001627F9"/>
    <w:rsid w:val="00162AFD"/>
    <w:rsid w:val="00162ECC"/>
    <w:rsid w:val="00163755"/>
    <w:rsid w:val="00165E66"/>
    <w:rsid w:val="00166495"/>
    <w:rsid w:val="00166953"/>
    <w:rsid w:val="00166FB2"/>
    <w:rsid w:val="00167946"/>
    <w:rsid w:val="00170562"/>
    <w:rsid w:val="00170C7F"/>
    <w:rsid w:val="00172279"/>
    <w:rsid w:val="00172E13"/>
    <w:rsid w:val="001735B6"/>
    <w:rsid w:val="0017448E"/>
    <w:rsid w:val="0017491D"/>
    <w:rsid w:val="00174A2B"/>
    <w:rsid w:val="00174F38"/>
    <w:rsid w:val="001808C1"/>
    <w:rsid w:val="0018203E"/>
    <w:rsid w:val="001841A7"/>
    <w:rsid w:val="00184388"/>
    <w:rsid w:val="00184850"/>
    <w:rsid w:val="001849FD"/>
    <w:rsid w:val="001851EE"/>
    <w:rsid w:val="00186C22"/>
    <w:rsid w:val="0018769C"/>
    <w:rsid w:val="00187D18"/>
    <w:rsid w:val="001901F8"/>
    <w:rsid w:val="001908D6"/>
    <w:rsid w:val="001910A8"/>
    <w:rsid w:val="001915D2"/>
    <w:rsid w:val="00191A8A"/>
    <w:rsid w:val="00192548"/>
    <w:rsid w:val="00192F6F"/>
    <w:rsid w:val="0019351B"/>
    <w:rsid w:val="00194B79"/>
    <w:rsid w:val="00195501"/>
    <w:rsid w:val="00195D6C"/>
    <w:rsid w:val="00195DCC"/>
    <w:rsid w:val="00196053"/>
    <w:rsid w:val="0019612C"/>
    <w:rsid w:val="00196143"/>
    <w:rsid w:val="0019619D"/>
    <w:rsid w:val="00196253"/>
    <w:rsid w:val="001A0A4A"/>
    <w:rsid w:val="001A1E65"/>
    <w:rsid w:val="001A24FC"/>
    <w:rsid w:val="001A30CC"/>
    <w:rsid w:val="001A3ADC"/>
    <w:rsid w:val="001A4D7A"/>
    <w:rsid w:val="001A4E55"/>
    <w:rsid w:val="001A5D24"/>
    <w:rsid w:val="001B0D05"/>
    <w:rsid w:val="001B1424"/>
    <w:rsid w:val="001B14BC"/>
    <w:rsid w:val="001B1DBE"/>
    <w:rsid w:val="001B1E26"/>
    <w:rsid w:val="001B371E"/>
    <w:rsid w:val="001B4F14"/>
    <w:rsid w:val="001B6563"/>
    <w:rsid w:val="001B6EE0"/>
    <w:rsid w:val="001C1E69"/>
    <w:rsid w:val="001C4BB0"/>
    <w:rsid w:val="001C7566"/>
    <w:rsid w:val="001C7BAE"/>
    <w:rsid w:val="001C7BBC"/>
    <w:rsid w:val="001D053B"/>
    <w:rsid w:val="001D0F0A"/>
    <w:rsid w:val="001D0FA1"/>
    <w:rsid w:val="001D0FE6"/>
    <w:rsid w:val="001D11A2"/>
    <w:rsid w:val="001D222E"/>
    <w:rsid w:val="001D492E"/>
    <w:rsid w:val="001D4AA9"/>
    <w:rsid w:val="001D4C96"/>
    <w:rsid w:val="001D76C7"/>
    <w:rsid w:val="001D7C0F"/>
    <w:rsid w:val="001E08BC"/>
    <w:rsid w:val="001E1D8B"/>
    <w:rsid w:val="001E21FD"/>
    <w:rsid w:val="001E31FA"/>
    <w:rsid w:val="001E35F2"/>
    <w:rsid w:val="001E3BA0"/>
    <w:rsid w:val="001E47FE"/>
    <w:rsid w:val="001E48F9"/>
    <w:rsid w:val="001E4A3A"/>
    <w:rsid w:val="001E589D"/>
    <w:rsid w:val="001E5E5C"/>
    <w:rsid w:val="001E64AB"/>
    <w:rsid w:val="001E64F6"/>
    <w:rsid w:val="001E6FFE"/>
    <w:rsid w:val="001E7AEB"/>
    <w:rsid w:val="001F1863"/>
    <w:rsid w:val="001F1AE4"/>
    <w:rsid w:val="001F1EAC"/>
    <w:rsid w:val="001F1FDF"/>
    <w:rsid w:val="001F2008"/>
    <w:rsid w:val="001F4F1F"/>
    <w:rsid w:val="001F56E8"/>
    <w:rsid w:val="001F658E"/>
    <w:rsid w:val="001F6593"/>
    <w:rsid w:val="001F6E86"/>
    <w:rsid w:val="001F74EB"/>
    <w:rsid w:val="002008AD"/>
    <w:rsid w:val="00203A2F"/>
    <w:rsid w:val="00203EF6"/>
    <w:rsid w:val="00204B82"/>
    <w:rsid w:val="0020586A"/>
    <w:rsid w:val="002058F3"/>
    <w:rsid w:val="002058FF"/>
    <w:rsid w:val="002059D4"/>
    <w:rsid w:val="002059E5"/>
    <w:rsid w:val="00205C68"/>
    <w:rsid w:val="00206AA0"/>
    <w:rsid w:val="00207F56"/>
    <w:rsid w:val="00207F7E"/>
    <w:rsid w:val="002107F2"/>
    <w:rsid w:val="00210FDF"/>
    <w:rsid w:val="002110BC"/>
    <w:rsid w:val="00211967"/>
    <w:rsid w:val="002128BE"/>
    <w:rsid w:val="00212D2C"/>
    <w:rsid w:val="0021342D"/>
    <w:rsid w:val="00213914"/>
    <w:rsid w:val="00214D2C"/>
    <w:rsid w:val="002151C8"/>
    <w:rsid w:val="002151DA"/>
    <w:rsid w:val="00215D39"/>
    <w:rsid w:val="00220613"/>
    <w:rsid w:val="002216FA"/>
    <w:rsid w:val="002228C2"/>
    <w:rsid w:val="002228F0"/>
    <w:rsid w:val="00222BEB"/>
    <w:rsid w:val="00223217"/>
    <w:rsid w:val="00224BC0"/>
    <w:rsid w:val="00225E60"/>
    <w:rsid w:val="00226661"/>
    <w:rsid w:val="0022668B"/>
    <w:rsid w:val="00226E1F"/>
    <w:rsid w:val="002274D5"/>
    <w:rsid w:val="0022752C"/>
    <w:rsid w:val="00230BBB"/>
    <w:rsid w:val="0023202C"/>
    <w:rsid w:val="00232253"/>
    <w:rsid w:val="0023243A"/>
    <w:rsid w:val="00234253"/>
    <w:rsid w:val="00234619"/>
    <w:rsid w:val="002356EC"/>
    <w:rsid w:val="00236584"/>
    <w:rsid w:val="00237A6F"/>
    <w:rsid w:val="00240CCD"/>
    <w:rsid w:val="00241413"/>
    <w:rsid w:val="00241E26"/>
    <w:rsid w:val="00242B11"/>
    <w:rsid w:val="00242FDB"/>
    <w:rsid w:val="00244AF6"/>
    <w:rsid w:val="00244F92"/>
    <w:rsid w:val="00245043"/>
    <w:rsid w:val="0024536D"/>
    <w:rsid w:val="002464D1"/>
    <w:rsid w:val="0024668E"/>
    <w:rsid w:val="002466B9"/>
    <w:rsid w:val="002471B8"/>
    <w:rsid w:val="00247B57"/>
    <w:rsid w:val="00250641"/>
    <w:rsid w:val="00251AF4"/>
    <w:rsid w:val="00251D35"/>
    <w:rsid w:val="00252DD3"/>
    <w:rsid w:val="00254E14"/>
    <w:rsid w:val="00254E24"/>
    <w:rsid w:val="002552CE"/>
    <w:rsid w:val="0025578B"/>
    <w:rsid w:val="00255CFB"/>
    <w:rsid w:val="0025640E"/>
    <w:rsid w:val="002565A0"/>
    <w:rsid w:val="002570BD"/>
    <w:rsid w:val="0026028E"/>
    <w:rsid w:val="00260A00"/>
    <w:rsid w:val="00260C24"/>
    <w:rsid w:val="00261854"/>
    <w:rsid w:val="00263F28"/>
    <w:rsid w:val="0026414F"/>
    <w:rsid w:val="00265E12"/>
    <w:rsid w:val="00266354"/>
    <w:rsid w:val="002664C0"/>
    <w:rsid w:val="00266C4F"/>
    <w:rsid w:val="0026729C"/>
    <w:rsid w:val="00267D39"/>
    <w:rsid w:val="0027055A"/>
    <w:rsid w:val="00270C3D"/>
    <w:rsid w:val="00270F1C"/>
    <w:rsid w:val="0027159D"/>
    <w:rsid w:val="0027258C"/>
    <w:rsid w:val="00272EC4"/>
    <w:rsid w:val="00273272"/>
    <w:rsid w:val="00273463"/>
    <w:rsid w:val="0027409B"/>
    <w:rsid w:val="002752D5"/>
    <w:rsid w:val="002752E3"/>
    <w:rsid w:val="0027568F"/>
    <w:rsid w:val="00275D0A"/>
    <w:rsid w:val="00276717"/>
    <w:rsid w:val="00276CA2"/>
    <w:rsid w:val="00276CF3"/>
    <w:rsid w:val="00280598"/>
    <w:rsid w:val="00280B3C"/>
    <w:rsid w:val="002814A1"/>
    <w:rsid w:val="00282118"/>
    <w:rsid w:val="00283BEA"/>
    <w:rsid w:val="00284832"/>
    <w:rsid w:val="00284FA2"/>
    <w:rsid w:val="00284FED"/>
    <w:rsid w:val="002857EB"/>
    <w:rsid w:val="00285B80"/>
    <w:rsid w:val="0028602C"/>
    <w:rsid w:val="00286657"/>
    <w:rsid w:val="0028696E"/>
    <w:rsid w:val="00292657"/>
    <w:rsid w:val="00292D36"/>
    <w:rsid w:val="002935FB"/>
    <w:rsid w:val="002936C1"/>
    <w:rsid w:val="00293DA8"/>
    <w:rsid w:val="00293E5D"/>
    <w:rsid w:val="00294292"/>
    <w:rsid w:val="00294A5A"/>
    <w:rsid w:val="00295BCB"/>
    <w:rsid w:val="002961F8"/>
    <w:rsid w:val="00296C9D"/>
    <w:rsid w:val="00297281"/>
    <w:rsid w:val="00297A47"/>
    <w:rsid w:val="002A0290"/>
    <w:rsid w:val="002A1A78"/>
    <w:rsid w:val="002A2997"/>
    <w:rsid w:val="002A2EF8"/>
    <w:rsid w:val="002A31D0"/>
    <w:rsid w:val="002A3B38"/>
    <w:rsid w:val="002A3D9E"/>
    <w:rsid w:val="002A4AD5"/>
    <w:rsid w:val="002A4B73"/>
    <w:rsid w:val="002A5357"/>
    <w:rsid w:val="002A5891"/>
    <w:rsid w:val="002A6663"/>
    <w:rsid w:val="002A6CBD"/>
    <w:rsid w:val="002A7889"/>
    <w:rsid w:val="002A7D6F"/>
    <w:rsid w:val="002B03F1"/>
    <w:rsid w:val="002B21E2"/>
    <w:rsid w:val="002B2664"/>
    <w:rsid w:val="002B4407"/>
    <w:rsid w:val="002B56CF"/>
    <w:rsid w:val="002B5E2B"/>
    <w:rsid w:val="002B6BB5"/>
    <w:rsid w:val="002B6DAA"/>
    <w:rsid w:val="002B788C"/>
    <w:rsid w:val="002B7C79"/>
    <w:rsid w:val="002C0094"/>
    <w:rsid w:val="002C0809"/>
    <w:rsid w:val="002C1110"/>
    <w:rsid w:val="002C2780"/>
    <w:rsid w:val="002C2925"/>
    <w:rsid w:val="002C2DB8"/>
    <w:rsid w:val="002C2F5A"/>
    <w:rsid w:val="002C49BD"/>
    <w:rsid w:val="002C4CCE"/>
    <w:rsid w:val="002C7CF1"/>
    <w:rsid w:val="002D0E7D"/>
    <w:rsid w:val="002D1130"/>
    <w:rsid w:val="002D124C"/>
    <w:rsid w:val="002D1373"/>
    <w:rsid w:val="002D1865"/>
    <w:rsid w:val="002D1B32"/>
    <w:rsid w:val="002D2E2D"/>
    <w:rsid w:val="002D5E80"/>
    <w:rsid w:val="002D60FA"/>
    <w:rsid w:val="002D68BC"/>
    <w:rsid w:val="002D6F3C"/>
    <w:rsid w:val="002D70F7"/>
    <w:rsid w:val="002D711A"/>
    <w:rsid w:val="002D71CA"/>
    <w:rsid w:val="002D7336"/>
    <w:rsid w:val="002E0137"/>
    <w:rsid w:val="002E07C2"/>
    <w:rsid w:val="002E1C5A"/>
    <w:rsid w:val="002E1D80"/>
    <w:rsid w:val="002E2AC6"/>
    <w:rsid w:val="002E3396"/>
    <w:rsid w:val="002E3AE3"/>
    <w:rsid w:val="002E756D"/>
    <w:rsid w:val="002E7D33"/>
    <w:rsid w:val="002F1613"/>
    <w:rsid w:val="002F2953"/>
    <w:rsid w:val="002F375E"/>
    <w:rsid w:val="002F4173"/>
    <w:rsid w:val="002F4E73"/>
    <w:rsid w:val="002F5F2A"/>
    <w:rsid w:val="002F6C98"/>
    <w:rsid w:val="002F6F9C"/>
    <w:rsid w:val="002F7C75"/>
    <w:rsid w:val="003002C4"/>
    <w:rsid w:val="00301823"/>
    <w:rsid w:val="00301FC7"/>
    <w:rsid w:val="003026DD"/>
    <w:rsid w:val="0030287A"/>
    <w:rsid w:val="00303E66"/>
    <w:rsid w:val="00304754"/>
    <w:rsid w:val="00306089"/>
    <w:rsid w:val="003102CA"/>
    <w:rsid w:val="0031149C"/>
    <w:rsid w:val="0031173E"/>
    <w:rsid w:val="00312481"/>
    <w:rsid w:val="003125FF"/>
    <w:rsid w:val="00312769"/>
    <w:rsid w:val="00315B8F"/>
    <w:rsid w:val="00315D31"/>
    <w:rsid w:val="003162D9"/>
    <w:rsid w:val="003165BB"/>
    <w:rsid w:val="00316FC9"/>
    <w:rsid w:val="00317B0D"/>
    <w:rsid w:val="0032034A"/>
    <w:rsid w:val="00320568"/>
    <w:rsid w:val="00320B86"/>
    <w:rsid w:val="003225CF"/>
    <w:rsid w:val="00322C93"/>
    <w:rsid w:val="003236C2"/>
    <w:rsid w:val="00325E21"/>
    <w:rsid w:val="003261F4"/>
    <w:rsid w:val="0032728F"/>
    <w:rsid w:val="003273DE"/>
    <w:rsid w:val="00327722"/>
    <w:rsid w:val="00330A9F"/>
    <w:rsid w:val="00331356"/>
    <w:rsid w:val="00331ECD"/>
    <w:rsid w:val="0033252B"/>
    <w:rsid w:val="00333217"/>
    <w:rsid w:val="00333514"/>
    <w:rsid w:val="003353F4"/>
    <w:rsid w:val="00335E37"/>
    <w:rsid w:val="00336D6D"/>
    <w:rsid w:val="00337635"/>
    <w:rsid w:val="00337BEE"/>
    <w:rsid w:val="00341B48"/>
    <w:rsid w:val="003424A0"/>
    <w:rsid w:val="0034327F"/>
    <w:rsid w:val="00343465"/>
    <w:rsid w:val="00345812"/>
    <w:rsid w:val="00345B45"/>
    <w:rsid w:val="00345F0B"/>
    <w:rsid w:val="00346E6F"/>
    <w:rsid w:val="0034703F"/>
    <w:rsid w:val="003471C4"/>
    <w:rsid w:val="00347A4B"/>
    <w:rsid w:val="00350124"/>
    <w:rsid w:val="00350441"/>
    <w:rsid w:val="00350707"/>
    <w:rsid w:val="003509FB"/>
    <w:rsid w:val="00350E7F"/>
    <w:rsid w:val="00351761"/>
    <w:rsid w:val="00351A85"/>
    <w:rsid w:val="00351E25"/>
    <w:rsid w:val="003531C6"/>
    <w:rsid w:val="00353497"/>
    <w:rsid w:val="00354D98"/>
    <w:rsid w:val="003550B7"/>
    <w:rsid w:val="003555CA"/>
    <w:rsid w:val="00355FFE"/>
    <w:rsid w:val="003562FC"/>
    <w:rsid w:val="003568EE"/>
    <w:rsid w:val="00357939"/>
    <w:rsid w:val="00357C5F"/>
    <w:rsid w:val="00357CCB"/>
    <w:rsid w:val="00360309"/>
    <w:rsid w:val="00360474"/>
    <w:rsid w:val="0036193E"/>
    <w:rsid w:val="00361A4B"/>
    <w:rsid w:val="00362551"/>
    <w:rsid w:val="003626D2"/>
    <w:rsid w:val="00364EB1"/>
    <w:rsid w:val="00365721"/>
    <w:rsid w:val="00365804"/>
    <w:rsid w:val="00365834"/>
    <w:rsid w:val="00366A3C"/>
    <w:rsid w:val="0036778F"/>
    <w:rsid w:val="003679A7"/>
    <w:rsid w:val="00370D85"/>
    <w:rsid w:val="00372919"/>
    <w:rsid w:val="00373B5D"/>
    <w:rsid w:val="00373C65"/>
    <w:rsid w:val="003746CF"/>
    <w:rsid w:val="00374860"/>
    <w:rsid w:val="00374E07"/>
    <w:rsid w:val="00376190"/>
    <w:rsid w:val="0037636F"/>
    <w:rsid w:val="0037655A"/>
    <w:rsid w:val="00380710"/>
    <w:rsid w:val="00380918"/>
    <w:rsid w:val="00382D86"/>
    <w:rsid w:val="00383375"/>
    <w:rsid w:val="00383733"/>
    <w:rsid w:val="003838A7"/>
    <w:rsid w:val="003842F6"/>
    <w:rsid w:val="00384958"/>
    <w:rsid w:val="00384C8D"/>
    <w:rsid w:val="003850C6"/>
    <w:rsid w:val="00385A78"/>
    <w:rsid w:val="00386199"/>
    <w:rsid w:val="0038771C"/>
    <w:rsid w:val="00390959"/>
    <w:rsid w:val="00391CB6"/>
    <w:rsid w:val="00392C41"/>
    <w:rsid w:val="00392F0A"/>
    <w:rsid w:val="00393870"/>
    <w:rsid w:val="0039469F"/>
    <w:rsid w:val="00395517"/>
    <w:rsid w:val="00395C47"/>
    <w:rsid w:val="0039730C"/>
    <w:rsid w:val="003A0C16"/>
    <w:rsid w:val="003A12FA"/>
    <w:rsid w:val="003A19A1"/>
    <w:rsid w:val="003A24F9"/>
    <w:rsid w:val="003A3530"/>
    <w:rsid w:val="003A3551"/>
    <w:rsid w:val="003A4135"/>
    <w:rsid w:val="003A430B"/>
    <w:rsid w:val="003A541A"/>
    <w:rsid w:val="003A6923"/>
    <w:rsid w:val="003A753A"/>
    <w:rsid w:val="003A78B1"/>
    <w:rsid w:val="003A7E85"/>
    <w:rsid w:val="003A7F15"/>
    <w:rsid w:val="003B09DB"/>
    <w:rsid w:val="003B09F9"/>
    <w:rsid w:val="003B202C"/>
    <w:rsid w:val="003B2F3D"/>
    <w:rsid w:val="003B3F30"/>
    <w:rsid w:val="003B412A"/>
    <w:rsid w:val="003B5018"/>
    <w:rsid w:val="003B5188"/>
    <w:rsid w:val="003B60B8"/>
    <w:rsid w:val="003B695D"/>
    <w:rsid w:val="003B6C4C"/>
    <w:rsid w:val="003B7485"/>
    <w:rsid w:val="003C047C"/>
    <w:rsid w:val="003C0D45"/>
    <w:rsid w:val="003C1D91"/>
    <w:rsid w:val="003C1EC3"/>
    <w:rsid w:val="003C2179"/>
    <w:rsid w:val="003C2361"/>
    <w:rsid w:val="003C237D"/>
    <w:rsid w:val="003C26CB"/>
    <w:rsid w:val="003C2B7D"/>
    <w:rsid w:val="003C2BEE"/>
    <w:rsid w:val="003C2C67"/>
    <w:rsid w:val="003C2D4C"/>
    <w:rsid w:val="003C3151"/>
    <w:rsid w:val="003C3227"/>
    <w:rsid w:val="003C3B3A"/>
    <w:rsid w:val="003C48CF"/>
    <w:rsid w:val="003C4CB7"/>
    <w:rsid w:val="003C4E1A"/>
    <w:rsid w:val="003C5397"/>
    <w:rsid w:val="003C5BA4"/>
    <w:rsid w:val="003D0706"/>
    <w:rsid w:val="003D0997"/>
    <w:rsid w:val="003D13CA"/>
    <w:rsid w:val="003D2833"/>
    <w:rsid w:val="003D57AA"/>
    <w:rsid w:val="003D614D"/>
    <w:rsid w:val="003D6BCE"/>
    <w:rsid w:val="003D7A9C"/>
    <w:rsid w:val="003E0779"/>
    <w:rsid w:val="003E2486"/>
    <w:rsid w:val="003E2923"/>
    <w:rsid w:val="003E3E26"/>
    <w:rsid w:val="003E7572"/>
    <w:rsid w:val="003E7E89"/>
    <w:rsid w:val="003F09E1"/>
    <w:rsid w:val="003F0B69"/>
    <w:rsid w:val="003F0D43"/>
    <w:rsid w:val="003F1295"/>
    <w:rsid w:val="003F2CC9"/>
    <w:rsid w:val="003F395C"/>
    <w:rsid w:val="003F42C1"/>
    <w:rsid w:val="003F42F6"/>
    <w:rsid w:val="003F4523"/>
    <w:rsid w:val="003F49C8"/>
    <w:rsid w:val="003F5102"/>
    <w:rsid w:val="003F5D14"/>
    <w:rsid w:val="003F76FC"/>
    <w:rsid w:val="003F7821"/>
    <w:rsid w:val="003F7EB3"/>
    <w:rsid w:val="004001E2"/>
    <w:rsid w:val="004002EB"/>
    <w:rsid w:val="00400738"/>
    <w:rsid w:val="00400E44"/>
    <w:rsid w:val="004010B5"/>
    <w:rsid w:val="004015E6"/>
    <w:rsid w:val="00401BB0"/>
    <w:rsid w:val="004023DF"/>
    <w:rsid w:val="00403843"/>
    <w:rsid w:val="00404484"/>
    <w:rsid w:val="0040537C"/>
    <w:rsid w:val="00406199"/>
    <w:rsid w:val="00407A79"/>
    <w:rsid w:val="00407AE6"/>
    <w:rsid w:val="00407B77"/>
    <w:rsid w:val="004108A6"/>
    <w:rsid w:val="004118B1"/>
    <w:rsid w:val="00411AB8"/>
    <w:rsid w:val="004121CF"/>
    <w:rsid w:val="00412A04"/>
    <w:rsid w:val="0041376C"/>
    <w:rsid w:val="004137B8"/>
    <w:rsid w:val="00414132"/>
    <w:rsid w:val="00415D24"/>
    <w:rsid w:val="00416923"/>
    <w:rsid w:val="004169B2"/>
    <w:rsid w:val="004202A4"/>
    <w:rsid w:val="00421B99"/>
    <w:rsid w:val="00421E63"/>
    <w:rsid w:val="00422DDC"/>
    <w:rsid w:val="004231B5"/>
    <w:rsid w:val="004236C8"/>
    <w:rsid w:val="00424DC3"/>
    <w:rsid w:val="00424DF6"/>
    <w:rsid w:val="004255DC"/>
    <w:rsid w:val="00425750"/>
    <w:rsid w:val="00426F0E"/>
    <w:rsid w:val="0042767E"/>
    <w:rsid w:val="00427681"/>
    <w:rsid w:val="00427728"/>
    <w:rsid w:val="004277B4"/>
    <w:rsid w:val="00432628"/>
    <w:rsid w:val="00432CF3"/>
    <w:rsid w:val="00432D65"/>
    <w:rsid w:val="0043353C"/>
    <w:rsid w:val="004338F2"/>
    <w:rsid w:val="00433DB7"/>
    <w:rsid w:val="00435CE3"/>
    <w:rsid w:val="0043696B"/>
    <w:rsid w:val="00436A4D"/>
    <w:rsid w:val="00436ACB"/>
    <w:rsid w:val="004400D4"/>
    <w:rsid w:val="00440C8D"/>
    <w:rsid w:val="004411B4"/>
    <w:rsid w:val="004415E8"/>
    <w:rsid w:val="00441BF7"/>
    <w:rsid w:val="004428BB"/>
    <w:rsid w:val="004448D7"/>
    <w:rsid w:val="00444C5E"/>
    <w:rsid w:val="00444E1A"/>
    <w:rsid w:val="00447571"/>
    <w:rsid w:val="00447CBD"/>
    <w:rsid w:val="004503B0"/>
    <w:rsid w:val="004507A6"/>
    <w:rsid w:val="00450CB8"/>
    <w:rsid w:val="0045218D"/>
    <w:rsid w:val="00453750"/>
    <w:rsid w:val="00453892"/>
    <w:rsid w:val="004540A1"/>
    <w:rsid w:val="0045447C"/>
    <w:rsid w:val="00455330"/>
    <w:rsid w:val="00455457"/>
    <w:rsid w:val="00455B2C"/>
    <w:rsid w:val="00455F8A"/>
    <w:rsid w:val="00456158"/>
    <w:rsid w:val="00456941"/>
    <w:rsid w:val="004600B5"/>
    <w:rsid w:val="00461138"/>
    <w:rsid w:val="004618AE"/>
    <w:rsid w:val="004621CD"/>
    <w:rsid w:val="0046302F"/>
    <w:rsid w:val="00463C5A"/>
    <w:rsid w:val="00463F5C"/>
    <w:rsid w:val="00464610"/>
    <w:rsid w:val="004647F1"/>
    <w:rsid w:val="0046549D"/>
    <w:rsid w:val="00465C91"/>
    <w:rsid w:val="00466534"/>
    <w:rsid w:val="004672E3"/>
    <w:rsid w:val="00467B33"/>
    <w:rsid w:val="00467C11"/>
    <w:rsid w:val="004702EA"/>
    <w:rsid w:val="00471294"/>
    <w:rsid w:val="00472026"/>
    <w:rsid w:val="004742FD"/>
    <w:rsid w:val="00474D15"/>
    <w:rsid w:val="00474F07"/>
    <w:rsid w:val="00475333"/>
    <w:rsid w:val="00475F44"/>
    <w:rsid w:val="00476CAA"/>
    <w:rsid w:val="00477165"/>
    <w:rsid w:val="004777DB"/>
    <w:rsid w:val="004806EE"/>
    <w:rsid w:val="0048073C"/>
    <w:rsid w:val="00481497"/>
    <w:rsid w:val="004817A9"/>
    <w:rsid w:val="0048259C"/>
    <w:rsid w:val="00482BF6"/>
    <w:rsid w:val="00482D02"/>
    <w:rsid w:val="00482D0A"/>
    <w:rsid w:val="00482DBE"/>
    <w:rsid w:val="004831E1"/>
    <w:rsid w:val="0048394F"/>
    <w:rsid w:val="00483F50"/>
    <w:rsid w:val="00484326"/>
    <w:rsid w:val="00484DCA"/>
    <w:rsid w:val="00485303"/>
    <w:rsid w:val="0048579F"/>
    <w:rsid w:val="00486086"/>
    <w:rsid w:val="00486424"/>
    <w:rsid w:val="00487252"/>
    <w:rsid w:val="00487F55"/>
    <w:rsid w:val="00490369"/>
    <w:rsid w:val="00490B40"/>
    <w:rsid w:val="00490C43"/>
    <w:rsid w:val="00491B1F"/>
    <w:rsid w:val="00491E85"/>
    <w:rsid w:val="00491FF3"/>
    <w:rsid w:val="00492EFA"/>
    <w:rsid w:val="00493E3C"/>
    <w:rsid w:val="00495335"/>
    <w:rsid w:val="00495EB3"/>
    <w:rsid w:val="004962BB"/>
    <w:rsid w:val="00497784"/>
    <w:rsid w:val="00497EB0"/>
    <w:rsid w:val="004A00F5"/>
    <w:rsid w:val="004A01B3"/>
    <w:rsid w:val="004A0AD1"/>
    <w:rsid w:val="004A14AF"/>
    <w:rsid w:val="004A193F"/>
    <w:rsid w:val="004A1D4E"/>
    <w:rsid w:val="004A275B"/>
    <w:rsid w:val="004A3CDA"/>
    <w:rsid w:val="004A3E9C"/>
    <w:rsid w:val="004A4EDA"/>
    <w:rsid w:val="004A521C"/>
    <w:rsid w:val="004A5CD4"/>
    <w:rsid w:val="004A6266"/>
    <w:rsid w:val="004A72A2"/>
    <w:rsid w:val="004A7519"/>
    <w:rsid w:val="004B008E"/>
    <w:rsid w:val="004B0E0A"/>
    <w:rsid w:val="004B1189"/>
    <w:rsid w:val="004B2141"/>
    <w:rsid w:val="004B320F"/>
    <w:rsid w:val="004B4B75"/>
    <w:rsid w:val="004B5022"/>
    <w:rsid w:val="004B5BC1"/>
    <w:rsid w:val="004B62F8"/>
    <w:rsid w:val="004B64B1"/>
    <w:rsid w:val="004B6747"/>
    <w:rsid w:val="004B7337"/>
    <w:rsid w:val="004C0E0A"/>
    <w:rsid w:val="004C2B2A"/>
    <w:rsid w:val="004C5161"/>
    <w:rsid w:val="004C628E"/>
    <w:rsid w:val="004D0061"/>
    <w:rsid w:val="004D01AC"/>
    <w:rsid w:val="004D1629"/>
    <w:rsid w:val="004D2D50"/>
    <w:rsid w:val="004D2EEE"/>
    <w:rsid w:val="004D3518"/>
    <w:rsid w:val="004D44D0"/>
    <w:rsid w:val="004D500F"/>
    <w:rsid w:val="004D51DF"/>
    <w:rsid w:val="004D62D6"/>
    <w:rsid w:val="004D6898"/>
    <w:rsid w:val="004D6A06"/>
    <w:rsid w:val="004D737E"/>
    <w:rsid w:val="004D7778"/>
    <w:rsid w:val="004D782F"/>
    <w:rsid w:val="004D7D3E"/>
    <w:rsid w:val="004E0327"/>
    <w:rsid w:val="004E0A89"/>
    <w:rsid w:val="004E0CAC"/>
    <w:rsid w:val="004E0ED4"/>
    <w:rsid w:val="004E1F47"/>
    <w:rsid w:val="004E3B27"/>
    <w:rsid w:val="004E4C06"/>
    <w:rsid w:val="004E696E"/>
    <w:rsid w:val="004F01D4"/>
    <w:rsid w:val="004F123C"/>
    <w:rsid w:val="004F2019"/>
    <w:rsid w:val="004F239D"/>
    <w:rsid w:val="004F2883"/>
    <w:rsid w:val="004F3AD5"/>
    <w:rsid w:val="004F3F4E"/>
    <w:rsid w:val="004F42E7"/>
    <w:rsid w:val="004F4A49"/>
    <w:rsid w:val="004F68A4"/>
    <w:rsid w:val="004F6C03"/>
    <w:rsid w:val="00501DA9"/>
    <w:rsid w:val="005026BC"/>
    <w:rsid w:val="005037DB"/>
    <w:rsid w:val="00503985"/>
    <w:rsid w:val="00503A4D"/>
    <w:rsid w:val="00505B01"/>
    <w:rsid w:val="00506036"/>
    <w:rsid w:val="0050650F"/>
    <w:rsid w:val="005071C2"/>
    <w:rsid w:val="0050740B"/>
    <w:rsid w:val="005079B2"/>
    <w:rsid w:val="00510167"/>
    <w:rsid w:val="00510CA8"/>
    <w:rsid w:val="00510E24"/>
    <w:rsid w:val="00511160"/>
    <w:rsid w:val="005113E1"/>
    <w:rsid w:val="00511C56"/>
    <w:rsid w:val="00511E12"/>
    <w:rsid w:val="00512B72"/>
    <w:rsid w:val="00512E3D"/>
    <w:rsid w:val="00513455"/>
    <w:rsid w:val="00513796"/>
    <w:rsid w:val="00513E86"/>
    <w:rsid w:val="00515878"/>
    <w:rsid w:val="00515958"/>
    <w:rsid w:val="00515F2C"/>
    <w:rsid w:val="00516A93"/>
    <w:rsid w:val="00516CCA"/>
    <w:rsid w:val="0052026F"/>
    <w:rsid w:val="00521C84"/>
    <w:rsid w:val="0052370D"/>
    <w:rsid w:val="005239E3"/>
    <w:rsid w:val="00523E77"/>
    <w:rsid w:val="00524610"/>
    <w:rsid w:val="005247BB"/>
    <w:rsid w:val="00524B3F"/>
    <w:rsid w:val="00526E9E"/>
    <w:rsid w:val="00527064"/>
    <w:rsid w:val="00527438"/>
    <w:rsid w:val="00527EFC"/>
    <w:rsid w:val="005306A2"/>
    <w:rsid w:val="00531A97"/>
    <w:rsid w:val="00531C1E"/>
    <w:rsid w:val="00531EAA"/>
    <w:rsid w:val="00531EF6"/>
    <w:rsid w:val="0053416C"/>
    <w:rsid w:val="005349F8"/>
    <w:rsid w:val="00534A52"/>
    <w:rsid w:val="00536089"/>
    <w:rsid w:val="005360EC"/>
    <w:rsid w:val="005377A2"/>
    <w:rsid w:val="005377BE"/>
    <w:rsid w:val="00537C21"/>
    <w:rsid w:val="00540598"/>
    <w:rsid w:val="005416D7"/>
    <w:rsid w:val="00541C2F"/>
    <w:rsid w:val="0054260A"/>
    <w:rsid w:val="005428FB"/>
    <w:rsid w:val="00542FAF"/>
    <w:rsid w:val="00544035"/>
    <w:rsid w:val="005450D9"/>
    <w:rsid w:val="00545118"/>
    <w:rsid w:val="005476FD"/>
    <w:rsid w:val="0054776D"/>
    <w:rsid w:val="00547A71"/>
    <w:rsid w:val="005524EC"/>
    <w:rsid w:val="00552DE4"/>
    <w:rsid w:val="005538EE"/>
    <w:rsid w:val="00553C40"/>
    <w:rsid w:val="00553D7D"/>
    <w:rsid w:val="00553F9B"/>
    <w:rsid w:val="005548C0"/>
    <w:rsid w:val="005568CD"/>
    <w:rsid w:val="00557518"/>
    <w:rsid w:val="005578F3"/>
    <w:rsid w:val="00560689"/>
    <w:rsid w:val="005607B5"/>
    <w:rsid w:val="0056129F"/>
    <w:rsid w:val="005619BB"/>
    <w:rsid w:val="00562085"/>
    <w:rsid w:val="00562685"/>
    <w:rsid w:val="00562AE2"/>
    <w:rsid w:val="00562D0B"/>
    <w:rsid w:val="00563527"/>
    <w:rsid w:val="00564001"/>
    <w:rsid w:val="00564A27"/>
    <w:rsid w:val="00564D89"/>
    <w:rsid w:val="00572C5D"/>
    <w:rsid w:val="00572F48"/>
    <w:rsid w:val="005739A2"/>
    <w:rsid w:val="0057407A"/>
    <w:rsid w:val="00574D92"/>
    <w:rsid w:val="005751D7"/>
    <w:rsid w:val="00576382"/>
    <w:rsid w:val="0057761B"/>
    <w:rsid w:val="00580DAE"/>
    <w:rsid w:val="00580E96"/>
    <w:rsid w:val="0058124E"/>
    <w:rsid w:val="00582501"/>
    <w:rsid w:val="005835FA"/>
    <w:rsid w:val="005848A5"/>
    <w:rsid w:val="00584AAC"/>
    <w:rsid w:val="00584D65"/>
    <w:rsid w:val="005875A3"/>
    <w:rsid w:val="00587A95"/>
    <w:rsid w:val="00590A30"/>
    <w:rsid w:val="00591317"/>
    <w:rsid w:val="005922E1"/>
    <w:rsid w:val="005924E8"/>
    <w:rsid w:val="0059267A"/>
    <w:rsid w:val="0059269F"/>
    <w:rsid w:val="00592C6B"/>
    <w:rsid w:val="00592D66"/>
    <w:rsid w:val="00592DDB"/>
    <w:rsid w:val="00593870"/>
    <w:rsid w:val="00593A04"/>
    <w:rsid w:val="005947AB"/>
    <w:rsid w:val="005953EA"/>
    <w:rsid w:val="00595B96"/>
    <w:rsid w:val="005A10FF"/>
    <w:rsid w:val="005A327F"/>
    <w:rsid w:val="005A3416"/>
    <w:rsid w:val="005A3964"/>
    <w:rsid w:val="005A46D9"/>
    <w:rsid w:val="005A6020"/>
    <w:rsid w:val="005A6075"/>
    <w:rsid w:val="005A66E1"/>
    <w:rsid w:val="005A699D"/>
    <w:rsid w:val="005A72CD"/>
    <w:rsid w:val="005A75E7"/>
    <w:rsid w:val="005A7D20"/>
    <w:rsid w:val="005B067A"/>
    <w:rsid w:val="005B0795"/>
    <w:rsid w:val="005B1041"/>
    <w:rsid w:val="005B121B"/>
    <w:rsid w:val="005B21F2"/>
    <w:rsid w:val="005B2331"/>
    <w:rsid w:val="005B27FE"/>
    <w:rsid w:val="005B2A3A"/>
    <w:rsid w:val="005B2E6C"/>
    <w:rsid w:val="005B3CA8"/>
    <w:rsid w:val="005B4045"/>
    <w:rsid w:val="005B5373"/>
    <w:rsid w:val="005B6A53"/>
    <w:rsid w:val="005B7196"/>
    <w:rsid w:val="005B76DF"/>
    <w:rsid w:val="005B79CB"/>
    <w:rsid w:val="005C04F0"/>
    <w:rsid w:val="005C069B"/>
    <w:rsid w:val="005C07D3"/>
    <w:rsid w:val="005C08C0"/>
    <w:rsid w:val="005C12A8"/>
    <w:rsid w:val="005C19D3"/>
    <w:rsid w:val="005C2E0D"/>
    <w:rsid w:val="005C3569"/>
    <w:rsid w:val="005C36A2"/>
    <w:rsid w:val="005C3E6E"/>
    <w:rsid w:val="005C400C"/>
    <w:rsid w:val="005C50E1"/>
    <w:rsid w:val="005C5B2A"/>
    <w:rsid w:val="005C655A"/>
    <w:rsid w:val="005C6730"/>
    <w:rsid w:val="005C6E80"/>
    <w:rsid w:val="005C738E"/>
    <w:rsid w:val="005D03F0"/>
    <w:rsid w:val="005D1399"/>
    <w:rsid w:val="005D1FF6"/>
    <w:rsid w:val="005D2B95"/>
    <w:rsid w:val="005D2C54"/>
    <w:rsid w:val="005D2EC3"/>
    <w:rsid w:val="005D4758"/>
    <w:rsid w:val="005D61E6"/>
    <w:rsid w:val="005D7499"/>
    <w:rsid w:val="005E01C2"/>
    <w:rsid w:val="005E0359"/>
    <w:rsid w:val="005E08D7"/>
    <w:rsid w:val="005E3896"/>
    <w:rsid w:val="005E46F9"/>
    <w:rsid w:val="005E4C16"/>
    <w:rsid w:val="005E57E1"/>
    <w:rsid w:val="005E5947"/>
    <w:rsid w:val="005E6196"/>
    <w:rsid w:val="005E682E"/>
    <w:rsid w:val="005E6A68"/>
    <w:rsid w:val="005E7730"/>
    <w:rsid w:val="005E7B71"/>
    <w:rsid w:val="005E7D03"/>
    <w:rsid w:val="005F0173"/>
    <w:rsid w:val="005F1FC5"/>
    <w:rsid w:val="005F281E"/>
    <w:rsid w:val="005F35FB"/>
    <w:rsid w:val="005F4F78"/>
    <w:rsid w:val="005F5039"/>
    <w:rsid w:val="005F61DF"/>
    <w:rsid w:val="005F6A53"/>
    <w:rsid w:val="005F6C27"/>
    <w:rsid w:val="005F79D5"/>
    <w:rsid w:val="005F7F21"/>
    <w:rsid w:val="00600041"/>
    <w:rsid w:val="0060163A"/>
    <w:rsid w:val="00601F4D"/>
    <w:rsid w:val="006023F9"/>
    <w:rsid w:val="00602501"/>
    <w:rsid w:val="00602A5B"/>
    <w:rsid w:val="0060381D"/>
    <w:rsid w:val="0060490C"/>
    <w:rsid w:val="00604A03"/>
    <w:rsid w:val="00607E9F"/>
    <w:rsid w:val="00610559"/>
    <w:rsid w:val="006106F8"/>
    <w:rsid w:val="006109C6"/>
    <w:rsid w:val="00610A2B"/>
    <w:rsid w:val="0061114A"/>
    <w:rsid w:val="0061162A"/>
    <w:rsid w:val="0061170F"/>
    <w:rsid w:val="00613901"/>
    <w:rsid w:val="00613BAB"/>
    <w:rsid w:val="00614076"/>
    <w:rsid w:val="00614402"/>
    <w:rsid w:val="00614C6F"/>
    <w:rsid w:val="006151EF"/>
    <w:rsid w:val="006156D7"/>
    <w:rsid w:val="00615A77"/>
    <w:rsid w:val="00616087"/>
    <w:rsid w:val="00616DD0"/>
    <w:rsid w:val="006177BD"/>
    <w:rsid w:val="00617BB5"/>
    <w:rsid w:val="00620120"/>
    <w:rsid w:val="0062020B"/>
    <w:rsid w:val="00620668"/>
    <w:rsid w:val="006208C4"/>
    <w:rsid w:val="006212C1"/>
    <w:rsid w:val="00621A4C"/>
    <w:rsid w:val="00621C10"/>
    <w:rsid w:val="00622093"/>
    <w:rsid w:val="006224C2"/>
    <w:rsid w:val="00622ECC"/>
    <w:rsid w:val="00622F9C"/>
    <w:rsid w:val="006247AD"/>
    <w:rsid w:val="00624F80"/>
    <w:rsid w:val="00625808"/>
    <w:rsid w:val="0062678A"/>
    <w:rsid w:val="00626E69"/>
    <w:rsid w:val="00627979"/>
    <w:rsid w:val="0063029D"/>
    <w:rsid w:val="006302F0"/>
    <w:rsid w:val="00630E97"/>
    <w:rsid w:val="00632784"/>
    <w:rsid w:val="00632F2E"/>
    <w:rsid w:val="006332F6"/>
    <w:rsid w:val="00633A57"/>
    <w:rsid w:val="00633C69"/>
    <w:rsid w:val="00634CEA"/>
    <w:rsid w:val="00635500"/>
    <w:rsid w:val="0063681A"/>
    <w:rsid w:val="00637D3D"/>
    <w:rsid w:val="00637D9F"/>
    <w:rsid w:val="00640F77"/>
    <w:rsid w:val="00641241"/>
    <w:rsid w:val="006413F2"/>
    <w:rsid w:val="006430DD"/>
    <w:rsid w:val="0064352D"/>
    <w:rsid w:val="00643DC8"/>
    <w:rsid w:val="00643FE4"/>
    <w:rsid w:val="00644A92"/>
    <w:rsid w:val="00645197"/>
    <w:rsid w:val="00645914"/>
    <w:rsid w:val="00645E9B"/>
    <w:rsid w:val="00646231"/>
    <w:rsid w:val="0064627C"/>
    <w:rsid w:val="0064636F"/>
    <w:rsid w:val="0064727F"/>
    <w:rsid w:val="006508C0"/>
    <w:rsid w:val="00650EC1"/>
    <w:rsid w:val="00651312"/>
    <w:rsid w:val="00651BA6"/>
    <w:rsid w:val="0065220C"/>
    <w:rsid w:val="00653465"/>
    <w:rsid w:val="006534B2"/>
    <w:rsid w:val="00653D7E"/>
    <w:rsid w:val="00654EED"/>
    <w:rsid w:val="006560AA"/>
    <w:rsid w:val="0065615D"/>
    <w:rsid w:val="00657011"/>
    <w:rsid w:val="0065703C"/>
    <w:rsid w:val="006608A4"/>
    <w:rsid w:val="0066156B"/>
    <w:rsid w:val="00661870"/>
    <w:rsid w:val="006650B5"/>
    <w:rsid w:val="006651B1"/>
    <w:rsid w:val="006655AD"/>
    <w:rsid w:val="0066570C"/>
    <w:rsid w:val="00665778"/>
    <w:rsid w:val="00666B8B"/>
    <w:rsid w:val="0066786E"/>
    <w:rsid w:val="00670B1D"/>
    <w:rsid w:val="00671005"/>
    <w:rsid w:val="006736C1"/>
    <w:rsid w:val="006744D9"/>
    <w:rsid w:val="00674DD1"/>
    <w:rsid w:val="006754D3"/>
    <w:rsid w:val="00676E5F"/>
    <w:rsid w:val="006805AE"/>
    <w:rsid w:val="006813C0"/>
    <w:rsid w:val="00682C95"/>
    <w:rsid w:val="0068383A"/>
    <w:rsid w:val="00684D72"/>
    <w:rsid w:val="00685657"/>
    <w:rsid w:val="00685C82"/>
    <w:rsid w:val="006861AC"/>
    <w:rsid w:val="006874CC"/>
    <w:rsid w:val="006879A8"/>
    <w:rsid w:val="006879E3"/>
    <w:rsid w:val="00687BA6"/>
    <w:rsid w:val="006902D0"/>
    <w:rsid w:val="006911D3"/>
    <w:rsid w:val="0069162D"/>
    <w:rsid w:val="006944A6"/>
    <w:rsid w:val="006945CA"/>
    <w:rsid w:val="00695712"/>
    <w:rsid w:val="006957C3"/>
    <w:rsid w:val="00695E52"/>
    <w:rsid w:val="006963B6"/>
    <w:rsid w:val="006966DA"/>
    <w:rsid w:val="00697587"/>
    <w:rsid w:val="006975FD"/>
    <w:rsid w:val="0069773B"/>
    <w:rsid w:val="00697922"/>
    <w:rsid w:val="00697944"/>
    <w:rsid w:val="00697BD0"/>
    <w:rsid w:val="006A00E1"/>
    <w:rsid w:val="006A07EE"/>
    <w:rsid w:val="006A0BB6"/>
    <w:rsid w:val="006A30FC"/>
    <w:rsid w:val="006A3309"/>
    <w:rsid w:val="006A3775"/>
    <w:rsid w:val="006A3A5A"/>
    <w:rsid w:val="006A5B34"/>
    <w:rsid w:val="006A63C3"/>
    <w:rsid w:val="006A6CB0"/>
    <w:rsid w:val="006A747B"/>
    <w:rsid w:val="006B03F4"/>
    <w:rsid w:val="006B065F"/>
    <w:rsid w:val="006B0943"/>
    <w:rsid w:val="006B134D"/>
    <w:rsid w:val="006B1D9E"/>
    <w:rsid w:val="006B2CC1"/>
    <w:rsid w:val="006B337A"/>
    <w:rsid w:val="006B4BC1"/>
    <w:rsid w:val="006B51DE"/>
    <w:rsid w:val="006B596F"/>
    <w:rsid w:val="006B597A"/>
    <w:rsid w:val="006B5ED9"/>
    <w:rsid w:val="006B64B9"/>
    <w:rsid w:val="006B72E4"/>
    <w:rsid w:val="006C04C1"/>
    <w:rsid w:val="006C1427"/>
    <w:rsid w:val="006C2938"/>
    <w:rsid w:val="006C2CDC"/>
    <w:rsid w:val="006C426A"/>
    <w:rsid w:val="006C4918"/>
    <w:rsid w:val="006C5180"/>
    <w:rsid w:val="006C5557"/>
    <w:rsid w:val="006C5A58"/>
    <w:rsid w:val="006C73AB"/>
    <w:rsid w:val="006C77A9"/>
    <w:rsid w:val="006D2562"/>
    <w:rsid w:val="006D27DA"/>
    <w:rsid w:val="006D3CF1"/>
    <w:rsid w:val="006D4720"/>
    <w:rsid w:val="006D561B"/>
    <w:rsid w:val="006D5B85"/>
    <w:rsid w:val="006D5C13"/>
    <w:rsid w:val="006D5D64"/>
    <w:rsid w:val="006D61AA"/>
    <w:rsid w:val="006D6564"/>
    <w:rsid w:val="006D776C"/>
    <w:rsid w:val="006E1320"/>
    <w:rsid w:val="006E2C7C"/>
    <w:rsid w:val="006E3DFA"/>
    <w:rsid w:val="006E3F2D"/>
    <w:rsid w:val="006E4A9A"/>
    <w:rsid w:val="006E4C46"/>
    <w:rsid w:val="006E6A6D"/>
    <w:rsid w:val="006E6CDF"/>
    <w:rsid w:val="006E751C"/>
    <w:rsid w:val="006E7C80"/>
    <w:rsid w:val="006F08C4"/>
    <w:rsid w:val="006F1943"/>
    <w:rsid w:val="006F287F"/>
    <w:rsid w:val="006F28EC"/>
    <w:rsid w:val="006F37F2"/>
    <w:rsid w:val="006F4B95"/>
    <w:rsid w:val="006F4E80"/>
    <w:rsid w:val="006F51A1"/>
    <w:rsid w:val="006F57D2"/>
    <w:rsid w:val="006F6487"/>
    <w:rsid w:val="006F6693"/>
    <w:rsid w:val="006F6BD7"/>
    <w:rsid w:val="006F7C25"/>
    <w:rsid w:val="00700148"/>
    <w:rsid w:val="00700223"/>
    <w:rsid w:val="00700262"/>
    <w:rsid w:val="00700C7C"/>
    <w:rsid w:val="00700EB9"/>
    <w:rsid w:val="00701275"/>
    <w:rsid w:val="00701559"/>
    <w:rsid w:val="00701D78"/>
    <w:rsid w:val="0070205C"/>
    <w:rsid w:val="007039FB"/>
    <w:rsid w:val="00703B95"/>
    <w:rsid w:val="00704EAC"/>
    <w:rsid w:val="00704F17"/>
    <w:rsid w:val="0070676F"/>
    <w:rsid w:val="00706B6D"/>
    <w:rsid w:val="00706FFB"/>
    <w:rsid w:val="00707FE8"/>
    <w:rsid w:val="007124C6"/>
    <w:rsid w:val="0071322B"/>
    <w:rsid w:val="00713506"/>
    <w:rsid w:val="007138DF"/>
    <w:rsid w:val="00714021"/>
    <w:rsid w:val="00714AAE"/>
    <w:rsid w:val="00717C75"/>
    <w:rsid w:val="00720A01"/>
    <w:rsid w:val="00721C90"/>
    <w:rsid w:val="00723880"/>
    <w:rsid w:val="00724962"/>
    <w:rsid w:val="00724A0F"/>
    <w:rsid w:val="00724F02"/>
    <w:rsid w:val="007251B9"/>
    <w:rsid w:val="00725823"/>
    <w:rsid w:val="0072653D"/>
    <w:rsid w:val="00726836"/>
    <w:rsid w:val="00726D2F"/>
    <w:rsid w:val="00727E2C"/>
    <w:rsid w:val="007302F1"/>
    <w:rsid w:val="00730589"/>
    <w:rsid w:val="00731399"/>
    <w:rsid w:val="0073278C"/>
    <w:rsid w:val="007336EC"/>
    <w:rsid w:val="00733AFE"/>
    <w:rsid w:val="00734B45"/>
    <w:rsid w:val="00735CDF"/>
    <w:rsid w:val="00736162"/>
    <w:rsid w:val="0073654D"/>
    <w:rsid w:val="00736732"/>
    <w:rsid w:val="00737184"/>
    <w:rsid w:val="00740019"/>
    <w:rsid w:val="00740BD3"/>
    <w:rsid w:val="00742490"/>
    <w:rsid w:val="007432F9"/>
    <w:rsid w:val="00745110"/>
    <w:rsid w:val="00745D23"/>
    <w:rsid w:val="00746426"/>
    <w:rsid w:val="00746547"/>
    <w:rsid w:val="0074777D"/>
    <w:rsid w:val="00747811"/>
    <w:rsid w:val="00747903"/>
    <w:rsid w:val="00747DF1"/>
    <w:rsid w:val="007504B8"/>
    <w:rsid w:val="00750BF9"/>
    <w:rsid w:val="00750CBE"/>
    <w:rsid w:val="00753B16"/>
    <w:rsid w:val="007547D4"/>
    <w:rsid w:val="007563F0"/>
    <w:rsid w:val="00756E4C"/>
    <w:rsid w:val="007571EF"/>
    <w:rsid w:val="0075758B"/>
    <w:rsid w:val="00760B82"/>
    <w:rsid w:val="00761497"/>
    <w:rsid w:val="00761EDD"/>
    <w:rsid w:val="00763683"/>
    <w:rsid w:val="0076431E"/>
    <w:rsid w:val="00764E8F"/>
    <w:rsid w:val="007650D2"/>
    <w:rsid w:val="00766B5A"/>
    <w:rsid w:val="007675E8"/>
    <w:rsid w:val="00767B8C"/>
    <w:rsid w:val="00767BF9"/>
    <w:rsid w:val="00767F54"/>
    <w:rsid w:val="00770548"/>
    <w:rsid w:val="0077159D"/>
    <w:rsid w:val="00772209"/>
    <w:rsid w:val="007735BC"/>
    <w:rsid w:val="00773B41"/>
    <w:rsid w:val="0077415B"/>
    <w:rsid w:val="0077506E"/>
    <w:rsid w:val="00775ABA"/>
    <w:rsid w:val="007770A5"/>
    <w:rsid w:val="00777193"/>
    <w:rsid w:val="007777E9"/>
    <w:rsid w:val="0078040C"/>
    <w:rsid w:val="00782448"/>
    <w:rsid w:val="00782929"/>
    <w:rsid w:val="007834F2"/>
    <w:rsid w:val="0078432C"/>
    <w:rsid w:val="007857DB"/>
    <w:rsid w:val="00785D4A"/>
    <w:rsid w:val="007861D2"/>
    <w:rsid w:val="0078671E"/>
    <w:rsid w:val="00786B80"/>
    <w:rsid w:val="0078728F"/>
    <w:rsid w:val="00787A1D"/>
    <w:rsid w:val="00787E18"/>
    <w:rsid w:val="007906B9"/>
    <w:rsid w:val="00790B66"/>
    <w:rsid w:val="00791020"/>
    <w:rsid w:val="007919AD"/>
    <w:rsid w:val="00792E39"/>
    <w:rsid w:val="00793807"/>
    <w:rsid w:val="00793C99"/>
    <w:rsid w:val="00794F6B"/>
    <w:rsid w:val="00794FBD"/>
    <w:rsid w:val="00795AD4"/>
    <w:rsid w:val="00796484"/>
    <w:rsid w:val="00796ED9"/>
    <w:rsid w:val="00797356"/>
    <w:rsid w:val="00797D70"/>
    <w:rsid w:val="007A04D2"/>
    <w:rsid w:val="007A20B6"/>
    <w:rsid w:val="007A3977"/>
    <w:rsid w:val="007A40CA"/>
    <w:rsid w:val="007A5B5D"/>
    <w:rsid w:val="007A5F82"/>
    <w:rsid w:val="007A717D"/>
    <w:rsid w:val="007B08BC"/>
    <w:rsid w:val="007B0BF3"/>
    <w:rsid w:val="007B0F07"/>
    <w:rsid w:val="007B134B"/>
    <w:rsid w:val="007B19B7"/>
    <w:rsid w:val="007B1DDC"/>
    <w:rsid w:val="007B2421"/>
    <w:rsid w:val="007B2A3A"/>
    <w:rsid w:val="007B33E7"/>
    <w:rsid w:val="007B416F"/>
    <w:rsid w:val="007B4175"/>
    <w:rsid w:val="007B46CB"/>
    <w:rsid w:val="007B55C7"/>
    <w:rsid w:val="007B5747"/>
    <w:rsid w:val="007B5C1A"/>
    <w:rsid w:val="007B71A8"/>
    <w:rsid w:val="007B73AF"/>
    <w:rsid w:val="007B79A2"/>
    <w:rsid w:val="007C0CF0"/>
    <w:rsid w:val="007C1538"/>
    <w:rsid w:val="007C2ABD"/>
    <w:rsid w:val="007C2F87"/>
    <w:rsid w:val="007C3E87"/>
    <w:rsid w:val="007C565B"/>
    <w:rsid w:val="007C6EC8"/>
    <w:rsid w:val="007C7F55"/>
    <w:rsid w:val="007D1514"/>
    <w:rsid w:val="007D16BB"/>
    <w:rsid w:val="007D33E7"/>
    <w:rsid w:val="007D3CCC"/>
    <w:rsid w:val="007D4AEF"/>
    <w:rsid w:val="007D4B16"/>
    <w:rsid w:val="007D4BB8"/>
    <w:rsid w:val="007D518B"/>
    <w:rsid w:val="007D57F4"/>
    <w:rsid w:val="007D5D76"/>
    <w:rsid w:val="007D5F9E"/>
    <w:rsid w:val="007D66B5"/>
    <w:rsid w:val="007D6713"/>
    <w:rsid w:val="007D6FFC"/>
    <w:rsid w:val="007D7BAD"/>
    <w:rsid w:val="007D7E4E"/>
    <w:rsid w:val="007E0082"/>
    <w:rsid w:val="007E0779"/>
    <w:rsid w:val="007E098F"/>
    <w:rsid w:val="007E0E96"/>
    <w:rsid w:val="007E1478"/>
    <w:rsid w:val="007E189C"/>
    <w:rsid w:val="007E1CEE"/>
    <w:rsid w:val="007E20E9"/>
    <w:rsid w:val="007E3BA2"/>
    <w:rsid w:val="007E449E"/>
    <w:rsid w:val="007E4C79"/>
    <w:rsid w:val="007E565D"/>
    <w:rsid w:val="007E625C"/>
    <w:rsid w:val="007E62DB"/>
    <w:rsid w:val="007E6560"/>
    <w:rsid w:val="007E6571"/>
    <w:rsid w:val="007E668A"/>
    <w:rsid w:val="007E7496"/>
    <w:rsid w:val="007E7688"/>
    <w:rsid w:val="007F008A"/>
    <w:rsid w:val="007F0C7F"/>
    <w:rsid w:val="007F0D3F"/>
    <w:rsid w:val="007F1A4C"/>
    <w:rsid w:val="007F1F48"/>
    <w:rsid w:val="007F2FD4"/>
    <w:rsid w:val="007F3508"/>
    <w:rsid w:val="007F4912"/>
    <w:rsid w:val="007F54E6"/>
    <w:rsid w:val="007F5772"/>
    <w:rsid w:val="007F67F2"/>
    <w:rsid w:val="007F7069"/>
    <w:rsid w:val="007F723F"/>
    <w:rsid w:val="007F7B67"/>
    <w:rsid w:val="008016CC"/>
    <w:rsid w:val="008017CB"/>
    <w:rsid w:val="008022C3"/>
    <w:rsid w:val="00802621"/>
    <w:rsid w:val="008027E8"/>
    <w:rsid w:val="00802DFA"/>
    <w:rsid w:val="00803BC6"/>
    <w:rsid w:val="008041E6"/>
    <w:rsid w:val="008065D2"/>
    <w:rsid w:val="00806D4D"/>
    <w:rsid w:val="0080716B"/>
    <w:rsid w:val="00807364"/>
    <w:rsid w:val="0080783D"/>
    <w:rsid w:val="00810ABA"/>
    <w:rsid w:val="00811025"/>
    <w:rsid w:val="008111EB"/>
    <w:rsid w:val="00813268"/>
    <w:rsid w:val="00814F85"/>
    <w:rsid w:val="00815212"/>
    <w:rsid w:val="00815A8A"/>
    <w:rsid w:val="00815EBA"/>
    <w:rsid w:val="0081707C"/>
    <w:rsid w:val="008177F4"/>
    <w:rsid w:val="00820472"/>
    <w:rsid w:val="00820DB0"/>
    <w:rsid w:val="00820E52"/>
    <w:rsid w:val="0082194C"/>
    <w:rsid w:val="008222FF"/>
    <w:rsid w:val="008241FF"/>
    <w:rsid w:val="00824A5F"/>
    <w:rsid w:val="00824EE8"/>
    <w:rsid w:val="00825D30"/>
    <w:rsid w:val="0082670C"/>
    <w:rsid w:val="00827454"/>
    <w:rsid w:val="00827A28"/>
    <w:rsid w:val="00831621"/>
    <w:rsid w:val="00831698"/>
    <w:rsid w:val="008317E4"/>
    <w:rsid w:val="008321F1"/>
    <w:rsid w:val="00832323"/>
    <w:rsid w:val="00832803"/>
    <w:rsid w:val="00833D22"/>
    <w:rsid w:val="00834B11"/>
    <w:rsid w:val="0083539D"/>
    <w:rsid w:val="008357E9"/>
    <w:rsid w:val="00835DF4"/>
    <w:rsid w:val="00836491"/>
    <w:rsid w:val="00836CC9"/>
    <w:rsid w:val="00836D87"/>
    <w:rsid w:val="008374EF"/>
    <w:rsid w:val="008375D2"/>
    <w:rsid w:val="00840AF8"/>
    <w:rsid w:val="008411E9"/>
    <w:rsid w:val="00841617"/>
    <w:rsid w:val="0084200F"/>
    <w:rsid w:val="00843B2C"/>
    <w:rsid w:val="00844BD4"/>
    <w:rsid w:val="00844F16"/>
    <w:rsid w:val="0084581F"/>
    <w:rsid w:val="00845B8E"/>
    <w:rsid w:val="00847745"/>
    <w:rsid w:val="008478AC"/>
    <w:rsid w:val="008527D5"/>
    <w:rsid w:val="00855244"/>
    <w:rsid w:val="008555C7"/>
    <w:rsid w:val="00855FF9"/>
    <w:rsid w:val="00856399"/>
    <w:rsid w:val="008566E6"/>
    <w:rsid w:val="00856959"/>
    <w:rsid w:val="00856BCF"/>
    <w:rsid w:val="00857FDC"/>
    <w:rsid w:val="0086011E"/>
    <w:rsid w:val="0086146A"/>
    <w:rsid w:val="00861914"/>
    <w:rsid w:val="00861D52"/>
    <w:rsid w:val="0086277A"/>
    <w:rsid w:val="00862F3A"/>
    <w:rsid w:val="00865A31"/>
    <w:rsid w:val="00865A5B"/>
    <w:rsid w:val="00865BD8"/>
    <w:rsid w:val="008668A8"/>
    <w:rsid w:val="008704CA"/>
    <w:rsid w:val="00870515"/>
    <w:rsid w:val="00870DD4"/>
    <w:rsid w:val="008712DB"/>
    <w:rsid w:val="0087135B"/>
    <w:rsid w:val="0087167F"/>
    <w:rsid w:val="008718B2"/>
    <w:rsid w:val="008719DF"/>
    <w:rsid w:val="00873CC1"/>
    <w:rsid w:val="00874B00"/>
    <w:rsid w:val="00875BF6"/>
    <w:rsid w:val="008762A7"/>
    <w:rsid w:val="008768AD"/>
    <w:rsid w:val="0087750B"/>
    <w:rsid w:val="00880AC4"/>
    <w:rsid w:val="008816FF"/>
    <w:rsid w:val="00881767"/>
    <w:rsid w:val="008828A1"/>
    <w:rsid w:val="00883052"/>
    <w:rsid w:val="00883BA2"/>
    <w:rsid w:val="00886199"/>
    <w:rsid w:val="0088671C"/>
    <w:rsid w:val="00886888"/>
    <w:rsid w:val="008874A5"/>
    <w:rsid w:val="00891E82"/>
    <w:rsid w:val="00892583"/>
    <w:rsid w:val="008936B0"/>
    <w:rsid w:val="008956F4"/>
    <w:rsid w:val="00896CA2"/>
    <w:rsid w:val="00896E04"/>
    <w:rsid w:val="0089735C"/>
    <w:rsid w:val="00897447"/>
    <w:rsid w:val="008976D5"/>
    <w:rsid w:val="00897EF1"/>
    <w:rsid w:val="008A1B26"/>
    <w:rsid w:val="008A465F"/>
    <w:rsid w:val="008A4900"/>
    <w:rsid w:val="008A547C"/>
    <w:rsid w:val="008A55FE"/>
    <w:rsid w:val="008A57A1"/>
    <w:rsid w:val="008A5DCF"/>
    <w:rsid w:val="008A665C"/>
    <w:rsid w:val="008A7134"/>
    <w:rsid w:val="008A76D1"/>
    <w:rsid w:val="008B0F08"/>
    <w:rsid w:val="008B146D"/>
    <w:rsid w:val="008B1724"/>
    <w:rsid w:val="008B1C6E"/>
    <w:rsid w:val="008B42AD"/>
    <w:rsid w:val="008B53CC"/>
    <w:rsid w:val="008B5666"/>
    <w:rsid w:val="008B5922"/>
    <w:rsid w:val="008B68A2"/>
    <w:rsid w:val="008B7AC1"/>
    <w:rsid w:val="008B7BBB"/>
    <w:rsid w:val="008C104B"/>
    <w:rsid w:val="008C20E6"/>
    <w:rsid w:val="008C28E6"/>
    <w:rsid w:val="008C2CD4"/>
    <w:rsid w:val="008C3902"/>
    <w:rsid w:val="008C500D"/>
    <w:rsid w:val="008C51DF"/>
    <w:rsid w:val="008C6124"/>
    <w:rsid w:val="008D0281"/>
    <w:rsid w:val="008D0C47"/>
    <w:rsid w:val="008D1D7C"/>
    <w:rsid w:val="008D1DD2"/>
    <w:rsid w:val="008D2059"/>
    <w:rsid w:val="008D215E"/>
    <w:rsid w:val="008D3E37"/>
    <w:rsid w:val="008D42C8"/>
    <w:rsid w:val="008D538B"/>
    <w:rsid w:val="008D59CB"/>
    <w:rsid w:val="008D5C04"/>
    <w:rsid w:val="008D6735"/>
    <w:rsid w:val="008D69EE"/>
    <w:rsid w:val="008D6AEE"/>
    <w:rsid w:val="008D6FB7"/>
    <w:rsid w:val="008D7055"/>
    <w:rsid w:val="008D7871"/>
    <w:rsid w:val="008E077B"/>
    <w:rsid w:val="008E0A80"/>
    <w:rsid w:val="008E0D2B"/>
    <w:rsid w:val="008E15C5"/>
    <w:rsid w:val="008E2348"/>
    <w:rsid w:val="008E2468"/>
    <w:rsid w:val="008E2888"/>
    <w:rsid w:val="008E2D50"/>
    <w:rsid w:val="008E2F85"/>
    <w:rsid w:val="008E347D"/>
    <w:rsid w:val="008E37BC"/>
    <w:rsid w:val="008E46F3"/>
    <w:rsid w:val="008E4DFC"/>
    <w:rsid w:val="008E64D8"/>
    <w:rsid w:val="008E79A4"/>
    <w:rsid w:val="008F04C8"/>
    <w:rsid w:val="008F24F3"/>
    <w:rsid w:val="008F26E3"/>
    <w:rsid w:val="008F450F"/>
    <w:rsid w:val="008F50DC"/>
    <w:rsid w:val="008F51C8"/>
    <w:rsid w:val="008F53B3"/>
    <w:rsid w:val="008F55EA"/>
    <w:rsid w:val="008F5B9C"/>
    <w:rsid w:val="008F5E05"/>
    <w:rsid w:val="008F6D45"/>
    <w:rsid w:val="008F7B17"/>
    <w:rsid w:val="008F7DD6"/>
    <w:rsid w:val="009006F4"/>
    <w:rsid w:val="00900B87"/>
    <w:rsid w:val="00900EE8"/>
    <w:rsid w:val="00901839"/>
    <w:rsid w:val="009018D3"/>
    <w:rsid w:val="00902203"/>
    <w:rsid w:val="00903542"/>
    <w:rsid w:val="00903F5A"/>
    <w:rsid w:val="00903F81"/>
    <w:rsid w:val="00905A72"/>
    <w:rsid w:val="00905E6A"/>
    <w:rsid w:val="009079DC"/>
    <w:rsid w:val="00907FF7"/>
    <w:rsid w:val="00912020"/>
    <w:rsid w:val="00913665"/>
    <w:rsid w:val="00913EB0"/>
    <w:rsid w:val="009146F3"/>
    <w:rsid w:val="00914CD1"/>
    <w:rsid w:val="00915862"/>
    <w:rsid w:val="00915CA9"/>
    <w:rsid w:val="00916B00"/>
    <w:rsid w:val="00916FB6"/>
    <w:rsid w:val="00916FD6"/>
    <w:rsid w:val="009178A0"/>
    <w:rsid w:val="00917F79"/>
    <w:rsid w:val="00920CD0"/>
    <w:rsid w:val="00920D35"/>
    <w:rsid w:val="00920E37"/>
    <w:rsid w:val="00921481"/>
    <w:rsid w:val="00921D01"/>
    <w:rsid w:val="00922922"/>
    <w:rsid w:val="00922944"/>
    <w:rsid w:val="009237AB"/>
    <w:rsid w:val="00924846"/>
    <w:rsid w:val="00924A3A"/>
    <w:rsid w:val="00924BA8"/>
    <w:rsid w:val="00926858"/>
    <w:rsid w:val="009275D3"/>
    <w:rsid w:val="00927927"/>
    <w:rsid w:val="009279BD"/>
    <w:rsid w:val="00927A44"/>
    <w:rsid w:val="00931296"/>
    <w:rsid w:val="00931A9B"/>
    <w:rsid w:val="00931FD9"/>
    <w:rsid w:val="009326B5"/>
    <w:rsid w:val="00934C41"/>
    <w:rsid w:val="00936479"/>
    <w:rsid w:val="00936A6B"/>
    <w:rsid w:val="00936E51"/>
    <w:rsid w:val="00937864"/>
    <w:rsid w:val="00937918"/>
    <w:rsid w:val="00937A10"/>
    <w:rsid w:val="00937BE2"/>
    <w:rsid w:val="00937E7F"/>
    <w:rsid w:val="0094187D"/>
    <w:rsid w:val="009420AE"/>
    <w:rsid w:val="00944165"/>
    <w:rsid w:val="0094434E"/>
    <w:rsid w:val="00944EF9"/>
    <w:rsid w:val="009457E3"/>
    <w:rsid w:val="0094607F"/>
    <w:rsid w:val="009464B0"/>
    <w:rsid w:val="00947A0F"/>
    <w:rsid w:val="00947E03"/>
    <w:rsid w:val="009507D0"/>
    <w:rsid w:val="00950A5A"/>
    <w:rsid w:val="00951B11"/>
    <w:rsid w:val="00952CA1"/>
    <w:rsid w:val="00953818"/>
    <w:rsid w:val="00953B7C"/>
    <w:rsid w:val="009547FE"/>
    <w:rsid w:val="00955735"/>
    <w:rsid w:val="00955B2F"/>
    <w:rsid w:val="00955C99"/>
    <w:rsid w:val="00956303"/>
    <w:rsid w:val="009570F9"/>
    <w:rsid w:val="00957457"/>
    <w:rsid w:val="009579EA"/>
    <w:rsid w:val="0096018F"/>
    <w:rsid w:val="00960766"/>
    <w:rsid w:val="00960F5B"/>
    <w:rsid w:val="009629A1"/>
    <w:rsid w:val="00962C69"/>
    <w:rsid w:val="009637A6"/>
    <w:rsid w:val="00964C10"/>
    <w:rsid w:val="00964D46"/>
    <w:rsid w:val="00964F60"/>
    <w:rsid w:val="009660C4"/>
    <w:rsid w:val="00966115"/>
    <w:rsid w:val="00966F5F"/>
    <w:rsid w:val="00966F84"/>
    <w:rsid w:val="00970412"/>
    <w:rsid w:val="009710D5"/>
    <w:rsid w:val="009710F7"/>
    <w:rsid w:val="00971FB2"/>
    <w:rsid w:val="00972812"/>
    <w:rsid w:val="009740CA"/>
    <w:rsid w:val="0097446A"/>
    <w:rsid w:val="00974A44"/>
    <w:rsid w:val="009757A5"/>
    <w:rsid w:val="00976354"/>
    <w:rsid w:val="00980C84"/>
    <w:rsid w:val="00981E00"/>
    <w:rsid w:val="0098231A"/>
    <w:rsid w:val="009829BA"/>
    <w:rsid w:val="00983211"/>
    <w:rsid w:val="00983262"/>
    <w:rsid w:val="009834C0"/>
    <w:rsid w:val="00983F34"/>
    <w:rsid w:val="009854CB"/>
    <w:rsid w:val="00985C4E"/>
    <w:rsid w:val="00985DBD"/>
    <w:rsid w:val="00986AAC"/>
    <w:rsid w:val="009905FA"/>
    <w:rsid w:val="00991794"/>
    <w:rsid w:val="009917BF"/>
    <w:rsid w:val="009933CD"/>
    <w:rsid w:val="00993E3D"/>
    <w:rsid w:val="00993E59"/>
    <w:rsid w:val="00995526"/>
    <w:rsid w:val="009963A0"/>
    <w:rsid w:val="00997BB0"/>
    <w:rsid w:val="009A0CB2"/>
    <w:rsid w:val="009A0E50"/>
    <w:rsid w:val="009A18B6"/>
    <w:rsid w:val="009A19DB"/>
    <w:rsid w:val="009A1DA2"/>
    <w:rsid w:val="009A2BB9"/>
    <w:rsid w:val="009A2C6A"/>
    <w:rsid w:val="009A2E79"/>
    <w:rsid w:val="009A2FF0"/>
    <w:rsid w:val="009A3480"/>
    <w:rsid w:val="009A3506"/>
    <w:rsid w:val="009A35AA"/>
    <w:rsid w:val="009A35C4"/>
    <w:rsid w:val="009A3704"/>
    <w:rsid w:val="009A4281"/>
    <w:rsid w:val="009A4739"/>
    <w:rsid w:val="009A674F"/>
    <w:rsid w:val="009A6D22"/>
    <w:rsid w:val="009A7170"/>
    <w:rsid w:val="009A74EE"/>
    <w:rsid w:val="009B0C0C"/>
    <w:rsid w:val="009B199C"/>
    <w:rsid w:val="009B3849"/>
    <w:rsid w:val="009B4D92"/>
    <w:rsid w:val="009B4ED5"/>
    <w:rsid w:val="009B539E"/>
    <w:rsid w:val="009B5694"/>
    <w:rsid w:val="009B5979"/>
    <w:rsid w:val="009B5BC4"/>
    <w:rsid w:val="009B61F1"/>
    <w:rsid w:val="009B62E0"/>
    <w:rsid w:val="009B6364"/>
    <w:rsid w:val="009C0470"/>
    <w:rsid w:val="009C1D1D"/>
    <w:rsid w:val="009C1E7B"/>
    <w:rsid w:val="009C3D88"/>
    <w:rsid w:val="009C4A65"/>
    <w:rsid w:val="009C4CE2"/>
    <w:rsid w:val="009C700E"/>
    <w:rsid w:val="009C7A33"/>
    <w:rsid w:val="009D01EB"/>
    <w:rsid w:val="009D09AA"/>
    <w:rsid w:val="009D0C92"/>
    <w:rsid w:val="009D12D1"/>
    <w:rsid w:val="009D1593"/>
    <w:rsid w:val="009D1F57"/>
    <w:rsid w:val="009D2258"/>
    <w:rsid w:val="009D3DC4"/>
    <w:rsid w:val="009D4055"/>
    <w:rsid w:val="009D48CA"/>
    <w:rsid w:val="009D5E5D"/>
    <w:rsid w:val="009D6500"/>
    <w:rsid w:val="009D69BE"/>
    <w:rsid w:val="009D76A9"/>
    <w:rsid w:val="009E0C21"/>
    <w:rsid w:val="009E0ECD"/>
    <w:rsid w:val="009E1651"/>
    <w:rsid w:val="009E2CE7"/>
    <w:rsid w:val="009E3173"/>
    <w:rsid w:val="009E3858"/>
    <w:rsid w:val="009E467D"/>
    <w:rsid w:val="009E4C93"/>
    <w:rsid w:val="009E4CB1"/>
    <w:rsid w:val="009E6AE6"/>
    <w:rsid w:val="009E6E17"/>
    <w:rsid w:val="009E70DD"/>
    <w:rsid w:val="009E7729"/>
    <w:rsid w:val="009E7C82"/>
    <w:rsid w:val="009F0680"/>
    <w:rsid w:val="009F177C"/>
    <w:rsid w:val="009F221B"/>
    <w:rsid w:val="009F2849"/>
    <w:rsid w:val="009F2AFB"/>
    <w:rsid w:val="009F2CC4"/>
    <w:rsid w:val="009F2ED9"/>
    <w:rsid w:val="009F3231"/>
    <w:rsid w:val="009F35DD"/>
    <w:rsid w:val="009F3EAD"/>
    <w:rsid w:val="009F4157"/>
    <w:rsid w:val="009F5420"/>
    <w:rsid w:val="009F5C58"/>
    <w:rsid w:val="009F6BF9"/>
    <w:rsid w:val="009F7FB6"/>
    <w:rsid w:val="00A00643"/>
    <w:rsid w:val="00A00B5C"/>
    <w:rsid w:val="00A01E89"/>
    <w:rsid w:val="00A022D1"/>
    <w:rsid w:val="00A023A0"/>
    <w:rsid w:val="00A02C4A"/>
    <w:rsid w:val="00A02E92"/>
    <w:rsid w:val="00A034F7"/>
    <w:rsid w:val="00A04D45"/>
    <w:rsid w:val="00A05EBC"/>
    <w:rsid w:val="00A07107"/>
    <w:rsid w:val="00A07C1B"/>
    <w:rsid w:val="00A103A2"/>
    <w:rsid w:val="00A11456"/>
    <w:rsid w:val="00A114D5"/>
    <w:rsid w:val="00A11510"/>
    <w:rsid w:val="00A11FA7"/>
    <w:rsid w:val="00A12144"/>
    <w:rsid w:val="00A1562B"/>
    <w:rsid w:val="00A169F5"/>
    <w:rsid w:val="00A170F4"/>
    <w:rsid w:val="00A17731"/>
    <w:rsid w:val="00A212C3"/>
    <w:rsid w:val="00A213F1"/>
    <w:rsid w:val="00A21408"/>
    <w:rsid w:val="00A21A65"/>
    <w:rsid w:val="00A21CFD"/>
    <w:rsid w:val="00A23041"/>
    <w:rsid w:val="00A23BA4"/>
    <w:rsid w:val="00A23F83"/>
    <w:rsid w:val="00A255FE"/>
    <w:rsid w:val="00A25B78"/>
    <w:rsid w:val="00A25C17"/>
    <w:rsid w:val="00A260FE"/>
    <w:rsid w:val="00A27B01"/>
    <w:rsid w:val="00A30167"/>
    <w:rsid w:val="00A33761"/>
    <w:rsid w:val="00A34733"/>
    <w:rsid w:val="00A3483F"/>
    <w:rsid w:val="00A36246"/>
    <w:rsid w:val="00A36B0C"/>
    <w:rsid w:val="00A36F14"/>
    <w:rsid w:val="00A400CC"/>
    <w:rsid w:val="00A40495"/>
    <w:rsid w:val="00A414D5"/>
    <w:rsid w:val="00A42454"/>
    <w:rsid w:val="00A4258B"/>
    <w:rsid w:val="00A42BCC"/>
    <w:rsid w:val="00A45CB0"/>
    <w:rsid w:val="00A46227"/>
    <w:rsid w:val="00A46288"/>
    <w:rsid w:val="00A46BA8"/>
    <w:rsid w:val="00A470C2"/>
    <w:rsid w:val="00A472F8"/>
    <w:rsid w:val="00A47634"/>
    <w:rsid w:val="00A47CEA"/>
    <w:rsid w:val="00A50FB2"/>
    <w:rsid w:val="00A5244A"/>
    <w:rsid w:val="00A54824"/>
    <w:rsid w:val="00A554E4"/>
    <w:rsid w:val="00A57492"/>
    <w:rsid w:val="00A6031C"/>
    <w:rsid w:val="00A6044E"/>
    <w:rsid w:val="00A612FE"/>
    <w:rsid w:val="00A613EE"/>
    <w:rsid w:val="00A6436F"/>
    <w:rsid w:val="00A6539F"/>
    <w:rsid w:val="00A65580"/>
    <w:rsid w:val="00A65769"/>
    <w:rsid w:val="00A66F4D"/>
    <w:rsid w:val="00A673BE"/>
    <w:rsid w:val="00A703B3"/>
    <w:rsid w:val="00A70B08"/>
    <w:rsid w:val="00A70B49"/>
    <w:rsid w:val="00A71317"/>
    <w:rsid w:val="00A71780"/>
    <w:rsid w:val="00A722C4"/>
    <w:rsid w:val="00A723A9"/>
    <w:rsid w:val="00A724E8"/>
    <w:rsid w:val="00A72A5E"/>
    <w:rsid w:val="00A72CA4"/>
    <w:rsid w:val="00A740D4"/>
    <w:rsid w:val="00A746D3"/>
    <w:rsid w:val="00A8084F"/>
    <w:rsid w:val="00A80983"/>
    <w:rsid w:val="00A811A4"/>
    <w:rsid w:val="00A8171F"/>
    <w:rsid w:val="00A84713"/>
    <w:rsid w:val="00A8496E"/>
    <w:rsid w:val="00A8688C"/>
    <w:rsid w:val="00A910BB"/>
    <w:rsid w:val="00A91924"/>
    <w:rsid w:val="00A91F44"/>
    <w:rsid w:val="00A92D94"/>
    <w:rsid w:val="00A94DB5"/>
    <w:rsid w:val="00A94DD9"/>
    <w:rsid w:val="00A95009"/>
    <w:rsid w:val="00A953DE"/>
    <w:rsid w:val="00A968C5"/>
    <w:rsid w:val="00A9694C"/>
    <w:rsid w:val="00A97332"/>
    <w:rsid w:val="00A979BE"/>
    <w:rsid w:val="00AA0B0C"/>
    <w:rsid w:val="00AA26B8"/>
    <w:rsid w:val="00AA29EA"/>
    <w:rsid w:val="00AA3DE4"/>
    <w:rsid w:val="00AA4288"/>
    <w:rsid w:val="00AA4907"/>
    <w:rsid w:val="00AA5D43"/>
    <w:rsid w:val="00AA5EB9"/>
    <w:rsid w:val="00AA76F9"/>
    <w:rsid w:val="00AB072F"/>
    <w:rsid w:val="00AB18BA"/>
    <w:rsid w:val="00AB1917"/>
    <w:rsid w:val="00AB1B76"/>
    <w:rsid w:val="00AB24E4"/>
    <w:rsid w:val="00AB2F03"/>
    <w:rsid w:val="00AB2FFC"/>
    <w:rsid w:val="00AB368B"/>
    <w:rsid w:val="00AB3C21"/>
    <w:rsid w:val="00AB464F"/>
    <w:rsid w:val="00AB4911"/>
    <w:rsid w:val="00AB4AF8"/>
    <w:rsid w:val="00AB5C50"/>
    <w:rsid w:val="00AB5EC4"/>
    <w:rsid w:val="00AB69A5"/>
    <w:rsid w:val="00AB6ABF"/>
    <w:rsid w:val="00AB7579"/>
    <w:rsid w:val="00AB76DD"/>
    <w:rsid w:val="00AB7C80"/>
    <w:rsid w:val="00AC07E5"/>
    <w:rsid w:val="00AC0805"/>
    <w:rsid w:val="00AC0B87"/>
    <w:rsid w:val="00AC1EC0"/>
    <w:rsid w:val="00AC2624"/>
    <w:rsid w:val="00AC32A8"/>
    <w:rsid w:val="00AC3965"/>
    <w:rsid w:val="00AC5813"/>
    <w:rsid w:val="00AD0ED8"/>
    <w:rsid w:val="00AD1351"/>
    <w:rsid w:val="00AD31E6"/>
    <w:rsid w:val="00AD321D"/>
    <w:rsid w:val="00AD4040"/>
    <w:rsid w:val="00AD417E"/>
    <w:rsid w:val="00AD42E9"/>
    <w:rsid w:val="00AD44FD"/>
    <w:rsid w:val="00AD4528"/>
    <w:rsid w:val="00AD4834"/>
    <w:rsid w:val="00AD5273"/>
    <w:rsid w:val="00AD56B0"/>
    <w:rsid w:val="00AD620B"/>
    <w:rsid w:val="00AD6D19"/>
    <w:rsid w:val="00AD739B"/>
    <w:rsid w:val="00AD7C5C"/>
    <w:rsid w:val="00AD7E4E"/>
    <w:rsid w:val="00AE0CDB"/>
    <w:rsid w:val="00AE0DA9"/>
    <w:rsid w:val="00AE2689"/>
    <w:rsid w:val="00AE271D"/>
    <w:rsid w:val="00AE3541"/>
    <w:rsid w:val="00AE4D59"/>
    <w:rsid w:val="00AE6755"/>
    <w:rsid w:val="00AE6D0A"/>
    <w:rsid w:val="00AF0741"/>
    <w:rsid w:val="00AF47DB"/>
    <w:rsid w:val="00AF4D58"/>
    <w:rsid w:val="00AF5AE9"/>
    <w:rsid w:val="00AF6666"/>
    <w:rsid w:val="00AF6906"/>
    <w:rsid w:val="00AF6E58"/>
    <w:rsid w:val="00AF6F85"/>
    <w:rsid w:val="00AF7BC5"/>
    <w:rsid w:val="00B03803"/>
    <w:rsid w:val="00B03864"/>
    <w:rsid w:val="00B03F72"/>
    <w:rsid w:val="00B046C0"/>
    <w:rsid w:val="00B04EF0"/>
    <w:rsid w:val="00B053D9"/>
    <w:rsid w:val="00B05C3A"/>
    <w:rsid w:val="00B06DCC"/>
    <w:rsid w:val="00B10113"/>
    <w:rsid w:val="00B10711"/>
    <w:rsid w:val="00B11290"/>
    <w:rsid w:val="00B11503"/>
    <w:rsid w:val="00B116E3"/>
    <w:rsid w:val="00B12D2A"/>
    <w:rsid w:val="00B14B26"/>
    <w:rsid w:val="00B14D82"/>
    <w:rsid w:val="00B15592"/>
    <w:rsid w:val="00B15877"/>
    <w:rsid w:val="00B16C88"/>
    <w:rsid w:val="00B16D2B"/>
    <w:rsid w:val="00B17644"/>
    <w:rsid w:val="00B17B83"/>
    <w:rsid w:val="00B20CF1"/>
    <w:rsid w:val="00B22EB3"/>
    <w:rsid w:val="00B23249"/>
    <w:rsid w:val="00B23AE9"/>
    <w:rsid w:val="00B23C6D"/>
    <w:rsid w:val="00B24161"/>
    <w:rsid w:val="00B246A3"/>
    <w:rsid w:val="00B2698A"/>
    <w:rsid w:val="00B27439"/>
    <w:rsid w:val="00B3073D"/>
    <w:rsid w:val="00B30EE4"/>
    <w:rsid w:val="00B3165B"/>
    <w:rsid w:val="00B31F21"/>
    <w:rsid w:val="00B326C9"/>
    <w:rsid w:val="00B328EC"/>
    <w:rsid w:val="00B32E39"/>
    <w:rsid w:val="00B32F1E"/>
    <w:rsid w:val="00B3384C"/>
    <w:rsid w:val="00B33AE0"/>
    <w:rsid w:val="00B342C4"/>
    <w:rsid w:val="00B34C76"/>
    <w:rsid w:val="00B35597"/>
    <w:rsid w:val="00B3664B"/>
    <w:rsid w:val="00B377D1"/>
    <w:rsid w:val="00B379D8"/>
    <w:rsid w:val="00B37FF8"/>
    <w:rsid w:val="00B40C28"/>
    <w:rsid w:val="00B4164A"/>
    <w:rsid w:val="00B41DEC"/>
    <w:rsid w:val="00B42B8D"/>
    <w:rsid w:val="00B42DE5"/>
    <w:rsid w:val="00B4414A"/>
    <w:rsid w:val="00B444A6"/>
    <w:rsid w:val="00B44E2C"/>
    <w:rsid w:val="00B4508D"/>
    <w:rsid w:val="00B45164"/>
    <w:rsid w:val="00B46083"/>
    <w:rsid w:val="00B46A05"/>
    <w:rsid w:val="00B4736C"/>
    <w:rsid w:val="00B47D58"/>
    <w:rsid w:val="00B50350"/>
    <w:rsid w:val="00B50517"/>
    <w:rsid w:val="00B51571"/>
    <w:rsid w:val="00B515DB"/>
    <w:rsid w:val="00B523D7"/>
    <w:rsid w:val="00B53E97"/>
    <w:rsid w:val="00B54953"/>
    <w:rsid w:val="00B556E1"/>
    <w:rsid w:val="00B557AE"/>
    <w:rsid w:val="00B558F8"/>
    <w:rsid w:val="00B55AA0"/>
    <w:rsid w:val="00B5775A"/>
    <w:rsid w:val="00B57B49"/>
    <w:rsid w:val="00B57E10"/>
    <w:rsid w:val="00B609FB"/>
    <w:rsid w:val="00B616CC"/>
    <w:rsid w:val="00B61D28"/>
    <w:rsid w:val="00B6258C"/>
    <w:rsid w:val="00B6367B"/>
    <w:rsid w:val="00B64605"/>
    <w:rsid w:val="00B64B73"/>
    <w:rsid w:val="00B65831"/>
    <w:rsid w:val="00B673BB"/>
    <w:rsid w:val="00B67FAF"/>
    <w:rsid w:val="00B7172D"/>
    <w:rsid w:val="00B73499"/>
    <w:rsid w:val="00B739C8"/>
    <w:rsid w:val="00B73B9C"/>
    <w:rsid w:val="00B748E5"/>
    <w:rsid w:val="00B75437"/>
    <w:rsid w:val="00B75638"/>
    <w:rsid w:val="00B75BF8"/>
    <w:rsid w:val="00B76616"/>
    <w:rsid w:val="00B77D01"/>
    <w:rsid w:val="00B801D0"/>
    <w:rsid w:val="00B8175B"/>
    <w:rsid w:val="00B8198A"/>
    <w:rsid w:val="00B81ADC"/>
    <w:rsid w:val="00B81B44"/>
    <w:rsid w:val="00B81C0F"/>
    <w:rsid w:val="00B8226B"/>
    <w:rsid w:val="00B82400"/>
    <w:rsid w:val="00B8319F"/>
    <w:rsid w:val="00B84581"/>
    <w:rsid w:val="00B8475C"/>
    <w:rsid w:val="00B84A2E"/>
    <w:rsid w:val="00B8568C"/>
    <w:rsid w:val="00B85CF1"/>
    <w:rsid w:val="00B873C6"/>
    <w:rsid w:val="00B87B03"/>
    <w:rsid w:val="00B9053B"/>
    <w:rsid w:val="00B9059E"/>
    <w:rsid w:val="00B90921"/>
    <w:rsid w:val="00B9285E"/>
    <w:rsid w:val="00B92BC1"/>
    <w:rsid w:val="00B94DC9"/>
    <w:rsid w:val="00B96928"/>
    <w:rsid w:val="00B96E10"/>
    <w:rsid w:val="00B97317"/>
    <w:rsid w:val="00B9777C"/>
    <w:rsid w:val="00BA041C"/>
    <w:rsid w:val="00BA095E"/>
    <w:rsid w:val="00BA0C37"/>
    <w:rsid w:val="00BA15DD"/>
    <w:rsid w:val="00BA1ADB"/>
    <w:rsid w:val="00BA200C"/>
    <w:rsid w:val="00BA28A4"/>
    <w:rsid w:val="00BA3782"/>
    <w:rsid w:val="00BA3EBC"/>
    <w:rsid w:val="00BA479D"/>
    <w:rsid w:val="00BA524A"/>
    <w:rsid w:val="00BA5539"/>
    <w:rsid w:val="00BA5BEB"/>
    <w:rsid w:val="00BA61DF"/>
    <w:rsid w:val="00BA651D"/>
    <w:rsid w:val="00BA6C75"/>
    <w:rsid w:val="00BA70C4"/>
    <w:rsid w:val="00BB1E54"/>
    <w:rsid w:val="00BB4A98"/>
    <w:rsid w:val="00BB4D98"/>
    <w:rsid w:val="00BB4EBF"/>
    <w:rsid w:val="00BB59E0"/>
    <w:rsid w:val="00BB7DF0"/>
    <w:rsid w:val="00BC0F42"/>
    <w:rsid w:val="00BC1440"/>
    <w:rsid w:val="00BC28C4"/>
    <w:rsid w:val="00BC3422"/>
    <w:rsid w:val="00BC394D"/>
    <w:rsid w:val="00BC421E"/>
    <w:rsid w:val="00BC437C"/>
    <w:rsid w:val="00BC471D"/>
    <w:rsid w:val="00BC5399"/>
    <w:rsid w:val="00BC6E19"/>
    <w:rsid w:val="00BC6F2C"/>
    <w:rsid w:val="00BC7641"/>
    <w:rsid w:val="00BD05FA"/>
    <w:rsid w:val="00BD0B31"/>
    <w:rsid w:val="00BD156E"/>
    <w:rsid w:val="00BD3872"/>
    <w:rsid w:val="00BD3E8D"/>
    <w:rsid w:val="00BD4FF1"/>
    <w:rsid w:val="00BD5018"/>
    <w:rsid w:val="00BD542F"/>
    <w:rsid w:val="00BD5877"/>
    <w:rsid w:val="00BD59E4"/>
    <w:rsid w:val="00BD5C4A"/>
    <w:rsid w:val="00BD630E"/>
    <w:rsid w:val="00BD77FB"/>
    <w:rsid w:val="00BD7E9D"/>
    <w:rsid w:val="00BE0F68"/>
    <w:rsid w:val="00BE13D3"/>
    <w:rsid w:val="00BE1608"/>
    <w:rsid w:val="00BE196E"/>
    <w:rsid w:val="00BE218A"/>
    <w:rsid w:val="00BE4EDC"/>
    <w:rsid w:val="00BE5590"/>
    <w:rsid w:val="00BE5ADC"/>
    <w:rsid w:val="00BE68AD"/>
    <w:rsid w:val="00BE6E2D"/>
    <w:rsid w:val="00BF1C57"/>
    <w:rsid w:val="00BF2A8F"/>
    <w:rsid w:val="00BF2BF1"/>
    <w:rsid w:val="00BF3E53"/>
    <w:rsid w:val="00BF4E82"/>
    <w:rsid w:val="00BF4F96"/>
    <w:rsid w:val="00BF71E1"/>
    <w:rsid w:val="00C00213"/>
    <w:rsid w:val="00C015B9"/>
    <w:rsid w:val="00C022F9"/>
    <w:rsid w:val="00C032EA"/>
    <w:rsid w:val="00C0367C"/>
    <w:rsid w:val="00C0388A"/>
    <w:rsid w:val="00C04258"/>
    <w:rsid w:val="00C04C3C"/>
    <w:rsid w:val="00C054A0"/>
    <w:rsid w:val="00C05D51"/>
    <w:rsid w:val="00C06EB5"/>
    <w:rsid w:val="00C07903"/>
    <w:rsid w:val="00C10942"/>
    <w:rsid w:val="00C10BCE"/>
    <w:rsid w:val="00C1145F"/>
    <w:rsid w:val="00C11A60"/>
    <w:rsid w:val="00C11CD1"/>
    <w:rsid w:val="00C12FB3"/>
    <w:rsid w:val="00C137EA"/>
    <w:rsid w:val="00C14D48"/>
    <w:rsid w:val="00C15701"/>
    <w:rsid w:val="00C1650D"/>
    <w:rsid w:val="00C167AE"/>
    <w:rsid w:val="00C178E8"/>
    <w:rsid w:val="00C202B4"/>
    <w:rsid w:val="00C2115D"/>
    <w:rsid w:val="00C2118C"/>
    <w:rsid w:val="00C230F3"/>
    <w:rsid w:val="00C23CEE"/>
    <w:rsid w:val="00C25495"/>
    <w:rsid w:val="00C258F2"/>
    <w:rsid w:val="00C26241"/>
    <w:rsid w:val="00C2715F"/>
    <w:rsid w:val="00C31010"/>
    <w:rsid w:val="00C32C4C"/>
    <w:rsid w:val="00C32D49"/>
    <w:rsid w:val="00C33AD3"/>
    <w:rsid w:val="00C33D2E"/>
    <w:rsid w:val="00C34210"/>
    <w:rsid w:val="00C343E3"/>
    <w:rsid w:val="00C3459B"/>
    <w:rsid w:val="00C35021"/>
    <w:rsid w:val="00C35367"/>
    <w:rsid w:val="00C36675"/>
    <w:rsid w:val="00C371CA"/>
    <w:rsid w:val="00C41B3C"/>
    <w:rsid w:val="00C41E00"/>
    <w:rsid w:val="00C422CD"/>
    <w:rsid w:val="00C43F06"/>
    <w:rsid w:val="00C44669"/>
    <w:rsid w:val="00C45455"/>
    <w:rsid w:val="00C4551E"/>
    <w:rsid w:val="00C45702"/>
    <w:rsid w:val="00C45F80"/>
    <w:rsid w:val="00C462CF"/>
    <w:rsid w:val="00C467B9"/>
    <w:rsid w:val="00C46F27"/>
    <w:rsid w:val="00C47503"/>
    <w:rsid w:val="00C47957"/>
    <w:rsid w:val="00C505A6"/>
    <w:rsid w:val="00C50A2B"/>
    <w:rsid w:val="00C51908"/>
    <w:rsid w:val="00C519A1"/>
    <w:rsid w:val="00C51C01"/>
    <w:rsid w:val="00C51C9C"/>
    <w:rsid w:val="00C521C1"/>
    <w:rsid w:val="00C526C6"/>
    <w:rsid w:val="00C52806"/>
    <w:rsid w:val="00C539DC"/>
    <w:rsid w:val="00C543AC"/>
    <w:rsid w:val="00C550BA"/>
    <w:rsid w:val="00C559EC"/>
    <w:rsid w:val="00C55D4A"/>
    <w:rsid w:val="00C5650E"/>
    <w:rsid w:val="00C56E34"/>
    <w:rsid w:val="00C60385"/>
    <w:rsid w:val="00C61B63"/>
    <w:rsid w:val="00C620C0"/>
    <w:rsid w:val="00C62457"/>
    <w:rsid w:val="00C628C9"/>
    <w:rsid w:val="00C63030"/>
    <w:rsid w:val="00C637E1"/>
    <w:rsid w:val="00C63BD2"/>
    <w:rsid w:val="00C655E9"/>
    <w:rsid w:val="00C6788B"/>
    <w:rsid w:val="00C67EAC"/>
    <w:rsid w:val="00C708B6"/>
    <w:rsid w:val="00C70D50"/>
    <w:rsid w:val="00C717F1"/>
    <w:rsid w:val="00C72252"/>
    <w:rsid w:val="00C72485"/>
    <w:rsid w:val="00C72CE0"/>
    <w:rsid w:val="00C745D7"/>
    <w:rsid w:val="00C750AA"/>
    <w:rsid w:val="00C7578F"/>
    <w:rsid w:val="00C75D18"/>
    <w:rsid w:val="00C7646B"/>
    <w:rsid w:val="00C77664"/>
    <w:rsid w:val="00C77E6F"/>
    <w:rsid w:val="00C801C2"/>
    <w:rsid w:val="00C808E4"/>
    <w:rsid w:val="00C809C2"/>
    <w:rsid w:val="00C81050"/>
    <w:rsid w:val="00C82607"/>
    <w:rsid w:val="00C82667"/>
    <w:rsid w:val="00C834F7"/>
    <w:rsid w:val="00C83C5E"/>
    <w:rsid w:val="00C8439F"/>
    <w:rsid w:val="00C84566"/>
    <w:rsid w:val="00C857D4"/>
    <w:rsid w:val="00C85D81"/>
    <w:rsid w:val="00C877CE"/>
    <w:rsid w:val="00C907D7"/>
    <w:rsid w:val="00C908AC"/>
    <w:rsid w:val="00C9187B"/>
    <w:rsid w:val="00C91B21"/>
    <w:rsid w:val="00C92338"/>
    <w:rsid w:val="00C924A7"/>
    <w:rsid w:val="00C94608"/>
    <w:rsid w:val="00C94649"/>
    <w:rsid w:val="00C95CC3"/>
    <w:rsid w:val="00C95E66"/>
    <w:rsid w:val="00C96051"/>
    <w:rsid w:val="00C96DF8"/>
    <w:rsid w:val="00C971CF"/>
    <w:rsid w:val="00C97329"/>
    <w:rsid w:val="00C979D7"/>
    <w:rsid w:val="00C97B86"/>
    <w:rsid w:val="00C97C83"/>
    <w:rsid w:val="00CA05DC"/>
    <w:rsid w:val="00CA0DD7"/>
    <w:rsid w:val="00CA2E41"/>
    <w:rsid w:val="00CA4C61"/>
    <w:rsid w:val="00CA4F47"/>
    <w:rsid w:val="00CA7B47"/>
    <w:rsid w:val="00CA7DB3"/>
    <w:rsid w:val="00CB05DA"/>
    <w:rsid w:val="00CB0C4F"/>
    <w:rsid w:val="00CB14D0"/>
    <w:rsid w:val="00CB18C6"/>
    <w:rsid w:val="00CB1DD6"/>
    <w:rsid w:val="00CB3976"/>
    <w:rsid w:val="00CB441A"/>
    <w:rsid w:val="00CB47FA"/>
    <w:rsid w:val="00CB49F6"/>
    <w:rsid w:val="00CB638F"/>
    <w:rsid w:val="00CB7B1B"/>
    <w:rsid w:val="00CC066C"/>
    <w:rsid w:val="00CC0ADA"/>
    <w:rsid w:val="00CC14E4"/>
    <w:rsid w:val="00CC1568"/>
    <w:rsid w:val="00CC1E62"/>
    <w:rsid w:val="00CC2A67"/>
    <w:rsid w:val="00CC3099"/>
    <w:rsid w:val="00CC5019"/>
    <w:rsid w:val="00CC6087"/>
    <w:rsid w:val="00CC752E"/>
    <w:rsid w:val="00CC792A"/>
    <w:rsid w:val="00CD0117"/>
    <w:rsid w:val="00CD0307"/>
    <w:rsid w:val="00CD061B"/>
    <w:rsid w:val="00CD0775"/>
    <w:rsid w:val="00CD0AAF"/>
    <w:rsid w:val="00CD0E2B"/>
    <w:rsid w:val="00CD0F7E"/>
    <w:rsid w:val="00CD13FB"/>
    <w:rsid w:val="00CD26FB"/>
    <w:rsid w:val="00CD2B44"/>
    <w:rsid w:val="00CD351D"/>
    <w:rsid w:val="00CD3D1B"/>
    <w:rsid w:val="00CD3F58"/>
    <w:rsid w:val="00CD411F"/>
    <w:rsid w:val="00CD54A7"/>
    <w:rsid w:val="00CD54C7"/>
    <w:rsid w:val="00CD564D"/>
    <w:rsid w:val="00CD5CB0"/>
    <w:rsid w:val="00CD65C9"/>
    <w:rsid w:val="00CD7603"/>
    <w:rsid w:val="00CE083F"/>
    <w:rsid w:val="00CE20A1"/>
    <w:rsid w:val="00CE3258"/>
    <w:rsid w:val="00CE371C"/>
    <w:rsid w:val="00CE4170"/>
    <w:rsid w:val="00CE43F6"/>
    <w:rsid w:val="00CE5B35"/>
    <w:rsid w:val="00CE6CB8"/>
    <w:rsid w:val="00CE6FD8"/>
    <w:rsid w:val="00CE7E84"/>
    <w:rsid w:val="00CF0605"/>
    <w:rsid w:val="00CF0873"/>
    <w:rsid w:val="00CF156B"/>
    <w:rsid w:val="00CF1D56"/>
    <w:rsid w:val="00CF1D95"/>
    <w:rsid w:val="00CF2474"/>
    <w:rsid w:val="00CF2CDC"/>
    <w:rsid w:val="00CF3ADD"/>
    <w:rsid w:val="00CF3B74"/>
    <w:rsid w:val="00CF404D"/>
    <w:rsid w:val="00CF43B5"/>
    <w:rsid w:val="00CF46EB"/>
    <w:rsid w:val="00CF51E1"/>
    <w:rsid w:val="00CF556D"/>
    <w:rsid w:val="00CF56EF"/>
    <w:rsid w:val="00CF6494"/>
    <w:rsid w:val="00CF6DAB"/>
    <w:rsid w:val="00CF6EC4"/>
    <w:rsid w:val="00D002A6"/>
    <w:rsid w:val="00D00970"/>
    <w:rsid w:val="00D02057"/>
    <w:rsid w:val="00D020F7"/>
    <w:rsid w:val="00D02663"/>
    <w:rsid w:val="00D027FB"/>
    <w:rsid w:val="00D0335B"/>
    <w:rsid w:val="00D03B90"/>
    <w:rsid w:val="00D03F69"/>
    <w:rsid w:val="00D05476"/>
    <w:rsid w:val="00D0574E"/>
    <w:rsid w:val="00D05F62"/>
    <w:rsid w:val="00D0633E"/>
    <w:rsid w:val="00D07B72"/>
    <w:rsid w:val="00D10017"/>
    <w:rsid w:val="00D107B6"/>
    <w:rsid w:val="00D10EFA"/>
    <w:rsid w:val="00D114AE"/>
    <w:rsid w:val="00D12477"/>
    <w:rsid w:val="00D12878"/>
    <w:rsid w:val="00D12E74"/>
    <w:rsid w:val="00D13BC0"/>
    <w:rsid w:val="00D1454A"/>
    <w:rsid w:val="00D14BB3"/>
    <w:rsid w:val="00D14D54"/>
    <w:rsid w:val="00D1509A"/>
    <w:rsid w:val="00D15955"/>
    <w:rsid w:val="00D17494"/>
    <w:rsid w:val="00D1793D"/>
    <w:rsid w:val="00D17DFC"/>
    <w:rsid w:val="00D211BB"/>
    <w:rsid w:val="00D21B2B"/>
    <w:rsid w:val="00D22046"/>
    <w:rsid w:val="00D230A8"/>
    <w:rsid w:val="00D2312F"/>
    <w:rsid w:val="00D23B04"/>
    <w:rsid w:val="00D2404C"/>
    <w:rsid w:val="00D25071"/>
    <w:rsid w:val="00D26505"/>
    <w:rsid w:val="00D269C1"/>
    <w:rsid w:val="00D26D14"/>
    <w:rsid w:val="00D27944"/>
    <w:rsid w:val="00D27B1E"/>
    <w:rsid w:val="00D27B87"/>
    <w:rsid w:val="00D302E5"/>
    <w:rsid w:val="00D311C3"/>
    <w:rsid w:val="00D314CF"/>
    <w:rsid w:val="00D31D1F"/>
    <w:rsid w:val="00D31E8A"/>
    <w:rsid w:val="00D32383"/>
    <w:rsid w:val="00D32C54"/>
    <w:rsid w:val="00D33DA4"/>
    <w:rsid w:val="00D35848"/>
    <w:rsid w:val="00D3616E"/>
    <w:rsid w:val="00D40D8B"/>
    <w:rsid w:val="00D41054"/>
    <w:rsid w:val="00D41690"/>
    <w:rsid w:val="00D41B2F"/>
    <w:rsid w:val="00D442B3"/>
    <w:rsid w:val="00D44456"/>
    <w:rsid w:val="00D44779"/>
    <w:rsid w:val="00D44953"/>
    <w:rsid w:val="00D45001"/>
    <w:rsid w:val="00D45AA9"/>
    <w:rsid w:val="00D46275"/>
    <w:rsid w:val="00D46D3C"/>
    <w:rsid w:val="00D50599"/>
    <w:rsid w:val="00D5094A"/>
    <w:rsid w:val="00D5193E"/>
    <w:rsid w:val="00D51F4E"/>
    <w:rsid w:val="00D53F03"/>
    <w:rsid w:val="00D542F3"/>
    <w:rsid w:val="00D54513"/>
    <w:rsid w:val="00D54AAE"/>
    <w:rsid w:val="00D55217"/>
    <w:rsid w:val="00D55B92"/>
    <w:rsid w:val="00D55BD1"/>
    <w:rsid w:val="00D562E5"/>
    <w:rsid w:val="00D5644B"/>
    <w:rsid w:val="00D56E25"/>
    <w:rsid w:val="00D578B1"/>
    <w:rsid w:val="00D57E89"/>
    <w:rsid w:val="00D60E1A"/>
    <w:rsid w:val="00D62361"/>
    <w:rsid w:val="00D654E9"/>
    <w:rsid w:val="00D6560D"/>
    <w:rsid w:val="00D65A91"/>
    <w:rsid w:val="00D65D77"/>
    <w:rsid w:val="00D662E0"/>
    <w:rsid w:val="00D707B9"/>
    <w:rsid w:val="00D70E30"/>
    <w:rsid w:val="00D718D7"/>
    <w:rsid w:val="00D735C2"/>
    <w:rsid w:val="00D737B6"/>
    <w:rsid w:val="00D74391"/>
    <w:rsid w:val="00D75747"/>
    <w:rsid w:val="00D77DB8"/>
    <w:rsid w:val="00D80D32"/>
    <w:rsid w:val="00D814B7"/>
    <w:rsid w:val="00D82383"/>
    <w:rsid w:val="00D83C33"/>
    <w:rsid w:val="00D84A62"/>
    <w:rsid w:val="00D85C86"/>
    <w:rsid w:val="00D85F1B"/>
    <w:rsid w:val="00D8625D"/>
    <w:rsid w:val="00D863EB"/>
    <w:rsid w:val="00D86824"/>
    <w:rsid w:val="00D8709C"/>
    <w:rsid w:val="00D90688"/>
    <w:rsid w:val="00D925F5"/>
    <w:rsid w:val="00D92C91"/>
    <w:rsid w:val="00D92E4E"/>
    <w:rsid w:val="00D92FC0"/>
    <w:rsid w:val="00D9379A"/>
    <w:rsid w:val="00D9381E"/>
    <w:rsid w:val="00D94615"/>
    <w:rsid w:val="00D9489E"/>
    <w:rsid w:val="00D94E48"/>
    <w:rsid w:val="00D96452"/>
    <w:rsid w:val="00D9686B"/>
    <w:rsid w:val="00D97C98"/>
    <w:rsid w:val="00DA05BC"/>
    <w:rsid w:val="00DA0CFA"/>
    <w:rsid w:val="00DA1315"/>
    <w:rsid w:val="00DA1939"/>
    <w:rsid w:val="00DA1E92"/>
    <w:rsid w:val="00DA203C"/>
    <w:rsid w:val="00DA2352"/>
    <w:rsid w:val="00DA3AAD"/>
    <w:rsid w:val="00DA4322"/>
    <w:rsid w:val="00DA451C"/>
    <w:rsid w:val="00DA4BF2"/>
    <w:rsid w:val="00DA4DAB"/>
    <w:rsid w:val="00DA5B29"/>
    <w:rsid w:val="00DA5B66"/>
    <w:rsid w:val="00DA5CD0"/>
    <w:rsid w:val="00DA69AE"/>
    <w:rsid w:val="00DA74BD"/>
    <w:rsid w:val="00DA7963"/>
    <w:rsid w:val="00DB0804"/>
    <w:rsid w:val="00DB164D"/>
    <w:rsid w:val="00DB1A02"/>
    <w:rsid w:val="00DB1F57"/>
    <w:rsid w:val="00DB290C"/>
    <w:rsid w:val="00DB312B"/>
    <w:rsid w:val="00DB3434"/>
    <w:rsid w:val="00DB35DE"/>
    <w:rsid w:val="00DB5131"/>
    <w:rsid w:val="00DB5AAA"/>
    <w:rsid w:val="00DB629D"/>
    <w:rsid w:val="00DB6FDE"/>
    <w:rsid w:val="00DB74E9"/>
    <w:rsid w:val="00DB7FCE"/>
    <w:rsid w:val="00DC1C35"/>
    <w:rsid w:val="00DC3DE9"/>
    <w:rsid w:val="00DC5654"/>
    <w:rsid w:val="00DC5A16"/>
    <w:rsid w:val="00DC658F"/>
    <w:rsid w:val="00DC6708"/>
    <w:rsid w:val="00DC674A"/>
    <w:rsid w:val="00DD098B"/>
    <w:rsid w:val="00DD34D3"/>
    <w:rsid w:val="00DD3F90"/>
    <w:rsid w:val="00DD41C3"/>
    <w:rsid w:val="00DD4384"/>
    <w:rsid w:val="00DD4493"/>
    <w:rsid w:val="00DD5A54"/>
    <w:rsid w:val="00DD5DBF"/>
    <w:rsid w:val="00DD6383"/>
    <w:rsid w:val="00DD65AA"/>
    <w:rsid w:val="00DD789B"/>
    <w:rsid w:val="00DD7F2F"/>
    <w:rsid w:val="00DD7FAE"/>
    <w:rsid w:val="00DE0DCB"/>
    <w:rsid w:val="00DE0E4E"/>
    <w:rsid w:val="00DE142C"/>
    <w:rsid w:val="00DE1CDD"/>
    <w:rsid w:val="00DE303D"/>
    <w:rsid w:val="00DE48CE"/>
    <w:rsid w:val="00DE507F"/>
    <w:rsid w:val="00DE60CC"/>
    <w:rsid w:val="00DE6473"/>
    <w:rsid w:val="00DF081F"/>
    <w:rsid w:val="00DF0987"/>
    <w:rsid w:val="00DF21BC"/>
    <w:rsid w:val="00DF2241"/>
    <w:rsid w:val="00DF29E2"/>
    <w:rsid w:val="00DF35C5"/>
    <w:rsid w:val="00DF363F"/>
    <w:rsid w:val="00DF36F9"/>
    <w:rsid w:val="00DF39C8"/>
    <w:rsid w:val="00DF49E3"/>
    <w:rsid w:val="00DF52CC"/>
    <w:rsid w:val="00DF5520"/>
    <w:rsid w:val="00DF5561"/>
    <w:rsid w:val="00DF5834"/>
    <w:rsid w:val="00E00AB5"/>
    <w:rsid w:val="00E01D89"/>
    <w:rsid w:val="00E023CC"/>
    <w:rsid w:val="00E02BB8"/>
    <w:rsid w:val="00E02C10"/>
    <w:rsid w:val="00E02C82"/>
    <w:rsid w:val="00E03A7A"/>
    <w:rsid w:val="00E03DF4"/>
    <w:rsid w:val="00E040D9"/>
    <w:rsid w:val="00E06416"/>
    <w:rsid w:val="00E07646"/>
    <w:rsid w:val="00E1036A"/>
    <w:rsid w:val="00E10CCA"/>
    <w:rsid w:val="00E11E7B"/>
    <w:rsid w:val="00E12944"/>
    <w:rsid w:val="00E13388"/>
    <w:rsid w:val="00E13D53"/>
    <w:rsid w:val="00E1445C"/>
    <w:rsid w:val="00E146F5"/>
    <w:rsid w:val="00E17FB9"/>
    <w:rsid w:val="00E20080"/>
    <w:rsid w:val="00E20702"/>
    <w:rsid w:val="00E22A20"/>
    <w:rsid w:val="00E22D49"/>
    <w:rsid w:val="00E246AE"/>
    <w:rsid w:val="00E24F69"/>
    <w:rsid w:val="00E260DE"/>
    <w:rsid w:val="00E26570"/>
    <w:rsid w:val="00E26B32"/>
    <w:rsid w:val="00E26C65"/>
    <w:rsid w:val="00E275FF"/>
    <w:rsid w:val="00E27F97"/>
    <w:rsid w:val="00E30197"/>
    <w:rsid w:val="00E30E53"/>
    <w:rsid w:val="00E31051"/>
    <w:rsid w:val="00E31CD4"/>
    <w:rsid w:val="00E31E60"/>
    <w:rsid w:val="00E32913"/>
    <w:rsid w:val="00E3315B"/>
    <w:rsid w:val="00E3332A"/>
    <w:rsid w:val="00E33692"/>
    <w:rsid w:val="00E33E08"/>
    <w:rsid w:val="00E34459"/>
    <w:rsid w:val="00E348BF"/>
    <w:rsid w:val="00E34AD5"/>
    <w:rsid w:val="00E356D6"/>
    <w:rsid w:val="00E35B7D"/>
    <w:rsid w:val="00E3744A"/>
    <w:rsid w:val="00E407B6"/>
    <w:rsid w:val="00E41E6D"/>
    <w:rsid w:val="00E41EF1"/>
    <w:rsid w:val="00E42942"/>
    <w:rsid w:val="00E42F1D"/>
    <w:rsid w:val="00E43696"/>
    <w:rsid w:val="00E440A3"/>
    <w:rsid w:val="00E44E49"/>
    <w:rsid w:val="00E45C9C"/>
    <w:rsid w:val="00E4602D"/>
    <w:rsid w:val="00E4628C"/>
    <w:rsid w:val="00E4676C"/>
    <w:rsid w:val="00E46C79"/>
    <w:rsid w:val="00E51528"/>
    <w:rsid w:val="00E5170F"/>
    <w:rsid w:val="00E52135"/>
    <w:rsid w:val="00E5311F"/>
    <w:rsid w:val="00E53C61"/>
    <w:rsid w:val="00E53E77"/>
    <w:rsid w:val="00E543D9"/>
    <w:rsid w:val="00E54828"/>
    <w:rsid w:val="00E54B08"/>
    <w:rsid w:val="00E552B9"/>
    <w:rsid w:val="00E55DFB"/>
    <w:rsid w:val="00E56285"/>
    <w:rsid w:val="00E56792"/>
    <w:rsid w:val="00E57B25"/>
    <w:rsid w:val="00E60438"/>
    <w:rsid w:val="00E62C0C"/>
    <w:rsid w:val="00E63DC8"/>
    <w:rsid w:val="00E649F9"/>
    <w:rsid w:val="00E65A0A"/>
    <w:rsid w:val="00E65D64"/>
    <w:rsid w:val="00E65F4F"/>
    <w:rsid w:val="00E6616A"/>
    <w:rsid w:val="00E66661"/>
    <w:rsid w:val="00E6694B"/>
    <w:rsid w:val="00E66BD1"/>
    <w:rsid w:val="00E66EAC"/>
    <w:rsid w:val="00E67B42"/>
    <w:rsid w:val="00E67F94"/>
    <w:rsid w:val="00E709DA"/>
    <w:rsid w:val="00E71BDF"/>
    <w:rsid w:val="00E720CA"/>
    <w:rsid w:val="00E72E8A"/>
    <w:rsid w:val="00E731A8"/>
    <w:rsid w:val="00E739E4"/>
    <w:rsid w:val="00E73FF4"/>
    <w:rsid w:val="00E7410C"/>
    <w:rsid w:val="00E741CB"/>
    <w:rsid w:val="00E747F7"/>
    <w:rsid w:val="00E7539A"/>
    <w:rsid w:val="00E75CCB"/>
    <w:rsid w:val="00E81FCF"/>
    <w:rsid w:val="00E8245B"/>
    <w:rsid w:val="00E8293E"/>
    <w:rsid w:val="00E82AC4"/>
    <w:rsid w:val="00E82C21"/>
    <w:rsid w:val="00E82F59"/>
    <w:rsid w:val="00E83191"/>
    <w:rsid w:val="00E836DC"/>
    <w:rsid w:val="00E83CA7"/>
    <w:rsid w:val="00E83EAA"/>
    <w:rsid w:val="00E85B82"/>
    <w:rsid w:val="00E85FF0"/>
    <w:rsid w:val="00E869D0"/>
    <w:rsid w:val="00E86E04"/>
    <w:rsid w:val="00E87272"/>
    <w:rsid w:val="00E9070B"/>
    <w:rsid w:val="00E91830"/>
    <w:rsid w:val="00E91B45"/>
    <w:rsid w:val="00E9213C"/>
    <w:rsid w:val="00E92192"/>
    <w:rsid w:val="00E92CF1"/>
    <w:rsid w:val="00E92E8C"/>
    <w:rsid w:val="00E933DD"/>
    <w:rsid w:val="00E93872"/>
    <w:rsid w:val="00E9453A"/>
    <w:rsid w:val="00E94582"/>
    <w:rsid w:val="00E94834"/>
    <w:rsid w:val="00E94F49"/>
    <w:rsid w:val="00E956B1"/>
    <w:rsid w:val="00E95A71"/>
    <w:rsid w:val="00E96777"/>
    <w:rsid w:val="00E979CE"/>
    <w:rsid w:val="00EA030C"/>
    <w:rsid w:val="00EA0DE9"/>
    <w:rsid w:val="00EA157B"/>
    <w:rsid w:val="00EA2B81"/>
    <w:rsid w:val="00EA3121"/>
    <w:rsid w:val="00EA387C"/>
    <w:rsid w:val="00EA3B88"/>
    <w:rsid w:val="00EA4D33"/>
    <w:rsid w:val="00EA4D97"/>
    <w:rsid w:val="00EA5761"/>
    <w:rsid w:val="00EA7AF6"/>
    <w:rsid w:val="00EB0378"/>
    <w:rsid w:val="00EB0C30"/>
    <w:rsid w:val="00EB0E2F"/>
    <w:rsid w:val="00EB19B9"/>
    <w:rsid w:val="00EB23F7"/>
    <w:rsid w:val="00EB35B1"/>
    <w:rsid w:val="00EB363A"/>
    <w:rsid w:val="00EB432E"/>
    <w:rsid w:val="00EB5279"/>
    <w:rsid w:val="00EB5B87"/>
    <w:rsid w:val="00EB5EF8"/>
    <w:rsid w:val="00EB6068"/>
    <w:rsid w:val="00EB668F"/>
    <w:rsid w:val="00EB7014"/>
    <w:rsid w:val="00EB70D4"/>
    <w:rsid w:val="00EB7BB4"/>
    <w:rsid w:val="00EC0409"/>
    <w:rsid w:val="00EC0646"/>
    <w:rsid w:val="00EC0A37"/>
    <w:rsid w:val="00EC2016"/>
    <w:rsid w:val="00EC21FD"/>
    <w:rsid w:val="00EC3F7A"/>
    <w:rsid w:val="00EC48A2"/>
    <w:rsid w:val="00EC4D3F"/>
    <w:rsid w:val="00EC4EEE"/>
    <w:rsid w:val="00EC5521"/>
    <w:rsid w:val="00EC5CDE"/>
    <w:rsid w:val="00EC5D2E"/>
    <w:rsid w:val="00EC69A7"/>
    <w:rsid w:val="00EC7963"/>
    <w:rsid w:val="00EC7D1C"/>
    <w:rsid w:val="00ED0946"/>
    <w:rsid w:val="00ED0EB5"/>
    <w:rsid w:val="00ED15E4"/>
    <w:rsid w:val="00ED1F6C"/>
    <w:rsid w:val="00ED3077"/>
    <w:rsid w:val="00ED423D"/>
    <w:rsid w:val="00ED487E"/>
    <w:rsid w:val="00ED4935"/>
    <w:rsid w:val="00ED64F1"/>
    <w:rsid w:val="00ED656C"/>
    <w:rsid w:val="00ED6B5C"/>
    <w:rsid w:val="00ED6DE2"/>
    <w:rsid w:val="00ED7396"/>
    <w:rsid w:val="00EE037B"/>
    <w:rsid w:val="00EE0C70"/>
    <w:rsid w:val="00EE33A1"/>
    <w:rsid w:val="00EE362D"/>
    <w:rsid w:val="00EE412B"/>
    <w:rsid w:val="00EE64B0"/>
    <w:rsid w:val="00EE7A0D"/>
    <w:rsid w:val="00EE7E75"/>
    <w:rsid w:val="00EF0994"/>
    <w:rsid w:val="00EF0B8E"/>
    <w:rsid w:val="00EF0DB8"/>
    <w:rsid w:val="00EF1D94"/>
    <w:rsid w:val="00EF2851"/>
    <w:rsid w:val="00EF295D"/>
    <w:rsid w:val="00EF2CFA"/>
    <w:rsid w:val="00EF3841"/>
    <w:rsid w:val="00EF4286"/>
    <w:rsid w:val="00EF5291"/>
    <w:rsid w:val="00EF560E"/>
    <w:rsid w:val="00EF5A1A"/>
    <w:rsid w:val="00EF5B1B"/>
    <w:rsid w:val="00EF6498"/>
    <w:rsid w:val="00EF67E7"/>
    <w:rsid w:val="00EF6E17"/>
    <w:rsid w:val="00EF7FAC"/>
    <w:rsid w:val="00F00344"/>
    <w:rsid w:val="00F008E7"/>
    <w:rsid w:val="00F011F7"/>
    <w:rsid w:val="00F020EF"/>
    <w:rsid w:val="00F0222C"/>
    <w:rsid w:val="00F0291A"/>
    <w:rsid w:val="00F047BC"/>
    <w:rsid w:val="00F050D3"/>
    <w:rsid w:val="00F05572"/>
    <w:rsid w:val="00F05AFA"/>
    <w:rsid w:val="00F05E6A"/>
    <w:rsid w:val="00F07ECD"/>
    <w:rsid w:val="00F10778"/>
    <w:rsid w:val="00F12312"/>
    <w:rsid w:val="00F12B64"/>
    <w:rsid w:val="00F12EC3"/>
    <w:rsid w:val="00F13BE7"/>
    <w:rsid w:val="00F144D1"/>
    <w:rsid w:val="00F14720"/>
    <w:rsid w:val="00F1508D"/>
    <w:rsid w:val="00F15A8D"/>
    <w:rsid w:val="00F177C7"/>
    <w:rsid w:val="00F17CE1"/>
    <w:rsid w:val="00F201C9"/>
    <w:rsid w:val="00F201D8"/>
    <w:rsid w:val="00F2115C"/>
    <w:rsid w:val="00F22ABA"/>
    <w:rsid w:val="00F22EA3"/>
    <w:rsid w:val="00F23B90"/>
    <w:rsid w:val="00F25509"/>
    <w:rsid w:val="00F25FFD"/>
    <w:rsid w:val="00F26D5A"/>
    <w:rsid w:val="00F275F7"/>
    <w:rsid w:val="00F3021B"/>
    <w:rsid w:val="00F32999"/>
    <w:rsid w:val="00F33696"/>
    <w:rsid w:val="00F33A74"/>
    <w:rsid w:val="00F33EAA"/>
    <w:rsid w:val="00F3411F"/>
    <w:rsid w:val="00F34342"/>
    <w:rsid w:val="00F349C9"/>
    <w:rsid w:val="00F34CEF"/>
    <w:rsid w:val="00F35B64"/>
    <w:rsid w:val="00F35CDB"/>
    <w:rsid w:val="00F36B12"/>
    <w:rsid w:val="00F375C0"/>
    <w:rsid w:val="00F40B8E"/>
    <w:rsid w:val="00F42676"/>
    <w:rsid w:val="00F42D61"/>
    <w:rsid w:val="00F436BA"/>
    <w:rsid w:val="00F43DF3"/>
    <w:rsid w:val="00F445F2"/>
    <w:rsid w:val="00F44D66"/>
    <w:rsid w:val="00F4677B"/>
    <w:rsid w:val="00F47294"/>
    <w:rsid w:val="00F47C64"/>
    <w:rsid w:val="00F47EDC"/>
    <w:rsid w:val="00F504CA"/>
    <w:rsid w:val="00F516A5"/>
    <w:rsid w:val="00F51D7E"/>
    <w:rsid w:val="00F53739"/>
    <w:rsid w:val="00F552CD"/>
    <w:rsid w:val="00F55BCA"/>
    <w:rsid w:val="00F560F6"/>
    <w:rsid w:val="00F60F9F"/>
    <w:rsid w:val="00F61DD7"/>
    <w:rsid w:val="00F635D9"/>
    <w:rsid w:val="00F64A6B"/>
    <w:rsid w:val="00F64CA9"/>
    <w:rsid w:val="00F64CFF"/>
    <w:rsid w:val="00F64F08"/>
    <w:rsid w:val="00F64FAF"/>
    <w:rsid w:val="00F660C5"/>
    <w:rsid w:val="00F70055"/>
    <w:rsid w:val="00F70210"/>
    <w:rsid w:val="00F71150"/>
    <w:rsid w:val="00F71790"/>
    <w:rsid w:val="00F71D46"/>
    <w:rsid w:val="00F734F5"/>
    <w:rsid w:val="00F73B5B"/>
    <w:rsid w:val="00F740E1"/>
    <w:rsid w:val="00F74364"/>
    <w:rsid w:val="00F7492A"/>
    <w:rsid w:val="00F74D71"/>
    <w:rsid w:val="00F761E4"/>
    <w:rsid w:val="00F76E97"/>
    <w:rsid w:val="00F77A0A"/>
    <w:rsid w:val="00F8082C"/>
    <w:rsid w:val="00F8154B"/>
    <w:rsid w:val="00F82099"/>
    <w:rsid w:val="00F825E0"/>
    <w:rsid w:val="00F82756"/>
    <w:rsid w:val="00F82772"/>
    <w:rsid w:val="00F82F42"/>
    <w:rsid w:val="00F83EA5"/>
    <w:rsid w:val="00F8439A"/>
    <w:rsid w:val="00F85010"/>
    <w:rsid w:val="00F85278"/>
    <w:rsid w:val="00F86B9E"/>
    <w:rsid w:val="00F87358"/>
    <w:rsid w:val="00F87885"/>
    <w:rsid w:val="00F87AA7"/>
    <w:rsid w:val="00F87E84"/>
    <w:rsid w:val="00F909D0"/>
    <w:rsid w:val="00F90EA5"/>
    <w:rsid w:val="00F91F29"/>
    <w:rsid w:val="00F91F5A"/>
    <w:rsid w:val="00F9268A"/>
    <w:rsid w:val="00F92E30"/>
    <w:rsid w:val="00F9495A"/>
    <w:rsid w:val="00F95306"/>
    <w:rsid w:val="00F95A73"/>
    <w:rsid w:val="00F966B1"/>
    <w:rsid w:val="00F96CF1"/>
    <w:rsid w:val="00F96F0C"/>
    <w:rsid w:val="00F97736"/>
    <w:rsid w:val="00F97D48"/>
    <w:rsid w:val="00FA0120"/>
    <w:rsid w:val="00FA0311"/>
    <w:rsid w:val="00FA0A12"/>
    <w:rsid w:val="00FA1489"/>
    <w:rsid w:val="00FA15C6"/>
    <w:rsid w:val="00FA32BE"/>
    <w:rsid w:val="00FA39E1"/>
    <w:rsid w:val="00FA3D7D"/>
    <w:rsid w:val="00FA483B"/>
    <w:rsid w:val="00FA4BE7"/>
    <w:rsid w:val="00FA54C5"/>
    <w:rsid w:val="00FA5F59"/>
    <w:rsid w:val="00FA6BC9"/>
    <w:rsid w:val="00FA6C7B"/>
    <w:rsid w:val="00FA73F3"/>
    <w:rsid w:val="00FA7B7F"/>
    <w:rsid w:val="00FA7EC7"/>
    <w:rsid w:val="00FB01D8"/>
    <w:rsid w:val="00FB0678"/>
    <w:rsid w:val="00FB168B"/>
    <w:rsid w:val="00FB1BE4"/>
    <w:rsid w:val="00FB275C"/>
    <w:rsid w:val="00FB30BE"/>
    <w:rsid w:val="00FB32BB"/>
    <w:rsid w:val="00FB475B"/>
    <w:rsid w:val="00FB557B"/>
    <w:rsid w:val="00FB65E2"/>
    <w:rsid w:val="00FB762D"/>
    <w:rsid w:val="00FB7E01"/>
    <w:rsid w:val="00FC0A4B"/>
    <w:rsid w:val="00FC0BFA"/>
    <w:rsid w:val="00FC10F7"/>
    <w:rsid w:val="00FC148F"/>
    <w:rsid w:val="00FC14E2"/>
    <w:rsid w:val="00FC38BD"/>
    <w:rsid w:val="00FC3B89"/>
    <w:rsid w:val="00FC3F8F"/>
    <w:rsid w:val="00FC4A81"/>
    <w:rsid w:val="00FC61D6"/>
    <w:rsid w:val="00FC6D01"/>
    <w:rsid w:val="00FC7D6A"/>
    <w:rsid w:val="00FD0062"/>
    <w:rsid w:val="00FD07EF"/>
    <w:rsid w:val="00FD1148"/>
    <w:rsid w:val="00FD1E33"/>
    <w:rsid w:val="00FD21CA"/>
    <w:rsid w:val="00FD2413"/>
    <w:rsid w:val="00FD50F0"/>
    <w:rsid w:val="00FD640F"/>
    <w:rsid w:val="00FD6919"/>
    <w:rsid w:val="00FD6B4C"/>
    <w:rsid w:val="00FD7069"/>
    <w:rsid w:val="00FD726D"/>
    <w:rsid w:val="00FD7A00"/>
    <w:rsid w:val="00FE0553"/>
    <w:rsid w:val="00FE06EC"/>
    <w:rsid w:val="00FE0F43"/>
    <w:rsid w:val="00FE14BC"/>
    <w:rsid w:val="00FE1573"/>
    <w:rsid w:val="00FE1F4B"/>
    <w:rsid w:val="00FE25D0"/>
    <w:rsid w:val="00FE2DD2"/>
    <w:rsid w:val="00FE36CB"/>
    <w:rsid w:val="00FE3BE5"/>
    <w:rsid w:val="00FE53C8"/>
    <w:rsid w:val="00FE6A4E"/>
    <w:rsid w:val="00FE6CB3"/>
    <w:rsid w:val="00FE77A8"/>
    <w:rsid w:val="00FF107D"/>
    <w:rsid w:val="00FF166F"/>
    <w:rsid w:val="00FF2CA7"/>
    <w:rsid w:val="00FF2DEA"/>
    <w:rsid w:val="00FF3C94"/>
    <w:rsid w:val="00FF411C"/>
    <w:rsid w:val="00FF4A39"/>
    <w:rsid w:val="00FF4E99"/>
    <w:rsid w:val="00FF5018"/>
    <w:rsid w:val="00FF590F"/>
    <w:rsid w:val="00FF5AE3"/>
    <w:rsid w:val="00FF5C97"/>
    <w:rsid w:val="00FF6E51"/>
    <w:rsid w:val="00FF6F5E"/>
    <w:rsid w:val="00FF7C4C"/>
    <w:rsid w:val="00FF7F5A"/>
    <w:rsid w:val="0159114B"/>
    <w:rsid w:val="02126C03"/>
    <w:rsid w:val="03C78AB6"/>
    <w:rsid w:val="03E7BAF3"/>
    <w:rsid w:val="052C495B"/>
    <w:rsid w:val="0568387A"/>
    <w:rsid w:val="05977C0C"/>
    <w:rsid w:val="0673BCA9"/>
    <w:rsid w:val="067CBA0A"/>
    <w:rsid w:val="08CCD6E2"/>
    <w:rsid w:val="08CD8746"/>
    <w:rsid w:val="0951F75A"/>
    <w:rsid w:val="0CA76612"/>
    <w:rsid w:val="0CF30392"/>
    <w:rsid w:val="10DF0C27"/>
    <w:rsid w:val="11C433D9"/>
    <w:rsid w:val="12864C89"/>
    <w:rsid w:val="16026E22"/>
    <w:rsid w:val="16AF5D41"/>
    <w:rsid w:val="181D0BA5"/>
    <w:rsid w:val="19B80C6D"/>
    <w:rsid w:val="1A8FED25"/>
    <w:rsid w:val="1AFFD2D1"/>
    <w:rsid w:val="1DBA5D36"/>
    <w:rsid w:val="1E438F51"/>
    <w:rsid w:val="1FCEAAF0"/>
    <w:rsid w:val="1FDB8D81"/>
    <w:rsid w:val="2196E270"/>
    <w:rsid w:val="21D4E304"/>
    <w:rsid w:val="22D310A2"/>
    <w:rsid w:val="2355AE1C"/>
    <w:rsid w:val="2865D4B6"/>
    <w:rsid w:val="292D7D0A"/>
    <w:rsid w:val="29A00FAE"/>
    <w:rsid w:val="2ACDB38C"/>
    <w:rsid w:val="2C77EE89"/>
    <w:rsid w:val="2DA00D6C"/>
    <w:rsid w:val="2E60B588"/>
    <w:rsid w:val="2F1CD986"/>
    <w:rsid w:val="2FC07365"/>
    <w:rsid w:val="32D1DC12"/>
    <w:rsid w:val="32F38076"/>
    <w:rsid w:val="3424FD0E"/>
    <w:rsid w:val="34B5050C"/>
    <w:rsid w:val="3631560C"/>
    <w:rsid w:val="36815CC1"/>
    <w:rsid w:val="36B0044D"/>
    <w:rsid w:val="36DE6345"/>
    <w:rsid w:val="371A4469"/>
    <w:rsid w:val="38ACCFC8"/>
    <w:rsid w:val="3A652CA3"/>
    <w:rsid w:val="3EEA03B7"/>
    <w:rsid w:val="3FF08BE6"/>
    <w:rsid w:val="403DF407"/>
    <w:rsid w:val="40863451"/>
    <w:rsid w:val="4169118A"/>
    <w:rsid w:val="440D1FE4"/>
    <w:rsid w:val="45477AC9"/>
    <w:rsid w:val="470174CC"/>
    <w:rsid w:val="49C475A0"/>
    <w:rsid w:val="4A5DA2B7"/>
    <w:rsid w:val="4A77452D"/>
    <w:rsid w:val="4B1C6801"/>
    <w:rsid w:val="4BB57FA2"/>
    <w:rsid w:val="50E137C7"/>
    <w:rsid w:val="52FFDC0F"/>
    <w:rsid w:val="5468A1E0"/>
    <w:rsid w:val="54937416"/>
    <w:rsid w:val="5723BA16"/>
    <w:rsid w:val="5AAFAE9E"/>
    <w:rsid w:val="5C0E3164"/>
    <w:rsid w:val="5CB4CF35"/>
    <w:rsid w:val="5D3227D3"/>
    <w:rsid w:val="5E6F253E"/>
    <w:rsid w:val="5FEBB9AF"/>
    <w:rsid w:val="604C5462"/>
    <w:rsid w:val="63B52ACC"/>
    <w:rsid w:val="63DCD92D"/>
    <w:rsid w:val="65CC9339"/>
    <w:rsid w:val="68069918"/>
    <w:rsid w:val="6D76FAD5"/>
    <w:rsid w:val="6F296212"/>
    <w:rsid w:val="71DF6C54"/>
    <w:rsid w:val="7219986A"/>
    <w:rsid w:val="744836D5"/>
    <w:rsid w:val="75375519"/>
    <w:rsid w:val="76FCBC44"/>
    <w:rsid w:val="7A328253"/>
    <w:rsid w:val="7D467DD1"/>
    <w:rsid w:val="7DFBC87C"/>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DEC903"/>
  <w15:docId w15:val="{3B2272BA-3E11-4BD5-AB00-BF5E4A078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AU" w:eastAsia="en-AU" w:bidi="ar-SA"/>
      </w:rPr>
    </w:rPrDefault>
    <w:pPrDefault>
      <w:pPr>
        <w:spacing w:before="160" w:after="160" w:line="280" w:lineRule="atLeast"/>
      </w:pPr>
    </w:pPrDefault>
  </w:docDefaults>
  <w:latentStyles w:defLockedState="0" w:defUIPriority="1" w:defSemiHidden="0" w:defUnhideWhenUsed="0" w:defQFormat="0" w:count="376">
    <w:lsdException w:name="Normal" w:uiPriority="0"/>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qFormat="1"/>
    <w:lsdException w:name="heading 6" w:semiHidden="1" w:qFormat="1"/>
    <w:lsdException w:name="heading 7" w:semiHidden="1" w:unhideWhenUsed="1" w:qFormat="1"/>
    <w:lsdException w:name="heading 8" w:semiHidden="1" w:unhideWhenUsed="1" w:qFormat="1"/>
    <w:lsdException w:name="heading 9" w:semiHidden="1" w:unhideWhenUsed="1" w:qFormat="1"/>
    <w:lsdException w:name="index 1" w:uiPriority="99" w:unhideWhenUsed="1"/>
    <w:lsdException w:name="index 2" w:uiPriority="99"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semiHidden="1" w:uiPriority="39"/>
    <w:lsdException w:name="toc 5" w:semiHidden="1"/>
    <w:lsdException w:name="toc 6" w:semiHidden="1"/>
    <w:lsdException w:name="toc 7" w:semiHidden="1" w:unhideWhenUsed="1"/>
    <w:lsdException w:name="toc 8" w:semiHidden="1" w:unhideWhenUsed="1"/>
    <w:lsdException w:name="toc 9" w:semiHidden="1" w:unhideWhenUsed="1"/>
    <w:lsdException w:name="Normal Indent" w:semiHidden="1" w:uiPriority="0" w:qFormat="1"/>
    <w:lsdException w:name="footnote text" w:semiHidden="1" w:uiPriority="8" w:unhideWhenUsed="1"/>
    <w:lsdException w:name="annotation text" w:semiHidden="1" w:unhideWhenUsed="1"/>
    <w:lsdException w:name="header" w:uiPriority="99" w:unhideWhenUsed="1"/>
    <w:lsdException w:name="footer" w:uiPriority="99" w:unhideWhenUsed="1"/>
    <w:lsdException w:name="index heading" w:uiPriority="99" w:unhideWhenUsed="1"/>
    <w:lsdException w:name="caption" w:uiPriority="35" w:unhideWhenUsed="1"/>
    <w:lsdException w:name="table of figures" w:semiHidden="1" w:uiPriority="2" w:unhideWhenUsed="1"/>
    <w:lsdException w:name="envelope address" w:semiHidden="1" w:unhideWhenUsed="1"/>
    <w:lsdException w:name="envelope return" w:semiHidden="1" w:unhideWhenUsed="1"/>
    <w:lsdException w:name="footnote reference" w:semiHidden="1" w:uiPriority="8" w:unhideWhenUsed="1"/>
    <w:lsdException w:name="annotation reference" w:semiHidden="1" w:unhideWhenUsed="1"/>
    <w:lsdException w:name="line number" w:semiHidden="1" w:unhideWhenUsed="1"/>
    <w:lsdException w:name="page number" w:uiPriority="49" w:unhideWhenUsed="1"/>
    <w:lsdException w:name="endnote reference" w:semiHidden="1" w:unhideWhenUsed="1"/>
    <w:lsdException w:name="endnote text" w:semiHidden="1" w:unhideWhenUsed="1"/>
    <w:lsdException w:name="table of authorities" w:semiHidden="1" w:uiPriority="2"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unhideWhenUsed="1"/>
    <w:lsdException w:name="FollowedHyperlink" w:semiHidden="1" w:unhideWhenUsed="1"/>
    <w:lsdException w:name="Strong" w:semiHidden="1"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39"/>
    <w:lsdException w:name="Table Theme" w:semiHidden="1" w:uiPriority="99" w:unhideWhenUsed="1"/>
    <w:lsdException w:name="Placeholder Text" w:semiHidden="1"/>
    <w:lsdException w:name="No Spacing" w:semiHidden="1"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lsdException w:name="Subtle Reference" w:semiHidden="1" w:qFormat="1"/>
    <w:lsdException w:name="Intense Reference" w:semiHidden="1"/>
    <w:lsdException w:name="Book Title" w:semiHidden="1" w:qFormat="1"/>
    <w:lsdException w:name="Bibliography" w:semiHidden="1"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1"/>
    <w:rsid w:val="0059267A"/>
  </w:style>
  <w:style w:type="paragraph" w:styleId="Heading1">
    <w:name w:val="heading 1"/>
    <w:basedOn w:val="Normal"/>
    <w:next w:val="SCVbody"/>
    <w:link w:val="Heading1Char"/>
    <w:qFormat/>
    <w:rsid w:val="00B9059E"/>
    <w:pPr>
      <w:keepNext/>
      <w:keepLines/>
      <w:pageBreakBefore/>
      <w:suppressAutoHyphens/>
      <w:spacing w:before="0" w:after="320" w:line="240" w:lineRule="auto"/>
      <w:outlineLvl w:val="0"/>
    </w:pPr>
    <w:rPr>
      <w:rFonts w:asciiTheme="majorHAnsi" w:eastAsiaTheme="majorEastAsia" w:hAnsiTheme="majorHAnsi" w:cstheme="majorBidi"/>
      <w:b/>
      <w:bCs/>
      <w:color w:val="007586" w:themeColor="text2"/>
      <w:sz w:val="48"/>
      <w:szCs w:val="32"/>
    </w:rPr>
  </w:style>
  <w:style w:type="paragraph" w:styleId="Heading2">
    <w:name w:val="heading 2"/>
    <w:basedOn w:val="Normal"/>
    <w:next w:val="SCVbody"/>
    <w:link w:val="Heading2Char"/>
    <w:qFormat/>
    <w:rsid w:val="00E45C9C"/>
    <w:pPr>
      <w:keepNext/>
      <w:keepLines/>
      <w:spacing w:before="280" w:after="80" w:line="240" w:lineRule="auto"/>
      <w:outlineLvl w:val="1"/>
    </w:pPr>
    <w:rPr>
      <w:rFonts w:asciiTheme="majorHAnsi" w:eastAsiaTheme="majorEastAsia" w:hAnsiTheme="majorHAnsi" w:cstheme="majorBidi"/>
      <w:b/>
      <w:bCs/>
      <w:sz w:val="26"/>
      <w:szCs w:val="26"/>
    </w:rPr>
  </w:style>
  <w:style w:type="paragraph" w:styleId="Heading3">
    <w:name w:val="heading 3"/>
    <w:basedOn w:val="Normal"/>
    <w:next w:val="SCVbody"/>
    <w:link w:val="Heading3Char"/>
    <w:uiPriority w:val="9"/>
    <w:qFormat/>
    <w:rsid w:val="00E45C9C"/>
    <w:pPr>
      <w:keepNext/>
      <w:keepLines/>
      <w:spacing w:before="240" w:after="80" w:line="240" w:lineRule="auto"/>
      <w:outlineLvl w:val="2"/>
    </w:pPr>
    <w:rPr>
      <w:rFonts w:asciiTheme="majorHAnsi" w:eastAsiaTheme="majorEastAsia" w:hAnsiTheme="majorHAnsi" w:cstheme="majorBidi"/>
      <w:b/>
      <w:bCs/>
      <w:color w:val="007586" w:themeColor="text2"/>
      <w:sz w:val="24"/>
      <w:szCs w:val="22"/>
    </w:rPr>
  </w:style>
  <w:style w:type="paragraph" w:styleId="Heading4">
    <w:name w:val="heading 4"/>
    <w:basedOn w:val="Normal"/>
    <w:next w:val="SCVbody"/>
    <w:link w:val="Heading4Char"/>
    <w:qFormat/>
    <w:rsid w:val="00E45C9C"/>
    <w:pPr>
      <w:keepNext/>
      <w:keepLines/>
      <w:spacing w:before="320" w:after="70" w:line="240" w:lineRule="auto"/>
      <w:outlineLvl w:val="3"/>
    </w:pPr>
    <w:rPr>
      <w:rFonts w:asciiTheme="majorHAnsi" w:eastAsiaTheme="majorEastAsia" w:hAnsiTheme="majorHAnsi" w:cstheme="majorBidi"/>
      <w:b/>
      <w:bCs/>
      <w:iCs/>
      <w:color w:val="000000" w:themeColor="text1"/>
    </w:rPr>
  </w:style>
  <w:style w:type="paragraph" w:styleId="Heading5">
    <w:name w:val="heading 5"/>
    <w:basedOn w:val="Normal"/>
    <w:next w:val="SCVbody"/>
    <w:link w:val="Heading5Char"/>
    <w:uiPriority w:val="1"/>
    <w:semiHidden/>
    <w:qFormat/>
    <w:rsid w:val="00E45C9C"/>
    <w:pPr>
      <w:keepNext/>
      <w:keepLines/>
      <w:spacing w:before="280" w:after="80" w:line="264" w:lineRule="auto"/>
      <w:outlineLvl w:val="4"/>
    </w:pPr>
    <w:rPr>
      <w:rFonts w:asciiTheme="majorHAnsi" w:eastAsiaTheme="majorEastAsia" w:hAnsiTheme="majorHAnsi" w:cstheme="majorBidi"/>
      <w:color w:val="141A1F" w:themeColor="accent1" w:themeShade="BF"/>
    </w:rPr>
  </w:style>
  <w:style w:type="paragraph" w:styleId="Heading6">
    <w:name w:val="heading 6"/>
    <w:basedOn w:val="Normal"/>
    <w:next w:val="Normal"/>
    <w:link w:val="Heading6Char"/>
    <w:uiPriority w:val="1"/>
    <w:semiHidden/>
    <w:qFormat/>
    <w:rsid w:val="009854CB"/>
    <w:pPr>
      <w:keepNext/>
      <w:keepLines/>
      <w:spacing w:before="40" w:after="0"/>
      <w:outlineLvl w:val="5"/>
    </w:pPr>
    <w:rPr>
      <w:rFonts w:asciiTheme="majorHAnsi" w:eastAsiaTheme="majorEastAsia" w:hAnsiTheme="majorHAnsi" w:cstheme="majorBidi"/>
      <w:color w:val="0D1114" w:themeColor="accent1" w:themeShade="7F"/>
    </w:rPr>
  </w:style>
  <w:style w:type="paragraph" w:styleId="Heading7">
    <w:name w:val="heading 7"/>
    <w:basedOn w:val="Normal"/>
    <w:next w:val="Normal"/>
    <w:link w:val="Heading7Char"/>
    <w:uiPriority w:val="1"/>
    <w:semiHidden/>
    <w:unhideWhenUsed/>
    <w:qFormat/>
    <w:rsid w:val="009854CB"/>
    <w:pPr>
      <w:keepNext/>
      <w:keepLines/>
      <w:spacing w:before="40" w:after="0"/>
      <w:outlineLvl w:val="6"/>
    </w:pPr>
    <w:rPr>
      <w:rFonts w:asciiTheme="majorHAnsi" w:eastAsiaTheme="majorEastAsia" w:hAnsiTheme="majorHAnsi" w:cstheme="majorBidi"/>
      <w:i/>
      <w:iCs/>
      <w:color w:val="0D1114" w:themeColor="accent1" w:themeShade="7F"/>
    </w:rPr>
  </w:style>
  <w:style w:type="paragraph" w:styleId="Heading8">
    <w:name w:val="heading 8"/>
    <w:basedOn w:val="Normal"/>
    <w:next w:val="Normal"/>
    <w:link w:val="Heading8Char"/>
    <w:uiPriority w:val="1"/>
    <w:semiHidden/>
    <w:unhideWhenUsed/>
    <w:qFormat/>
    <w:rsid w:val="009854CB"/>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1"/>
    <w:semiHidden/>
    <w:unhideWhenUsed/>
    <w:qFormat/>
    <w:rsid w:val="009854CB"/>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LightShading">
    <w:name w:val="Light Shading"/>
    <w:basedOn w:val="TableNormal"/>
    <w:uiPriority w:val="60"/>
    <w:semiHidden/>
    <w:rsid w:val="00E45C9C"/>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ableGrid">
    <w:name w:val="Table Grid"/>
    <w:basedOn w:val="TableNormal"/>
    <w:uiPriority w:val="39"/>
    <w:rsid w:val="00E45C9C"/>
    <w:pPr>
      <w:spacing w:before="0" w:after="0" w:line="240" w:lineRule="auto"/>
    </w:pPr>
    <w:rPr>
      <w:rFonts w:eastAsiaTheme="minorHAnsi"/>
      <w:sz w:val="22"/>
      <w:szCs w:val="22"/>
      <w:lang w:eastAsia="en-US"/>
    </w:rPr>
    <w:tblPr>
      <w:tblBorders>
        <w:top w:val="single" w:sz="2" w:space="0" w:color="80808B"/>
        <w:bottom w:val="single" w:sz="2" w:space="0" w:color="80808B"/>
        <w:insideH w:val="single" w:sz="2" w:space="0" w:color="80808B"/>
      </w:tblBorders>
    </w:tblPr>
    <w:tblStylePr w:type="firstRow">
      <w:tblPr/>
      <w:tcPr>
        <w:tcBorders>
          <w:top w:val="nil"/>
          <w:left w:val="nil"/>
          <w:bottom w:val="single" w:sz="24" w:space="0" w:color="CCCCD0"/>
          <w:right w:val="nil"/>
          <w:insideH w:val="nil"/>
          <w:insideV w:val="nil"/>
          <w:tl2br w:val="nil"/>
          <w:tr2bl w:val="nil"/>
        </w:tcBorders>
        <w:shd w:val="clear" w:color="auto" w:fill="EDF5F7" w:themeFill="background2"/>
      </w:tcPr>
    </w:tblStylePr>
  </w:style>
  <w:style w:type="table" w:styleId="LightList-Accent4">
    <w:name w:val="Light List Accent 4"/>
    <w:basedOn w:val="TableNormal"/>
    <w:uiPriority w:val="61"/>
    <w:semiHidden/>
    <w:rsid w:val="00E45C9C"/>
    <w:pPr>
      <w:spacing w:after="0" w:line="240" w:lineRule="auto"/>
    </w:pPr>
    <w:tblPr>
      <w:tblStyleRowBandSize w:val="1"/>
      <w:tblStyleColBandSize w:val="1"/>
      <w:tblBorders>
        <w:top w:val="single" w:sz="8" w:space="0" w:color="004C97" w:themeColor="accent4"/>
        <w:left w:val="single" w:sz="8" w:space="0" w:color="004C97" w:themeColor="accent4"/>
        <w:bottom w:val="single" w:sz="8" w:space="0" w:color="004C97" w:themeColor="accent4"/>
        <w:right w:val="single" w:sz="8" w:space="0" w:color="004C97" w:themeColor="accent4"/>
      </w:tblBorders>
    </w:tblPr>
    <w:tblStylePr w:type="firstRow">
      <w:pPr>
        <w:spacing w:before="0" w:after="0" w:line="240" w:lineRule="auto"/>
      </w:pPr>
      <w:rPr>
        <w:b/>
        <w:bCs/>
        <w:color w:val="FFFFFF" w:themeColor="background1"/>
      </w:rPr>
      <w:tblPr/>
      <w:tcPr>
        <w:shd w:val="clear" w:color="auto" w:fill="004C97" w:themeFill="accent4"/>
      </w:tcPr>
    </w:tblStylePr>
    <w:tblStylePr w:type="lastRow">
      <w:pPr>
        <w:spacing w:before="0" w:after="0" w:line="240" w:lineRule="auto"/>
      </w:pPr>
      <w:rPr>
        <w:b/>
        <w:bCs/>
      </w:rPr>
      <w:tblPr/>
      <w:tcPr>
        <w:tcBorders>
          <w:top w:val="double" w:sz="6" w:space="0" w:color="004C97" w:themeColor="accent4"/>
          <w:left w:val="single" w:sz="8" w:space="0" w:color="004C97" w:themeColor="accent4"/>
          <w:bottom w:val="single" w:sz="8" w:space="0" w:color="004C97" w:themeColor="accent4"/>
          <w:right w:val="single" w:sz="8" w:space="0" w:color="004C97" w:themeColor="accent4"/>
        </w:tcBorders>
      </w:tcPr>
    </w:tblStylePr>
    <w:tblStylePr w:type="firstCol">
      <w:rPr>
        <w:b/>
        <w:bCs/>
      </w:rPr>
    </w:tblStylePr>
    <w:tblStylePr w:type="lastCol">
      <w:rPr>
        <w:b/>
        <w:bCs/>
      </w:rPr>
    </w:tblStylePr>
    <w:tblStylePr w:type="band1Vert">
      <w:tblPr/>
      <w:tcPr>
        <w:tcBorders>
          <w:top w:val="single" w:sz="8" w:space="0" w:color="004C97" w:themeColor="accent4"/>
          <w:left w:val="single" w:sz="8" w:space="0" w:color="004C97" w:themeColor="accent4"/>
          <w:bottom w:val="single" w:sz="8" w:space="0" w:color="004C97" w:themeColor="accent4"/>
          <w:right w:val="single" w:sz="8" w:space="0" w:color="004C97" w:themeColor="accent4"/>
        </w:tcBorders>
      </w:tcPr>
    </w:tblStylePr>
    <w:tblStylePr w:type="band1Horz">
      <w:tblPr/>
      <w:tcPr>
        <w:tcBorders>
          <w:top w:val="single" w:sz="8" w:space="0" w:color="004C97" w:themeColor="accent4"/>
          <w:left w:val="single" w:sz="8" w:space="0" w:color="004C97" w:themeColor="accent4"/>
          <w:bottom w:val="single" w:sz="8" w:space="0" w:color="004C97" w:themeColor="accent4"/>
          <w:right w:val="single" w:sz="8" w:space="0" w:color="004C97" w:themeColor="accent4"/>
        </w:tcBorders>
      </w:tcPr>
    </w:tblStylePr>
  </w:style>
  <w:style w:type="table" w:styleId="LightList-Accent1">
    <w:name w:val="Light List Accent 1"/>
    <w:basedOn w:val="TableNormal"/>
    <w:uiPriority w:val="61"/>
    <w:semiHidden/>
    <w:rsid w:val="00E45C9C"/>
    <w:pPr>
      <w:spacing w:after="0" w:line="240" w:lineRule="auto"/>
    </w:pPr>
    <w:tblPr>
      <w:tblStyleRowBandSize w:val="1"/>
      <w:tblStyleColBandSize w:val="1"/>
      <w:tblBorders>
        <w:top w:val="single" w:sz="8" w:space="0" w:color="1B242A" w:themeColor="accent1"/>
        <w:left w:val="single" w:sz="8" w:space="0" w:color="1B242A" w:themeColor="accent1"/>
        <w:bottom w:val="single" w:sz="8" w:space="0" w:color="1B242A" w:themeColor="accent1"/>
        <w:right w:val="single" w:sz="8" w:space="0" w:color="1B242A" w:themeColor="accent1"/>
      </w:tblBorders>
    </w:tblPr>
    <w:tblStylePr w:type="firstRow">
      <w:pPr>
        <w:spacing w:before="0" w:after="0" w:line="240" w:lineRule="auto"/>
      </w:pPr>
      <w:rPr>
        <w:b/>
        <w:bCs/>
        <w:color w:val="FFFFFF" w:themeColor="background1"/>
      </w:rPr>
      <w:tblPr/>
      <w:tcPr>
        <w:shd w:val="clear" w:color="auto" w:fill="1B242A" w:themeFill="accent1"/>
      </w:tcPr>
    </w:tblStylePr>
    <w:tblStylePr w:type="lastRow">
      <w:pPr>
        <w:spacing w:before="0" w:after="0" w:line="240" w:lineRule="auto"/>
      </w:pPr>
      <w:rPr>
        <w:b/>
        <w:bCs/>
      </w:rPr>
      <w:tblPr/>
      <w:tcPr>
        <w:tcBorders>
          <w:top w:val="double" w:sz="6" w:space="0" w:color="1B242A" w:themeColor="accent1"/>
          <w:left w:val="single" w:sz="8" w:space="0" w:color="1B242A" w:themeColor="accent1"/>
          <w:bottom w:val="single" w:sz="8" w:space="0" w:color="1B242A" w:themeColor="accent1"/>
          <w:right w:val="single" w:sz="8" w:space="0" w:color="1B242A" w:themeColor="accent1"/>
        </w:tcBorders>
      </w:tcPr>
    </w:tblStylePr>
    <w:tblStylePr w:type="firstCol">
      <w:rPr>
        <w:b/>
        <w:bCs/>
      </w:rPr>
    </w:tblStylePr>
    <w:tblStylePr w:type="lastCol">
      <w:rPr>
        <w:b/>
        <w:bCs/>
      </w:rPr>
    </w:tblStylePr>
    <w:tblStylePr w:type="band1Vert">
      <w:tblPr/>
      <w:tcPr>
        <w:tcBorders>
          <w:top w:val="single" w:sz="8" w:space="0" w:color="1B242A" w:themeColor="accent1"/>
          <w:left w:val="single" w:sz="8" w:space="0" w:color="1B242A" w:themeColor="accent1"/>
          <w:bottom w:val="single" w:sz="8" w:space="0" w:color="1B242A" w:themeColor="accent1"/>
          <w:right w:val="single" w:sz="8" w:space="0" w:color="1B242A" w:themeColor="accent1"/>
        </w:tcBorders>
      </w:tcPr>
    </w:tblStylePr>
    <w:tblStylePr w:type="band1Horz">
      <w:tblPr/>
      <w:tcPr>
        <w:tcBorders>
          <w:top w:val="single" w:sz="8" w:space="0" w:color="1B242A" w:themeColor="accent1"/>
          <w:left w:val="single" w:sz="8" w:space="0" w:color="1B242A" w:themeColor="accent1"/>
          <w:bottom w:val="single" w:sz="8" w:space="0" w:color="1B242A" w:themeColor="accent1"/>
          <w:right w:val="single" w:sz="8" w:space="0" w:color="1B242A" w:themeColor="accent1"/>
        </w:tcBorders>
      </w:tcPr>
    </w:tblStylePr>
  </w:style>
  <w:style w:type="paragraph" w:styleId="TOC1">
    <w:name w:val="toc 1"/>
    <w:basedOn w:val="Normal"/>
    <w:next w:val="Normal"/>
    <w:uiPriority w:val="39"/>
    <w:rsid w:val="00E24F69"/>
    <w:pPr>
      <w:keepNext/>
      <w:keepLines/>
      <w:pBdr>
        <w:bottom w:val="single" w:sz="2" w:space="1" w:color="000016"/>
        <w:between w:val="single" w:sz="2" w:space="1" w:color="000000" w:themeColor="text1"/>
      </w:pBdr>
      <w:tabs>
        <w:tab w:val="right" w:pos="10206"/>
      </w:tabs>
      <w:spacing w:before="120" w:after="0"/>
      <w:ind w:right="57"/>
    </w:pPr>
    <w:rPr>
      <w:b/>
      <w:noProof/>
      <w:lang w:eastAsia="en-US"/>
    </w:rPr>
  </w:style>
  <w:style w:type="paragraph" w:styleId="TOC2">
    <w:name w:val="toc 2"/>
    <w:basedOn w:val="Normal"/>
    <w:next w:val="Normal"/>
    <w:uiPriority w:val="39"/>
    <w:rsid w:val="00E24F69"/>
    <w:pPr>
      <w:keepLines/>
      <w:pBdr>
        <w:bottom w:val="single" w:sz="2" w:space="1" w:color="000000" w:themeColor="text1"/>
        <w:between w:val="single" w:sz="2" w:space="1" w:color="000000" w:themeColor="text1"/>
      </w:pBdr>
      <w:tabs>
        <w:tab w:val="left" w:pos="340"/>
        <w:tab w:val="right" w:pos="10206"/>
      </w:tabs>
      <w:spacing w:before="40" w:after="0" w:line="240" w:lineRule="auto"/>
      <w:ind w:right="57"/>
    </w:pPr>
    <w:rPr>
      <w:b/>
      <w:noProof/>
      <w:color w:val="007586" w:themeColor="text2"/>
    </w:rPr>
  </w:style>
  <w:style w:type="paragraph" w:styleId="TOC3">
    <w:name w:val="toc 3"/>
    <w:basedOn w:val="TOC2"/>
    <w:next w:val="Normal"/>
    <w:uiPriority w:val="39"/>
    <w:rsid w:val="00E45C9C"/>
    <w:pPr>
      <w:spacing w:before="0" w:line="280" w:lineRule="atLeast"/>
    </w:pPr>
    <w:rPr>
      <w:b w:val="0"/>
      <w:bCs/>
      <w:color w:val="000000" w:themeColor="text1"/>
    </w:rPr>
  </w:style>
  <w:style w:type="paragraph" w:styleId="Index1">
    <w:name w:val="index 1"/>
    <w:basedOn w:val="Normal"/>
    <w:next w:val="Normal"/>
    <w:uiPriority w:val="1"/>
    <w:semiHidden/>
    <w:rsid w:val="00E45C9C"/>
    <w:pPr>
      <w:spacing w:after="60" w:line="240" w:lineRule="auto"/>
    </w:pPr>
    <w:rPr>
      <w:sz w:val="16"/>
    </w:rPr>
  </w:style>
  <w:style w:type="paragraph" w:styleId="Index2">
    <w:name w:val="index 2"/>
    <w:basedOn w:val="Normal"/>
    <w:next w:val="Normal"/>
    <w:uiPriority w:val="1"/>
    <w:semiHidden/>
    <w:rsid w:val="00E45C9C"/>
    <w:pPr>
      <w:spacing w:after="0" w:line="240" w:lineRule="auto"/>
      <w:ind w:left="216"/>
    </w:pPr>
    <w:rPr>
      <w:sz w:val="16"/>
      <w:szCs w:val="16"/>
    </w:rPr>
  </w:style>
  <w:style w:type="character" w:styleId="Hyperlink">
    <w:name w:val="Hyperlink"/>
    <w:basedOn w:val="DefaultParagraphFont"/>
    <w:uiPriority w:val="99"/>
    <w:rsid w:val="00E45C9C"/>
    <w:rPr>
      <w:color w:val="004C97"/>
      <w:u w:val="single"/>
    </w:rPr>
  </w:style>
  <w:style w:type="character" w:customStyle="1" w:styleId="Heading1Char">
    <w:name w:val="Heading 1 Char"/>
    <w:basedOn w:val="DefaultParagraphFont"/>
    <w:link w:val="Heading1"/>
    <w:rsid w:val="00B9059E"/>
    <w:rPr>
      <w:rFonts w:asciiTheme="majorHAnsi" w:eastAsiaTheme="majorEastAsia" w:hAnsiTheme="majorHAnsi" w:cstheme="majorBidi"/>
      <w:b/>
      <w:bCs/>
      <w:color w:val="007586" w:themeColor="text2"/>
      <w:sz w:val="48"/>
      <w:szCs w:val="32"/>
    </w:rPr>
  </w:style>
  <w:style w:type="character" w:customStyle="1" w:styleId="Heading2Char">
    <w:name w:val="Heading 2 Char"/>
    <w:basedOn w:val="DefaultParagraphFont"/>
    <w:link w:val="Heading2"/>
    <w:rsid w:val="00E45C9C"/>
    <w:rPr>
      <w:rFonts w:asciiTheme="majorHAnsi" w:eastAsiaTheme="majorEastAsia" w:hAnsiTheme="majorHAnsi" w:cstheme="majorBidi"/>
      <w:b/>
      <w:bCs/>
      <w:sz w:val="26"/>
      <w:szCs w:val="26"/>
    </w:rPr>
  </w:style>
  <w:style w:type="paragraph" w:customStyle="1" w:styleId="SCVbullet1">
    <w:name w:val="SCV bullet 1"/>
    <w:basedOn w:val="SCVbody"/>
    <w:qFormat/>
    <w:rsid w:val="00E45C9C"/>
    <w:pPr>
      <w:numPr>
        <w:numId w:val="6"/>
      </w:numPr>
      <w:spacing w:before="60" w:after="60"/>
    </w:pPr>
  </w:style>
  <w:style w:type="paragraph" w:customStyle="1" w:styleId="SCVbullet2">
    <w:name w:val="SCV bullet 2"/>
    <w:basedOn w:val="SCVbullet1"/>
    <w:uiPriority w:val="9"/>
    <w:qFormat/>
    <w:rsid w:val="00E45C9C"/>
    <w:pPr>
      <w:numPr>
        <w:ilvl w:val="1"/>
      </w:numPr>
    </w:pPr>
  </w:style>
  <w:style w:type="paragraph" w:styleId="Quote">
    <w:name w:val="Quote"/>
    <w:basedOn w:val="Normal"/>
    <w:next w:val="Normal"/>
    <w:link w:val="QuoteChar"/>
    <w:uiPriority w:val="1"/>
    <w:semiHidden/>
    <w:qFormat/>
    <w:rsid w:val="00E45C9C"/>
    <w:pPr>
      <w:ind w:left="567" w:right="567"/>
      <w:jc w:val="center"/>
    </w:pPr>
    <w:rPr>
      <w:i/>
      <w:iCs/>
      <w:color w:val="000000" w:themeColor="text1"/>
    </w:rPr>
  </w:style>
  <w:style w:type="paragraph" w:customStyle="1" w:styleId="SCVbody">
    <w:name w:val="SCV body"/>
    <w:basedOn w:val="Normal"/>
    <w:link w:val="SCVbodyChar"/>
    <w:qFormat/>
    <w:rsid w:val="00E45C9C"/>
  </w:style>
  <w:style w:type="paragraph" w:customStyle="1" w:styleId="SCVfigurecaption">
    <w:name w:val="SCV figure caption"/>
    <w:basedOn w:val="SCVtablecaption"/>
    <w:uiPriority w:val="14"/>
    <w:qFormat/>
    <w:rsid w:val="00E45C9C"/>
    <w:pPr>
      <w:spacing w:before="300"/>
    </w:pPr>
  </w:style>
  <w:style w:type="paragraph" w:customStyle="1" w:styleId="SCVbodyafterheading">
    <w:name w:val="SCV body after heading"/>
    <w:basedOn w:val="SCVbody"/>
    <w:qFormat/>
    <w:rsid w:val="00E45C9C"/>
    <w:pPr>
      <w:spacing w:before="0"/>
    </w:pPr>
  </w:style>
  <w:style w:type="character" w:customStyle="1" w:styleId="Heading3Char">
    <w:name w:val="Heading 3 Char"/>
    <w:basedOn w:val="DefaultParagraphFont"/>
    <w:link w:val="Heading3"/>
    <w:uiPriority w:val="9"/>
    <w:rsid w:val="00E45C9C"/>
    <w:rPr>
      <w:rFonts w:asciiTheme="majorHAnsi" w:eastAsiaTheme="majorEastAsia" w:hAnsiTheme="majorHAnsi" w:cstheme="majorBidi"/>
      <w:b/>
      <w:bCs/>
      <w:color w:val="007586" w:themeColor="text2"/>
      <w:sz w:val="24"/>
      <w:szCs w:val="22"/>
    </w:rPr>
  </w:style>
  <w:style w:type="numbering" w:customStyle="1" w:styleId="ZZBullets">
    <w:name w:val="ZZ Bullets"/>
    <w:basedOn w:val="NoList"/>
    <w:uiPriority w:val="99"/>
    <w:rsid w:val="00E45C9C"/>
    <w:pPr>
      <w:numPr>
        <w:numId w:val="6"/>
      </w:numPr>
    </w:pPr>
  </w:style>
  <w:style w:type="character" w:customStyle="1" w:styleId="Heading4Char">
    <w:name w:val="Heading 4 Char"/>
    <w:basedOn w:val="DefaultParagraphFont"/>
    <w:link w:val="Heading4"/>
    <w:rsid w:val="00E45C9C"/>
    <w:rPr>
      <w:rFonts w:asciiTheme="majorHAnsi" w:eastAsiaTheme="majorEastAsia" w:hAnsiTheme="majorHAnsi" w:cstheme="majorBidi"/>
      <w:b/>
      <w:bCs/>
      <w:iCs/>
      <w:color w:val="000000" w:themeColor="text1"/>
    </w:rPr>
  </w:style>
  <w:style w:type="paragraph" w:customStyle="1" w:styleId="SCVreporttitle">
    <w:name w:val="SCV report title"/>
    <w:uiPriority w:val="29"/>
    <w:rsid w:val="009905FA"/>
    <w:pPr>
      <w:keepLines/>
      <w:pBdr>
        <w:top w:val="single" w:sz="24" w:space="24" w:color="CCCCD0"/>
      </w:pBdr>
      <w:suppressAutoHyphens/>
      <w:spacing w:before="480" w:line="216" w:lineRule="auto"/>
    </w:pPr>
    <w:rPr>
      <w:rFonts w:asciiTheme="majorHAnsi" w:eastAsia="Times New Roman" w:hAnsiTheme="majorHAnsi" w:cstheme="majorHAnsi"/>
      <w:b/>
      <w:color w:val="007586" w:themeColor="text2"/>
      <w:spacing w:val="-2"/>
      <w:sz w:val="76"/>
      <w:szCs w:val="22"/>
    </w:rPr>
  </w:style>
  <w:style w:type="paragraph" w:customStyle="1" w:styleId="SCVtablefigurenote">
    <w:name w:val="SCV table/figure note"/>
    <w:basedOn w:val="Normal"/>
    <w:uiPriority w:val="29"/>
    <w:rsid w:val="00E45C9C"/>
    <w:pPr>
      <w:spacing w:before="80" w:after="80" w:line="264" w:lineRule="auto"/>
    </w:pPr>
    <w:rPr>
      <w:sz w:val="17"/>
      <w:szCs w:val="17"/>
    </w:rPr>
  </w:style>
  <w:style w:type="paragraph" w:customStyle="1" w:styleId="Spacer">
    <w:name w:val="Spacer"/>
    <w:basedOn w:val="Normal"/>
    <w:uiPriority w:val="1"/>
    <w:semiHidden/>
    <w:qFormat/>
    <w:rsid w:val="00E45C9C"/>
    <w:pPr>
      <w:spacing w:before="0" w:after="0" w:line="120" w:lineRule="atLeast"/>
    </w:pPr>
    <w:rPr>
      <w:rFonts w:eastAsia="Times New Roman" w:cs="Calibri"/>
      <w:sz w:val="10"/>
      <w:szCs w:val="22"/>
    </w:rPr>
  </w:style>
  <w:style w:type="paragraph" w:styleId="Subtitle">
    <w:name w:val="Subtitle"/>
    <w:next w:val="Normal"/>
    <w:link w:val="SubtitleChar"/>
    <w:uiPriority w:val="99"/>
    <w:semiHidden/>
    <w:rsid w:val="00E45C9C"/>
    <w:pPr>
      <w:framePr w:hSpace="181" w:wrap="around" w:vAnchor="page" w:hAnchor="margin" w:y="11965"/>
      <w:spacing w:before="0" w:after="0" w:line="240" w:lineRule="auto"/>
      <w:suppressOverlap/>
    </w:pPr>
    <w:rPr>
      <w:rFonts w:asciiTheme="majorHAnsi" w:eastAsia="Times New Roman" w:hAnsiTheme="majorHAnsi" w:cstheme="majorHAnsi"/>
      <w:color w:val="000000" w:themeColor="text1"/>
      <w:spacing w:val="-2"/>
      <w:sz w:val="50"/>
      <w:szCs w:val="24"/>
    </w:rPr>
  </w:style>
  <w:style w:type="character" w:customStyle="1" w:styleId="SubtitleChar">
    <w:name w:val="Subtitle Char"/>
    <w:basedOn w:val="DefaultParagraphFont"/>
    <w:link w:val="Subtitle"/>
    <w:uiPriority w:val="99"/>
    <w:semiHidden/>
    <w:rsid w:val="00E45C9C"/>
    <w:rPr>
      <w:rFonts w:asciiTheme="majorHAnsi" w:eastAsia="Times New Roman" w:hAnsiTheme="majorHAnsi" w:cstheme="majorHAnsi"/>
      <w:color w:val="000000" w:themeColor="text1"/>
      <w:spacing w:val="-2"/>
      <w:sz w:val="50"/>
      <w:szCs w:val="24"/>
    </w:rPr>
  </w:style>
  <w:style w:type="paragraph" w:styleId="TOC4">
    <w:name w:val="toc 4"/>
    <w:basedOn w:val="Normal"/>
    <w:next w:val="Normal"/>
    <w:autoRedefine/>
    <w:uiPriority w:val="99"/>
    <w:rsid w:val="00E45C9C"/>
    <w:pPr>
      <w:spacing w:after="100"/>
      <w:ind w:left="600"/>
    </w:pPr>
  </w:style>
  <w:style w:type="paragraph" w:styleId="Title">
    <w:name w:val="Title"/>
    <w:next w:val="Subtitle"/>
    <w:link w:val="TitleChar"/>
    <w:uiPriority w:val="99"/>
    <w:semiHidden/>
    <w:rsid w:val="00E45C9C"/>
    <w:pPr>
      <w:framePr w:hSpace="181" w:wrap="around" w:vAnchor="page" w:hAnchor="page" w:x="455" w:y="12021"/>
      <w:spacing w:before="0" w:after="40" w:line="240" w:lineRule="auto"/>
      <w:ind w:right="284"/>
      <w:contextualSpacing/>
      <w:suppressOverlap/>
    </w:pPr>
    <w:rPr>
      <w:rFonts w:asciiTheme="majorHAnsi" w:eastAsia="Times New Roman" w:hAnsiTheme="majorHAnsi" w:cstheme="majorHAnsi"/>
      <w:b/>
      <w:color w:val="007586" w:themeColor="text2"/>
      <w:spacing w:val="-2"/>
      <w:sz w:val="76"/>
      <w:szCs w:val="22"/>
    </w:rPr>
  </w:style>
  <w:style w:type="character" w:customStyle="1" w:styleId="TitleChar">
    <w:name w:val="Title Char"/>
    <w:basedOn w:val="DefaultParagraphFont"/>
    <w:link w:val="Title"/>
    <w:uiPriority w:val="99"/>
    <w:semiHidden/>
    <w:rsid w:val="00E45C9C"/>
    <w:rPr>
      <w:rFonts w:asciiTheme="majorHAnsi" w:eastAsia="Times New Roman" w:hAnsiTheme="majorHAnsi" w:cstheme="majorHAnsi"/>
      <w:b/>
      <w:color w:val="007586" w:themeColor="text2"/>
      <w:spacing w:val="-2"/>
      <w:sz w:val="76"/>
      <w:szCs w:val="22"/>
    </w:rPr>
  </w:style>
  <w:style w:type="paragraph" w:styleId="BalloonText">
    <w:name w:val="Balloon Text"/>
    <w:basedOn w:val="Normal"/>
    <w:link w:val="BalloonTextChar"/>
    <w:uiPriority w:val="1"/>
    <w:semiHidden/>
    <w:rsid w:val="00E45C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1"/>
    <w:semiHidden/>
    <w:rsid w:val="00E45C9C"/>
    <w:rPr>
      <w:rFonts w:ascii="Tahoma" w:hAnsi="Tahoma" w:cs="Tahoma"/>
      <w:sz w:val="16"/>
      <w:szCs w:val="16"/>
    </w:rPr>
  </w:style>
  <w:style w:type="character" w:customStyle="1" w:styleId="QuoteChar">
    <w:name w:val="Quote Char"/>
    <w:basedOn w:val="DefaultParagraphFont"/>
    <w:link w:val="Quote"/>
    <w:uiPriority w:val="1"/>
    <w:semiHidden/>
    <w:rsid w:val="00E45C9C"/>
    <w:rPr>
      <w:i/>
      <w:iCs/>
      <w:color w:val="000000" w:themeColor="text1"/>
    </w:rPr>
  </w:style>
  <w:style w:type="paragraph" w:styleId="IndexHeading">
    <w:name w:val="index heading"/>
    <w:basedOn w:val="Normal"/>
    <w:next w:val="Index1"/>
    <w:uiPriority w:val="1"/>
    <w:semiHidden/>
    <w:rsid w:val="00E45C9C"/>
    <w:rPr>
      <w:rFonts w:asciiTheme="majorHAnsi" w:eastAsiaTheme="majorEastAsia" w:hAnsiTheme="majorHAnsi" w:cstheme="majorBidi"/>
      <w:b/>
      <w:bCs/>
    </w:rPr>
  </w:style>
  <w:style w:type="paragraph" w:styleId="Header">
    <w:name w:val="header"/>
    <w:basedOn w:val="Normal"/>
    <w:link w:val="HeaderChar"/>
    <w:uiPriority w:val="99"/>
    <w:rsid w:val="00E45C9C"/>
    <w:pPr>
      <w:tabs>
        <w:tab w:val="center" w:pos="4513"/>
        <w:tab w:val="right" w:pos="9026"/>
      </w:tabs>
      <w:spacing w:before="0" w:line="240" w:lineRule="auto"/>
    </w:pPr>
  </w:style>
  <w:style w:type="character" w:customStyle="1" w:styleId="HeaderChar">
    <w:name w:val="Header Char"/>
    <w:basedOn w:val="DefaultParagraphFont"/>
    <w:link w:val="Header"/>
    <w:uiPriority w:val="99"/>
    <w:rsid w:val="00E45C9C"/>
  </w:style>
  <w:style w:type="paragraph" w:styleId="Footer">
    <w:name w:val="footer"/>
    <w:basedOn w:val="Normal"/>
    <w:link w:val="FooterChar"/>
    <w:uiPriority w:val="99"/>
    <w:rsid w:val="00E45C9C"/>
    <w:pPr>
      <w:tabs>
        <w:tab w:val="left" w:pos="1304"/>
      </w:tabs>
      <w:spacing w:before="0" w:after="0" w:line="156" w:lineRule="exact"/>
    </w:pPr>
    <w:rPr>
      <w:noProof/>
      <w:sz w:val="13"/>
      <w:szCs w:val="18"/>
    </w:rPr>
  </w:style>
  <w:style w:type="character" w:customStyle="1" w:styleId="FooterChar">
    <w:name w:val="Footer Char"/>
    <w:basedOn w:val="DefaultParagraphFont"/>
    <w:link w:val="Footer"/>
    <w:uiPriority w:val="99"/>
    <w:rsid w:val="00E45C9C"/>
    <w:rPr>
      <w:noProof/>
      <w:sz w:val="13"/>
      <w:szCs w:val="18"/>
    </w:rPr>
  </w:style>
  <w:style w:type="character" w:styleId="PageNumber">
    <w:name w:val="page number"/>
    <w:uiPriority w:val="1"/>
    <w:semiHidden/>
    <w:rsid w:val="00E45C9C"/>
    <w:rPr>
      <w:rFonts w:asciiTheme="minorHAnsi" w:hAnsiTheme="minorHAnsi"/>
      <w:b w:val="0"/>
      <w:color w:val="000000" w:themeColor="text1"/>
    </w:rPr>
  </w:style>
  <w:style w:type="paragraph" w:styleId="TOCHeading">
    <w:name w:val="TOC Heading"/>
    <w:basedOn w:val="Heading1"/>
    <w:next w:val="Normal"/>
    <w:uiPriority w:val="99"/>
    <w:semiHidden/>
    <w:rsid w:val="00E45C9C"/>
    <w:pPr>
      <w:outlineLvl w:val="9"/>
    </w:pPr>
    <w:rPr>
      <w:spacing w:val="2"/>
    </w:rPr>
  </w:style>
  <w:style w:type="paragraph" w:customStyle="1" w:styleId="NormalTight">
    <w:name w:val="Normal Tight"/>
    <w:uiPriority w:val="1"/>
    <w:semiHidden/>
    <w:rsid w:val="00E45C9C"/>
    <w:pPr>
      <w:spacing w:after="0" w:line="240" w:lineRule="auto"/>
      <w:ind w:right="2366"/>
    </w:pPr>
    <w:rPr>
      <w:rFonts w:eastAsia="Times New Roman" w:cs="Calibri"/>
      <w:sz w:val="18"/>
      <w:szCs w:val="19"/>
      <w:lang w:eastAsia="en-US"/>
    </w:rPr>
  </w:style>
  <w:style w:type="paragraph" w:styleId="BodyText">
    <w:name w:val="Body Text"/>
    <w:basedOn w:val="Normal"/>
    <w:link w:val="BodyTextChar"/>
    <w:uiPriority w:val="1"/>
    <w:semiHidden/>
    <w:rsid w:val="00E45C9C"/>
    <w:pPr>
      <w:spacing w:before="100" w:line="240" w:lineRule="auto"/>
      <w:ind w:left="794"/>
    </w:pPr>
    <w:rPr>
      <w:rFonts w:ascii="Calibri" w:eastAsia="Times New Roman" w:hAnsi="Calibri" w:cs="Calibri"/>
      <w:sz w:val="22"/>
      <w:szCs w:val="22"/>
    </w:rPr>
  </w:style>
  <w:style w:type="character" w:customStyle="1" w:styleId="BodyTextChar">
    <w:name w:val="Body Text Char"/>
    <w:basedOn w:val="DefaultParagraphFont"/>
    <w:link w:val="BodyText"/>
    <w:uiPriority w:val="1"/>
    <w:semiHidden/>
    <w:rsid w:val="00E45C9C"/>
    <w:rPr>
      <w:rFonts w:ascii="Calibri" w:eastAsia="Times New Roman" w:hAnsi="Calibri" w:cs="Calibri"/>
      <w:sz w:val="22"/>
      <w:szCs w:val="22"/>
    </w:rPr>
  </w:style>
  <w:style w:type="paragraph" w:customStyle="1" w:styleId="Insidecoverspacer">
    <w:name w:val="Inside cover spacer"/>
    <w:basedOn w:val="NormalTight"/>
    <w:uiPriority w:val="1"/>
    <w:semiHidden/>
    <w:qFormat/>
    <w:rsid w:val="00E45C9C"/>
    <w:pPr>
      <w:spacing w:before="5800"/>
      <w:ind w:right="1382"/>
    </w:pPr>
  </w:style>
  <w:style w:type="table" w:styleId="ColourfulGrid">
    <w:name w:val="Colorful Grid"/>
    <w:basedOn w:val="TableNormal"/>
    <w:uiPriority w:val="73"/>
    <w:semiHidden/>
    <w:rsid w:val="00E45C9C"/>
    <w:pPr>
      <w:spacing w:before="0"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semiHidden/>
    <w:rsid w:val="00E45C9C"/>
    <w:pPr>
      <w:spacing w:before="0"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9D4DC" w:themeFill="accent1" w:themeFillTint="33"/>
    </w:tcPr>
    <w:tblStylePr w:type="firstRow">
      <w:rPr>
        <w:b/>
        <w:bCs/>
      </w:rPr>
      <w:tblPr/>
      <w:tcPr>
        <w:shd w:val="clear" w:color="auto" w:fill="93AABA" w:themeFill="accent1" w:themeFillTint="66"/>
      </w:tcPr>
    </w:tblStylePr>
    <w:tblStylePr w:type="lastRow">
      <w:rPr>
        <w:b/>
        <w:bCs/>
        <w:color w:val="000000" w:themeColor="text1"/>
      </w:rPr>
      <w:tblPr/>
      <w:tcPr>
        <w:shd w:val="clear" w:color="auto" w:fill="93AABA" w:themeFill="accent1" w:themeFillTint="66"/>
      </w:tcPr>
    </w:tblStylePr>
    <w:tblStylePr w:type="firstCol">
      <w:rPr>
        <w:color w:val="FFFFFF" w:themeColor="background1"/>
      </w:rPr>
      <w:tblPr/>
      <w:tcPr>
        <w:shd w:val="clear" w:color="auto" w:fill="141A1F" w:themeFill="accent1" w:themeFillShade="BF"/>
      </w:tcPr>
    </w:tblStylePr>
    <w:tblStylePr w:type="lastCol">
      <w:rPr>
        <w:color w:val="FFFFFF" w:themeColor="background1"/>
      </w:rPr>
      <w:tblPr/>
      <w:tcPr>
        <w:shd w:val="clear" w:color="auto" w:fill="141A1F" w:themeFill="accent1" w:themeFillShade="BF"/>
      </w:tcPr>
    </w:tblStylePr>
    <w:tblStylePr w:type="band1Vert">
      <w:tblPr/>
      <w:tcPr>
        <w:shd w:val="clear" w:color="auto" w:fill="7995A9" w:themeFill="accent1" w:themeFillTint="7F"/>
      </w:tcPr>
    </w:tblStylePr>
    <w:tblStylePr w:type="band1Horz">
      <w:tblPr/>
      <w:tcPr>
        <w:shd w:val="clear" w:color="auto" w:fill="7995A9" w:themeFill="accent1" w:themeFillTint="7F"/>
      </w:tcPr>
    </w:tblStylePr>
  </w:style>
  <w:style w:type="paragraph" w:customStyle="1" w:styleId="SCVreportsubtitle">
    <w:name w:val="SCV report subtitle"/>
    <w:uiPriority w:val="29"/>
    <w:rsid w:val="00350441"/>
    <w:pPr>
      <w:keepLines/>
      <w:spacing w:before="0" w:line="240" w:lineRule="auto"/>
    </w:pPr>
    <w:rPr>
      <w:rFonts w:asciiTheme="majorHAnsi" w:eastAsia="Times New Roman" w:hAnsiTheme="majorHAnsi" w:cstheme="majorHAnsi"/>
      <w:color w:val="000000" w:themeColor="text1"/>
      <w:sz w:val="50"/>
      <w:szCs w:val="24"/>
    </w:rPr>
  </w:style>
  <w:style w:type="paragraph" w:customStyle="1" w:styleId="SCVfooterempty">
    <w:name w:val="SCV footer empty"/>
    <w:basedOn w:val="SCVfooter"/>
    <w:uiPriority w:val="98"/>
    <w:rsid w:val="00E45C9C"/>
    <w:pPr>
      <w:pBdr>
        <w:top w:val="none" w:sz="0" w:space="0" w:color="auto"/>
      </w:pBdr>
    </w:pPr>
    <w:rPr>
      <w:noProof w:val="0"/>
    </w:rPr>
  </w:style>
  <w:style w:type="paragraph" w:customStyle="1" w:styleId="SCVheaderempty">
    <w:name w:val="SCV header empty"/>
    <w:basedOn w:val="SCVfooterempty"/>
    <w:uiPriority w:val="1"/>
    <w:rsid w:val="006B337A"/>
  </w:style>
  <w:style w:type="paragraph" w:styleId="ListParagraph">
    <w:name w:val="List Paragraph"/>
    <w:basedOn w:val="Normal"/>
    <w:uiPriority w:val="34"/>
    <w:qFormat/>
    <w:rsid w:val="00E45C9C"/>
    <w:pPr>
      <w:ind w:left="720"/>
      <w:contextualSpacing/>
    </w:pPr>
  </w:style>
  <w:style w:type="paragraph" w:styleId="FootnoteText">
    <w:name w:val="footnote text"/>
    <w:basedOn w:val="Normal"/>
    <w:link w:val="FootnoteTextChar"/>
    <w:uiPriority w:val="8"/>
    <w:rsid w:val="00E45C9C"/>
    <w:pPr>
      <w:spacing w:before="0" w:after="60" w:line="288" w:lineRule="auto"/>
    </w:pPr>
    <w:rPr>
      <w:sz w:val="17"/>
      <w:szCs w:val="17"/>
    </w:rPr>
  </w:style>
  <w:style w:type="character" w:customStyle="1" w:styleId="FootnoteTextChar">
    <w:name w:val="Footnote Text Char"/>
    <w:basedOn w:val="DefaultParagraphFont"/>
    <w:link w:val="FootnoteText"/>
    <w:uiPriority w:val="8"/>
    <w:rsid w:val="00E45C9C"/>
    <w:rPr>
      <w:sz w:val="17"/>
      <w:szCs w:val="17"/>
    </w:rPr>
  </w:style>
  <w:style w:type="character" w:styleId="FootnoteReference">
    <w:name w:val="footnote reference"/>
    <w:basedOn w:val="DefaultParagraphFont"/>
    <w:uiPriority w:val="8"/>
    <w:rsid w:val="00E45C9C"/>
    <w:rPr>
      <w:vertAlign w:val="superscript"/>
    </w:rPr>
  </w:style>
  <w:style w:type="table" w:styleId="ColourfulGridAccent2">
    <w:name w:val="Colorful Grid Accent 2"/>
    <w:basedOn w:val="TableNormal"/>
    <w:uiPriority w:val="73"/>
    <w:semiHidden/>
    <w:rsid w:val="00E45C9C"/>
    <w:pPr>
      <w:spacing w:before="0"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3F5FF" w:themeFill="accent2" w:themeFillTint="33"/>
    </w:tcPr>
    <w:tblStylePr w:type="firstRow">
      <w:rPr>
        <w:b/>
        <w:bCs/>
      </w:rPr>
      <w:tblPr/>
      <w:tcPr>
        <w:shd w:val="clear" w:color="auto" w:fill="68EBFF" w:themeFill="accent2" w:themeFillTint="66"/>
      </w:tcPr>
    </w:tblStylePr>
    <w:tblStylePr w:type="lastRow">
      <w:rPr>
        <w:b/>
        <w:bCs/>
        <w:color w:val="000000" w:themeColor="text1"/>
      </w:rPr>
      <w:tblPr/>
      <w:tcPr>
        <w:shd w:val="clear" w:color="auto" w:fill="68EBFF" w:themeFill="accent2" w:themeFillTint="66"/>
      </w:tcPr>
    </w:tblStylePr>
    <w:tblStylePr w:type="firstCol">
      <w:rPr>
        <w:color w:val="FFFFFF" w:themeColor="background1"/>
      </w:rPr>
      <w:tblPr/>
      <w:tcPr>
        <w:shd w:val="clear" w:color="auto" w:fill="005764" w:themeFill="accent2" w:themeFillShade="BF"/>
      </w:tcPr>
    </w:tblStylePr>
    <w:tblStylePr w:type="lastCol">
      <w:rPr>
        <w:color w:val="FFFFFF" w:themeColor="background1"/>
      </w:rPr>
      <w:tblPr/>
      <w:tcPr>
        <w:shd w:val="clear" w:color="auto" w:fill="005764" w:themeFill="accent2" w:themeFillShade="BF"/>
      </w:tcPr>
    </w:tblStylePr>
    <w:tblStylePr w:type="band1Vert">
      <w:tblPr/>
      <w:tcPr>
        <w:shd w:val="clear" w:color="auto" w:fill="43E6FF" w:themeFill="accent2" w:themeFillTint="7F"/>
      </w:tcPr>
    </w:tblStylePr>
    <w:tblStylePr w:type="band1Horz">
      <w:tblPr/>
      <w:tcPr>
        <w:shd w:val="clear" w:color="auto" w:fill="43E6FF" w:themeFill="accent2" w:themeFillTint="7F"/>
      </w:tcPr>
    </w:tblStylePr>
  </w:style>
  <w:style w:type="table" w:styleId="ColourfulGridAccent3">
    <w:name w:val="Colorful Grid Accent 3"/>
    <w:basedOn w:val="TableNormal"/>
    <w:uiPriority w:val="73"/>
    <w:semiHidden/>
    <w:rsid w:val="00E45C9C"/>
    <w:pPr>
      <w:spacing w:before="0"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F0FB" w:themeFill="accent3" w:themeFillTint="33"/>
    </w:tcPr>
    <w:tblStylePr w:type="firstRow">
      <w:rPr>
        <w:b/>
        <w:bCs/>
      </w:rPr>
      <w:tblPr/>
      <w:tcPr>
        <w:shd w:val="clear" w:color="auto" w:fill="BDE2F7" w:themeFill="accent3" w:themeFillTint="66"/>
      </w:tcPr>
    </w:tblStylePr>
    <w:tblStylePr w:type="lastRow">
      <w:rPr>
        <w:b/>
        <w:bCs/>
        <w:color w:val="000000" w:themeColor="text1"/>
      </w:rPr>
      <w:tblPr/>
      <w:tcPr>
        <w:shd w:val="clear" w:color="auto" w:fill="BDE2F7" w:themeFill="accent3" w:themeFillTint="66"/>
      </w:tcPr>
    </w:tblStylePr>
    <w:tblStylePr w:type="firstCol">
      <w:rPr>
        <w:color w:val="FFFFFF" w:themeColor="background1"/>
      </w:rPr>
      <w:tblPr/>
      <w:tcPr>
        <w:shd w:val="clear" w:color="auto" w:fill="1A97D9" w:themeFill="accent3" w:themeFillShade="BF"/>
      </w:tcPr>
    </w:tblStylePr>
    <w:tblStylePr w:type="lastCol">
      <w:rPr>
        <w:color w:val="FFFFFF" w:themeColor="background1"/>
      </w:rPr>
      <w:tblPr/>
      <w:tcPr>
        <w:shd w:val="clear" w:color="auto" w:fill="1A97D9" w:themeFill="accent3" w:themeFillShade="BF"/>
      </w:tcPr>
    </w:tblStylePr>
    <w:tblStylePr w:type="band1Vert">
      <w:tblPr/>
      <w:tcPr>
        <w:shd w:val="clear" w:color="auto" w:fill="ACDCF5" w:themeFill="accent3" w:themeFillTint="7F"/>
      </w:tcPr>
    </w:tblStylePr>
    <w:tblStylePr w:type="band1Horz">
      <w:tblPr/>
      <w:tcPr>
        <w:shd w:val="clear" w:color="auto" w:fill="ACDCF5" w:themeFill="accent3" w:themeFillTint="7F"/>
      </w:tcPr>
    </w:tblStylePr>
  </w:style>
  <w:style w:type="paragraph" w:styleId="Caption">
    <w:name w:val="caption"/>
    <w:basedOn w:val="Normal"/>
    <w:next w:val="Normal"/>
    <w:uiPriority w:val="1"/>
    <w:semiHidden/>
    <w:rsid w:val="00E45C9C"/>
    <w:pPr>
      <w:spacing w:before="280" w:after="210" w:line="260" w:lineRule="atLeast"/>
    </w:pPr>
    <w:rPr>
      <w:b/>
      <w:bCs/>
      <w:color w:val="007586" w:themeColor="text2"/>
      <w:szCs w:val="18"/>
    </w:rPr>
  </w:style>
  <w:style w:type="paragraph" w:customStyle="1" w:styleId="SCVtablecaption">
    <w:name w:val="SCV table caption"/>
    <w:next w:val="SCVbody"/>
    <w:uiPriority w:val="20"/>
    <w:qFormat/>
    <w:rsid w:val="00E45C9C"/>
    <w:pPr>
      <w:keepNext/>
      <w:tabs>
        <w:tab w:val="left" w:pos="1080"/>
      </w:tabs>
      <w:spacing w:before="280" w:after="120" w:line="264" w:lineRule="auto"/>
    </w:pPr>
    <w:rPr>
      <w:b/>
      <w:bCs/>
      <w:color w:val="007586" w:themeColor="text2"/>
      <w:spacing w:val="2"/>
      <w:szCs w:val="18"/>
    </w:rPr>
  </w:style>
  <w:style w:type="character" w:styleId="PlaceholderText">
    <w:name w:val="Placeholder Text"/>
    <w:basedOn w:val="DefaultParagraphFont"/>
    <w:uiPriority w:val="1"/>
    <w:semiHidden/>
    <w:rsid w:val="00E45C9C"/>
    <w:rPr>
      <w:color w:val="808080"/>
    </w:rPr>
  </w:style>
  <w:style w:type="paragraph" w:customStyle="1" w:styleId="SCVfooterodd">
    <w:name w:val="SCV footer odd"/>
    <w:basedOn w:val="SCVfootereven"/>
    <w:uiPriority w:val="99"/>
    <w:rsid w:val="00972812"/>
    <w:pPr>
      <w:jc w:val="right"/>
    </w:pPr>
  </w:style>
  <w:style w:type="paragraph" w:customStyle="1" w:styleId="SCVfootereven">
    <w:name w:val="SCV footer even"/>
    <w:basedOn w:val="Footer"/>
    <w:uiPriority w:val="99"/>
    <w:rsid w:val="009905FA"/>
    <w:pPr>
      <w:pBdr>
        <w:top w:val="single" w:sz="8" w:space="6" w:color="CCCCD0"/>
      </w:pBdr>
      <w:spacing w:line="240" w:lineRule="auto"/>
    </w:pPr>
    <w:rPr>
      <w:sz w:val="18"/>
    </w:rPr>
  </w:style>
  <w:style w:type="paragraph" w:customStyle="1" w:styleId="SCVintroductorytext">
    <w:name w:val="SCV introductory text"/>
    <w:basedOn w:val="Normal"/>
    <w:uiPriority w:val="1"/>
    <w:qFormat/>
    <w:rsid w:val="0059267A"/>
    <w:pPr>
      <w:spacing w:before="400" w:after="240"/>
    </w:pPr>
    <w:rPr>
      <w:b/>
      <w:color w:val="007586" w:themeColor="text2"/>
    </w:rPr>
  </w:style>
  <w:style w:type="paragraph" w:styleId="NoSpacing">
    <w:name w:val="No Spacing"/>
    <w:uiPriority w:val="1"/>
    <w:semiHidden/>
    <w:qFormat/>
    <w:rsid w:val="00E45C9C"/>
    <w:pPr>
      <w:spacing w:before="0" w:after="0" w:line="240" w:lineRule="auto"/>
    </w:pPr>
  </w:style>
  <w:style w:type="table" w:styleId="ColourfulGridAccent4">
    <w:name w:val="Colorful Grid Accent 4"/>
    <w:basedOn w:val="TableNormal"/>
    <w:uiPriority w:val="73"/>
    <w:semiHidden/>
    <w:rsid w:val="00E45C9C"/>
    <w:pPr>
      <w:spacing w:before="0"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7DBFF" w:themeFill="accent4" w:themeFillTint="33"/>
    </w:tcPr>
    <w:tblStylePr w:type="firstRow">
      <w:rPr>
        <w:b/>
        <w:bCs/>
      </w:rPr>
      <w:tblPr/>
      <w:tcPr>
        <w:shd w:val="clear" w:color="auto" w:fill="6FB7FF" w:themeFill="accent4" w:themeFillTint="66"/>
      </w:tcPr>
    </w:tblStylePr>
    <w:tblStylePr w:type="lastRow">
      <w:rPr>
        <w:b/>
        <w:bCs/>
        <w:color w:val="000000" w:themeColor="text1"/>
      </w:rPr>
      <w:tblPr/>
      <w:tcPr>
        <w:shd w:val="clear" w:color="auto" w:fill="6FB7FF" w:themeFill="accent4" w:themeFillTint="66"/>
      </w:tcPr>
    </w:tblStylePr>
    <w:tblStylePr w:type="firstCol">
      <w:rPr>
        <w:color w:val="FFFFFF" w:themeColor="background1"/>
      </w:rPr>
      <w:tblPr/>
      <w:tcPr>
        <w:shd w:val="clear" w:color="auto" w:fill="003871" w:themeFill="accent4" w:themeFillShade="BF"/>
      </w:tcPr>
    </w:tblStylePr>
    <w:tblStylePr w:type="lastCol">
      <w:rPr>
        <w:color w:val="FFFFFF" w:themeColor="background1"/>
      </w:rPr>
      <w:tblPr/>
      <w:tcPr>
        <w:shd w:val="clear" w:color="auto" w:fill="003871" w:themeFill="accent4" w:themeFillShade="BF"/>
      </w:tcPr>
    </w:tblStylePr>
    <w:tblStylePr w:type="band1Vert">
      <w:tblPr/>
      <w:tcPr>
        <w:shd w:val="clear" w:color="auto" w:fill="4CA5FF" w:themeFill="accent4" w:themeFillTint="7F"/>
      </w:tcPr>
    </w:tblStylePr>
    <w:tblStylePr w:type="band1Horz">
      <w:tblPr/>
      <w:tcPr>
        <w:shd w:val="clear" w:color="auto" w:fill="4CA5FF" w:themeFill="accent4" w:themeFillTint="7F"/>
      </w:tcPr>
    </w:tblStylePr>
  </w:style>
  <w:style w:type="table" w:styleId="ColourfulGridAccent5">
    <w:name w:val="Colorful Grid Accent 5"/>
    <w:basedOn w:val="TableNormal"/>
    <w:uiPriority w:val="73"/>
    <w:semiHidden/>
    <w:rsid w:val="00E45C9C"/>
    <w:pPr>
      <w:spacing w:before="0"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EDF" w:themeFill="accent5" w:themeFillTint="33"/>
    </w:tcPr>
    <w:tblStylePr w:type="firstRow">
      <w:rPr>
        <w:b/>
        <w:bCs/>
      </w:rPr>
      <w:tblPr/>
      <w:tcPr>
        <w:shd w:val="clear" w:color="auto" w:fill="BDDDC0" w:themeFill="accent5" w:themeFillTint="66"/>
      </w:tcPr>
    </w:tblStylePr>
    <w:tblStylePr w:type="lastRow">
      <w:rPr>
        <w:b/>
        <w:bCs/>
        <w:color w:val="000000" w:themeColor="text1"/>
      </w:rPr>
      <w:tblPr/>
      <w:tcPr>
        <w:shd w:val="clear" w:color="auto" w:fill="BDDDC0" w:themeFill="accent5" w:themeFillTint="66"/>
      </w:tcPr>
    </w:tblStylePr>
    <w:tblStylePr w:type="firstCol">
      <w:rPr>
        <w:color w:val="FFFFFF" w:themeColor="background1"/>
      </w:rPr>
      <w:tblPr/>
      <w:tcPr>
        <w:shd w:val="clear" w:color="auto" w:fill="428049" w:themeFill="accent5" w:themeFillShade="BF"/>
      </w:tcPr>
    </w:tblStylePr>
    <w:tblStylePr w:type="lastCol">
      <w:rPr>
        <w:color w:val="FFFFFF" w:themeColor="background1"/>
      </w:rPr>
      <w:tblPr/>
      <w:tcPr>
        <w:shd w:val="clear" w:color="auto" w:fill="428049" w:themeFill="accent5" w:themeFillShade="BF"/>
      </w:tcPr>
    </w:tblStylePr>
    <w:tblStylePr w:type="band1Vert">
      <w:tblPr/>
      <w:tcPr>
        <w:shd w:val="clear" w:color="auto" w:fill="ACD4B1" w:themeFill="accent5" w:themeFillTint="7F"/>
      </w:tcPr>
    </w:tblStylePr>
    <w:tblStylePr w:type="band1Horz">
      <w:tblPr/>
      <w:tcPr>
        <w:shd w:val="clear" w:color="auto" w:fill="ACD4B1" w:themeFill="accent5" w:themeFillTint="7F"/>
      </w:tcPr>
    </w:tblStylePr>
  </w:style>
  <w:style w:type="table" w:styleId="ColourfulGridAccent6">
    <w:name w:val="Colorful Grid Accent 6"/>
    <w:basedOn w:val="TableNormal"/>
    <w:uiPriority w:val="73"/>
    <w:semiHidden/>
    <w:rsid w:val="00E45C9C"/>
    <w:pPr>
      <w:spacing w:before="0"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0D8" w:themeFill="accent6" w:themeFillTint="33"/>
    </w:tcPr>
    <w:tblStylePr w:type="firstRow">
      <w:rPr>
        <w:b/>
        <w:bCs/>
      </w:rPr>
      <w:tblPr/>
      <w:tcPr>
        <w:shd w:val="clear" w:color="auto" w:fill="F5C1B1" w:themeFill="accent6" w:themeFillTint="66"/>
      </w:tcPr>
    </w:tblStylePr>
    <w:tblStylePr w:type="lastRow">
      <w:rPr>
        <w:b/>
        <w:bCs/>
        <w:color w:val="000000" w:themeColor="text1"/>
      </w:rPr>
      <w:tblPr/>
      <w:tcPr>
        <w:shd w:val="clear" w:color="auto" w:fill="F5C1B1" w:themeFill="accent6" w:themeFillTint="66"/>
      </w:tcPr>
    </w:tblStylePr>
    <w:tblStylePr w:type="firstCol">
      <w:rPr>
        <w:color w:val="FFFFFF" w:themeColor="background1"/>
      </w:rPr>
      <w:tblPr/>
      <w:tcPr>
        <w:shd w:val="clear" w:color="auto" w:fill="C04018" w:themeFill="accent6" w:themeFillShade="BF"/>
      </w:tcPr>
    </w:tblStylePr>
    <w:tblStylePr w:type="lastCol">
      <w:rPr>
        <w:color w:val="FFFFFF" w:themeColor="background1"/>
      </w:rPr>
      <w:tblPr/>
      <w:tcPr>
        <w:shd w:val="clear" w:color="auto" w:fill="C04018" w:themeFill="accent6" w:themeFillShade="BF"/>
      </w:tcPr>
    </w:tblStylePr>
    <w:tblStylePr w:type="band1Vert">
      <w:tblPr/>
      <w:tcPr>
        <w:shd w:val="clear" w:color="auto" w:fill="F2B19D" w:themeFill="accent6" w:themeFillTint="7F"/>
      </w:tcPr>
    </w:tblStylePr>
    <w:tblStylePr w:type="band1Horz">
      <w:tblPr/>
      <w:tcPr>
        <w:shd w:val="clear" w:color="auto" w:fill="F2B19D" w:themeFill="accent6" w:themeFillTint="7F"/>
      </w:tcPr>
    </w:tblStylePr>
  </w:style>
  <w:style w:type="table" w:styleId="ColourfulList">
    <w:name w:val="Colorful List"/>
    <w:basedOn w:val="TableNormal"/>
    <w:uiPriority w:val="72"/>
    <w:semiHidden/>
    <w:rsid w:val="00E45C9C"/>
    <w:pPr>
      <w:spacing w:before="0"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5D6B" w:themeFill="accent2" w:themeFillShade="CC"/>
      </w:tcPr>
    </w:tblStylePr>
    <w:tblStylePr w:type="lastRow">
      <w:rPr>
        <w:b/>
        <w:bCs/>
        <w:color w:val="005D6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semiHidden/>
    <w:rsid w:val="00E45C9C"/>
    <w:pPr>
      <w:spacing w:before="0" w:after="0" w:line="240" w:lineRule="auto"/>
    </w:pPr>
    <w:rPr>
      <w:color w:val="000000" w:themeColor="text1"/>
    </w:rPr>
    <w:tblPr>
      <w:tblStyleRowBandSize w:val="1"/>
      <w:tblStyleColBandSize w:val="1"/>
    </w:tblPr>
    <w:tcPr>
      <w:shd w:val="clear" w:color="auto" w:fill="E4EAEE" w:themeFill="accent1" w:themeFillTint="19"/>
    </w:tcPr>
    <w:tblStylePr w:type="firstRow">
      <w:rPr>
        <w:b/>
        <w:bCs/>
        <w:color w:val="FFFFFF" w:themeColor="background1"/>
      </w:rPr>
      <w:tblPr/>
      <w:tcPr>
        <w:tcBorders>
          <w:bottom w:val="single" w:sz="12" w:space="0" w:color="FFFFFF" w:themeColor="background1"/>
        </w:tcBorders>
        <w:shd w:val="clear" w:color="auto" w:fill="005D6B" w:themeFill="accent2" w:themeFillShade="CC"/>
      </w:tcPr>
    </w:tblStylePr>
    <w:tblStylePr w:type="lastRow">
      <w:rPr>
        <w:b/>
        <w:bCs/>
        <w:color w:val="005D6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CCAD4" w:themeFill="accent1" w:themeFillTint="3F"/>
      </w:tcPr>
    </w:tblStylePr>
    <w:tblStylePr w:type="band1Horz">
      <w:tblPr/>
      <w:tcPr>
        <w:shd w:val="clear" w:color="auto" w:fill="C9D4DC" w:themeFill="accent1" w:themeFillTint="33"/>
      </w:tcPr>
    </w:tblStylePr>
  </w:style>
  <w:style w:type="table" w:styleId="ColourfulListAccent2">
    <w:name w:val="Colorful List Accent 2"/>
    <w:basedOn w:val="TableNormal"/>
    <w:uiPriority w:val="72"/>
    <w:semiHidden/>
    <w:rsid w:val="00E45C9C"/>
    <w:pPr>
      <w:spacing w:before="0" w:after="0" w:line="240" w:lineRule="auto"/>
    </w:pPr>
    <w:rPr>
      <w:color w:val="000000" w:themeColor="text1"/>
    </w:rPr>
    <w:tblPr>
      <w:tblStyleRowBandSize w:val="1"/>
      <w:tblStyleColBandSize w:val="1"/>
    </w:tblPr>
    <w:tcPr>
      <w:shd w:val="clear" w:color="auto" w:fill="DAFAFF" w:themeFill="accent2" w:themeFillTint="19"/>
    </w:tcPr>
    <w:tblStylePr w:type="firstRow">
      <w:rPr>
        <w:b/>
        <w:bCs/>
        <w:color w:val="FFFFFF" w:themeColor="background1"/>
      </w:rPr>
      <w:tblPr/>
      <w:tcPr>
        <w:tcBorders>
          <w:bottom w:val="single" w:sz="12" w:space="0" w:color="FFFFFF" w:themeColor="background1"/>
        </w:tcBorders>
        <w:shd w:val="clear" w:color="auto" w:fill="005D6B" w:themeFill="accent2" w:themeFillShade="CC"/>
      </w:tcPr>
    </w:tblStylePr>
    <w:tblStylePr w:type="lastRow">
      <w:rPr>
        <w:b/>
        <w:bCs/>
        <w:color w:val="005D6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2F2FF" w:themeFill="accent2" w:themeFillTint="3F"/>
      </w:tcPr>
    </w:tblStylePr>
    <w:tblStylePr w:type="band1Horz">
      <w:tblPr/>
      <w:tcPr>
        <w:shd w:val="clear" w:color="auto" w:fill="B3F5FF" w:themeFill="accent2" w:themeFillTint="33"/>
      </w:tcPr>
    </w:tblStylePr>
  </w:style>
  <w:style w:type="table" w:styleId="ColourfulListAccent3">
    <w:name w:val="Colorful List Accent 3"/>
    <w:basedOn w:val="TableNormal"/>
    <w:uiPriority w:val="72"/>
    <w:semiHidden/>
    <w:rsid w:val="00E45C9C"/>
    <w:pPr>
      <w:spacing w:before="0" w:after="0" w:line="240" w:lineRule="auto"/>
    </w:pPr>
    <w:rPr>
      <w:color w:val="000000" w:themeColor="text1"/>
    </w:rPr>
    <w:tblPr>
      <w:tblStyleRowBandSize w:val="1"/>
      <w:tblStyleColBandSize w:val="1"/>
    </w:tblPr>
    <w:tcPr>
      <w:shd w:val="clear" w:color="auto" w:fill="EEF8FD" w:themeFill="accent3" w:themeFillTint="19"/>
    </w:tcPr>
    <w:tblStylePr w:type="firstRow">
      <w:rPr>
        <w:b/>
        <w:bCs/>
        <w:color w:val="FFFFFF" w:themeColor="background1"/>
      </w:rPr>
      <w:tblPr/>
      <w:tcPr>
        <w:tcBorders>
          <w:bottom w:val="single" w:sz="12" w:space="0" w:color="FFFFFF" w:themeColor="background1"/>
        </w:tcBorders>
        <w:shd w:val="clear" w:color="auto" w:fill="003C78" w:themeFill="accent4" w:themeFillShade="CC"/>
      </w:tcPr>
    </w:tblStylePr>
    <w:tblStylePr w:type="lastRow">
      <w:rPr>
        <w:b/>
        <w:bCs/>
        <w:color w:val="003C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EDFA" w:themeFill="accent3" w:themeFillTint="3F"/>
      </w:tcPr>
    </w:tblStylePr>
    <w:tblStylePr w:type="band1Horz">
      <w:tblPr/>
      <w:tcPr>
        <w:shd w:val="clear" w:color="auto" w:fill="DEF0FB" w:themeFill="accent3" w:themeFillTint="33"/>
      </w:tcPr>
    </w:tblStylePr>
  </w:style>
  <w:style w:type="table" w:styleId="ColourfulListAccent4">
    <w:name w:val="Colorful List Accent 4"/>
    <w:basedOn w:val="TableNormal"/>
    <w:uiPriority w:val="72"/>
    <w:semiHidden/>
    <w:rsid w:val="00E45C9C"/>
    <w:pPr>
      <w:spacing w:before="0" w:after="0" w:line="240" w:lineRule="auto"/>
    </w:pPr>
    <w:rPr>
      <w:color w:val="000000" w:themeColor="text1"/>
    </w:rPr>
    <w:tblPr>
      <w:tblStyleRowBandSize w:val="1"/>
      <w:tblStyleColBandSize w:val="1"/>
    </w:tblPr>
    <w:tcPr>
      <w:shd w:val="clear" w:color="auto" w:fill="DBEDFF" w:themeFill="accent4" w:themeFillTint="19"/>
    </w:tcPr>
    <w:tblStylePr w:type="firstRow">
      <w:rPr>
        <w:b/>
        <w:bCs/>
        <w:color w:val="FFFFFF" w:themeColor="background1"/>
      </w:rPr>
      <w:tblPr/>
      <w:tcPr>
        <w:tcBorders>
          <w:bottom w:val="single" w:sz="12" w:space="0" w:color="FFFFFF" w:themeColor="background1"/>
        </w:tcBorders>
        <w:shd w:val="clear" w:color="auto" w:fill="20A0E4" w:themeFill="accent3" w:themeFillShade="CC"/>
      </w:tcPr>
    </w:tblStylePr>
    <w:tblStylePr w:type="lastRow">
      <w:rPr>
        <w:b/>
        <w:bCs/>
        <w:color w:val="20A0E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4" w:themeFillTint="3F"/>
      </w:tcPr>
    </w:tblStylePr>
    <w:tblStylePr w:type="band1Horz">
      <w:tblPr/>
      <w:tcPr>
        <w:shd w:val="clear" w:color="auto" w:fill="B7DBFF" w:themeFill="accent4" w:themeFillTint="33"/>
      </w:tcPr>
    </w:tblStylePr>
  </w:style>
  <w:style w:type="table" w:styleId="ColourfulListAccent5">
    <w:name w:val="Colorful List Accent 5"/>
    <w:basedOn w:val="TableNormal"/>
    <w:uiPriority w:val="72"/>
    <w:semiHidden/>
    <w:rsid w:val="00E45C9C"/>
    <w:pPr>
      <w:spacing w:before="0" w:after="0" w:line="240" w:lineRule="auto"/>
    </w:pPr>
    <w:rPr>
      <w:color w:val="000000" w:themeColor="text1"/>
    </w:rPr>
    <w:tblPr>
      <w:tblStyleRowBandSize w:val="1"/>
      <w:tblStyleColBandSize w:val="1"/>
    </w:tblPr>
    <w:tcPr>
      <w:shd w:val="clear" w:color="auto" w:fill="EEF6EF" w:themeFill="accent5" w:themeFillTint="19"/>
    </w:tcPr>
    <w:tblStylePr w:type="firstRow">
      <w:rPr>
        <w:b/>
        <w:bCs/>
        <w:color w:val="FFFFFF" w:themeColor="background1"/>
      </w:rPr>
      <w:tblPr/>
      <w:tcPr>
        <w:tcBorders>
          <w:bottom w:val="single" w:sz="12" w:space="0" w:color="FFFFFF" w:themeColor="background1"/>
        </w:tcBorders>
        <w:shd w:val="clear" w:color="auto" w:fill="CD441A" w:themeFill="accent6" w:themeFillShade="CC"/>
      </w:tcPr>
    </w:tblStylePr>
    <w:tblStylePr w:type="lastRow">
      <w:rPr>
        <w:b/>
        <w:bCs/>
        <w:color w:val="CD441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AD8" w:themeFill="accent5" w:themeFillTint="3F"/>
      </w:tcPr>
    </w:tblStylePr>
    <w:tblStylePr w:type="band1Horz">
      <w:tblPr/>
      <w:tcPr>
        <w:shd w:val="clear" w:color="auto" w:fill="DEEEDF" w:themeFill="accent5" w:themeFillTint="33"/>
      </w:tcPr>
    </w:tblStylePr>
  </w:style>
  <w:style w:type="table" w:styleId="ColourfulListAccent6">
    <w:name w:val="Colorful List Accent 6"/>
    <w:basedOn w:val="TableNormal"/>
    <w:uiPriority w:val="72"/>
    <w:semiHidden/>
    <w:rsid w:val="00E45C9C"/>
    <w:pPr>
      <w:spacing w:before="0" w:after="0" w:line="240" w:lineRule="auto"/>
    </w:pPr>
    <w:rPr>
      <w:color w:val="000000" w:themeColor="text1"/>
    </w:rPr>
    <w:tblPr>
      <w:tblStyleRowBandSize w:val="1"/>
      <w:tblStyleColBandSize w:val="1"/>
    </w:tblPr>
    <w:tcPr>
      <w:shd w:val="clear" w:color="auto" w:fill="FCEFEB" w:themeFill="accent6" w:themeFillTint="19"/>
    </w:tcPr>
    <w:tblStylePr w:type="firstRow">
      <w:rPr>
        <w:b/>
        <w:bCs/>
        <w:color w:val="FFFFFF" w:themeColor="background1"/>
      </w:rPr>
      <w:tblPr/>
      <w:tcPr>
        <w:tcBorders>
          <w:bottom w:val="single" w:sz="12" w:space="0" w:color="FFFFFF" w:themeColor="background1"/>
        </w:tcBorders>
        <w:shd w:val="clear" w:color="auto" w:fill="46894E" w:themeFill="accent5" w:themeFillShade="CC"/>
      </w:tcPr>
    </w:tblStylePr>
    <w:tblStylePr w:type="lastRow">
      <w:rPr>
        <w:b/>
        <w:bCs/>
        <w:color w:val="46894E"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D8CE" w:themeFill="accent6" w:themeFillTint="3F"/>
      </w:tcPr>
    </w:tblStylePr>
    <w:tblStylePr w:type="band1Horz">
      <w:tblPr/>
      <w:tcPr>
        <w:shd w:val="clear" w:color="auto" w:fill="FAE0D8" w:themeFill="accent6" w:themeFillTint="33"/>
      </w:tcPr>
    </w:tblStylePr>
  </w:style>
  <w:style w:type="table" w:styleId="ColourfulShading">
    <w:name w:val="Colorful Shading"/>
    <w:basedOn w:val="TableNormal"/>
    <w:uiPriority w:val="71"/>
    <w:semiHidden/>
    <w:rsid w:val="00E45C9C"/>
    <w:pPr>
      <w:spacing w:before="0" w:after="0" w:line="240" w:lineRule="auto"/>
    </w:pPr>
    <w:rPr>
      <w:color w:val="000000" w:themeColor="text1"/>
    </w:rPr>
    <w:tblPr>
      <w:tblStyleRowBandSize w:val="1"/>
      <w:tblStyleColBandSize w:val="1"/>
      <w:tblBorders>
        <w:top w:val="single" w:sz="24" w:space="0" w:color="007586"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758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semiHidden/>
    <w:rsid w:val="00E45C9C"/>
    <w:pPr>
      <w:spacing w:before="0" w:after="0" w:line="240" w:lineRule="auto"/>
    </w:pPr>
    <w:rPr>
      <w:color w:val="000000" w:themeColor="text1"/>
    </w:rPr>
    <w:tblPr>
      <w:tblStyleRowBandSize w:val="1"/>
      <w:tblStyleColBandSize w:val="1"/>
      <w:tblBorders>
        <w:top w:val="single" w:sz="24" w:space="0" w:color="007586" w:themeColor="accent2"/>
        <w:left w:val="single" w:sz="4" w:space="0" w:color="1B242A" w:themeColor="accent1"/>
        <w:bottom w:val="single" w:sz="4" w:space="0" w:color="1B242A" w:themeColor="accent1"/>
        <w:right w:val="single" w:sz="4" w:space="0" w:color="1B242A" w:themeColor="accent1"/>
        <w:insideH w:val="single" w:sz="4" w:space="0" w:color="FFFFFF" w:themeColor="background1"/>
        <w:insideV w:val="single" w:sz="4" w:space="0" w:color="FFFFFF" w:themeColor="background1"/>
      </w:tblBorders>
    </w:tblPr>
    <w:tcPr>
      <w:shd w:val="clear" w:color="auto" w:fill="E4EAEE" w:themeFill="accent1" w:themeFillTint="19"/>
    </w:tcPr>
    <w:tblStylePr w:type="firstRow">
      <w:rPr>
        <w:b/>
        <w:bCs/>
      </w:rPr>
      <w:tblPr/>
      <w:tcPr>
        <w:tcBorders>
          <w:top w:val="nil"/>
          <w:left w:val="nil"/>
          <w:bottom w:val="single" w:sz="24" w:space="0" w:color="00758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01519" w:themeFill="accent1" w:themeFillShade="99"/>
      </w:tcPr>
    </w:tblStylePr>
    <w:tblStylePr w:type="firstCol">
      <w:rPr>
        <w:color w:val="FFFFFF" w:themeColor="background1"/>
      </w:rPr>
      <w:tblPr/>
      <w:tcPr>
        <w:tcBorders>
          <w:top w:val="nil"/>
          <w:left w:val="nil"/>
          <w:bottom w:val="nil"/>
          <w:right w:val="nil"/>
          <w:insideH w:val="single" w:sz="4" w:space="0" w:color="101519" w:themeColor="accent1" w:themeShade="99"/>
          <w:insideV w:val="nil"/>
        </w:tcBorders>
        <w:shd w:val="clear" w:color="auto" w:fill="101519"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01519" w:themeFill="accent1" w:themeFillShade="99"/>
      </w:tcPr>
    </w:tblStylePr>
    <w:tblStylePr w:type="band1Vert">
      <w:tblPr/>
      <w:tcPr>
        <w:shd w:val="clear" w:color="auto" w:fill="93AABA" w:themeFill="accent1" w:themeFillTint="66"/>
      </w:tcPr>
    </w:tblStylePr>
    <w:tblStylePr w:type="band1Horz">
      <w:tblPr/>
      <w:tcPr>
        <w:shd w:val="clear" w:color="auto" w:fill="7995A9"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semiHidden/>
    <w:rsid w:val="00E45C9C"/>
    <w:pPr>
      <w:spacing w:before="0" w:after="0" w:line="240" w:lineRule="auto"/>
    </w:pPr>
    <w:rPr>
      <w:color w:val="000000" w:themeColor="text1"/>
    </w:rPr>
    <w:tblPr>
      <w:tblStyleRowBandSize w:val="1"/>
      <w:tblStyleColBandSize w:val="1"/>
      <w:tblBorders>
        <w:top w:val="single" w:sz="24" w:space="0" w:color="007586" w:themeColor="accent2"/>
        <w:left w:val="single" w:sz="4" w:space="0" w:color="007586" w:themeColor="accent2"/>
        <w:bottom w:val="single" w:sz="4" w:space="0" w:color="007586" w:themeColor="accent2"/>
        <w:right w:val="single" w:sz="4" w:space="0" w:color="007586" w:themeColor="accent2"/>
        <w:insideH w:val="single" w:sz="4" w:space="0" w:color="FFFFFF" w:themeColor="background1"/>
        <w:insideV w:val="single" w:sz="4" w:space="0" w:color="FFFFFF" w:themeColor="background1"/>
      </w:tblBorders>
    </w:tblPr>
    <w:tcPr>
      <w:shd w:val="clear" w:color="auto" w:fill="DAFAFF" w:themeFill="accent2" w:themeFillTint="19"/>
    </w:tcPr>
    <w:tblStylePr w:type="firstRow">
      <w:rPr>
        <w:b/>
        <w:bCs/>
      </w:rPr>
      <w:tblPr/>
      <w:tcPr>
        <w:tcBorders>
          <w:top w:val="nil"/>
          <w:left w:val="nil"/>
          <w:bottom w:val="single" w:sz="24" w:space="0" w:color="00758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550" w:themeFill="accent2" w:themeFillShade="99"/>
      </w:tcPr>
    </w:tblStylePr>
    <w:tblStylePr w:type="firstCol">
      <w:rPr>
        <w:color w:val="FFFFFF" w:themeColor="background1"/>
      </w:rPr>
      <w:tblPr/>
      <w:tcPr>
        <w:tcBorders>
          <w:top w:val="nil"/>
          <w:left w:val="nil"/>
          <w:bottom w:val="nil"/>
          <w:right w:val="nil"/>
          <w:insideH w:val="single" w:sz="4" w:space="0" w:color="004550" w:themeColor="accent2" w:themeShade="99"/>
          <w:insideV w:val="nil"/>
        </w:tcBorders>
        <w:shd w:val="clear" w:color="auto" w:fill="00455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4550" w:themeFill="accent2" w:themeFillShade="99"/>
      </w:tcPr>
    </w:tblStylePr>
    <w:tblStylePr w:type="band1Vert">
      <w:tblPr/>
      <w:tcPr>
        <w:shd w:val="clear" w:color="auto" w:fill="68EBFF" w:themeFill="accent2" w:themeFillTint="66"/>
      </w:tcPr>
    </w:tblStylePr>
    <w:tblStylePr w:type="band1Horz">
      <w:tblPr/>
      <w:tcPr>
        <w:shd w:val="clear" w:color="auto" w:fill="43E6FF"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semiHidden/>
    <w:rsid w:val="00E45C9C"/>
    <w:pPr>
      <w:spacing w:before="0" w:after="0" w:line="240" w:lineRule="auto"/>
    </w:pPr>
    <w:rPr>
      <w:color w:val="000000" w:themeColor="text1"/>
    </w:rPr>
    <w:tblPr>
      <w:tblStyleRowBandSize w:val="1"/>
      <w:tblStyleColBandSize w:val="1"/>
      <w:tblBorders>
        <w:top w:val="single" w:sz="24" w:space="0" w:color="004C97" w:themeColor="accent4"/>
        <w:left w:val="single" w:sz="4" w:space="0" w:color="5AB9EB" w:themeColor="accent3"/>
        <w:bottom w:val="single" w:sz="4" w:space="0" w:color="5AB9EB" w:themeColor="accent3"/>
        <w:right w:val="single" w:sz="4" w:space="0" w:color="5AB9EB" w:themeColor="accent3"/>
        <w:insideH w:val="single" w:sz="4" w:space="0" w:color="FFFFFF" w:themeColor="background1"/>
        <w:insideV w:val="single" w:sz="4" w:space="0" w:color="FFFFFF" w:themeColor="background1"/>
      </w:tblBorders>
    </w:tblPr>
    <w:tcPr>
      <w:shd w:val="clear" w:color="auto" w:fill="EEF8FD" w:themeFill="accent3" w:themeFillTint="19"/>
    </w:tcPr>
    <w:tblStylePr w:type="firstRow">
      <w:rPr>
        <w:b/>
        <w:bCs/>
      </w:rPr>
      <w:tblPr/>
      <w:tcPr>
        <w:tcBorders>
          <w:top w:val="nil"/>
          <w:left w:val="nil"/>
          <w:bottom w:val="single" w:sz="24" w:space="0" w:color="004C9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579AD" w:themeFill="accent3" w:themeFillShade="99"/>
      </w:tcPr>
    </w:tblStylePr>
    <w:tblStylePr w:type="firstCol">
      <w:rPr>
        <w:color w:val="FFFFFF" w:themeColor="background1"/>
      </w:rPr>
      <w:tblPr/>
      <w:tcPr>
        <w:tcBorders>
          <w:top w:val="nil"/>
          <w:left w:val="nil"/>
          <w:bottom w:val="nil"/>
          <w:right w:val="nil"/>
          <w:insideH w:val="single" w:sz="4" w:space="0" w:color="1579AD" w:themeColor="accent3" w:themeShade="99"/>
          <w:insideV w:val="nil"/>
        </w:tcBorders>
        <w:shd w:val="clear" w:color="auto" w:fill="1579A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1579AD" w:themeFill="accent3" w:themeFillShade="99"/>
      </w:tcPr>
    </w:tblStylePr>
    <w:tblStylePr w:type="band1Vert">
      <w:tblPr/>
      <w:tcPr>
        <w:shd w:val="clear" w:color="auto" w:fill="BDE2F7" w:themeFill="accent3" w:themeFillTint="66"/>
      </w:tcPr>
    </w:tblStylePr>
    <w:tblStylePr w:type="band1Horz">
      <w:tblPr/>
      <w:tcPr>
        <w:shd w:val="clear" w:color="auto" w:fill="ACDCF5" w:themeFill="accent3" w:themeFillTint="7F"/>
      </w:tcPr>
    </w:tblStylePr>
  </w:style>
  <w:style w:type="table" w:styleId="ColourfulShadingAccent4">
    <w:name w:val="Colorful Shading Accent 4"/>
    <w:basedOn w:val="TableNormal"/>
    <w:uiPriority w:val="71"/>
    <w:semiHidden/>
    <w:rsid w:val="00E45C9C"/>
    <w:pPr>
      <w:spacing w:before="0" w:after="0" w:line="240" w:lineRule="auto"/>
    </w:pPr>
    <w:rPr>
      <w:color w:val="000000" w:themeColor="text1"/>
    </w:rPr>
    <w:tblPr>
      <w:tblStyleRowBandSize w:val="1"/>
      <w:tblStyleColBandSize w:val="1"/>
      <w:tblBorders>
        <w:top w:val="single" w:sz="24" w:space="0" w:color="5AB9EB" w:themeColor="accent3"/>
        <w:left w:val="single" w:sz="4" w:space="0" w:color="004C97" w:themeColor="accent4"/>
        <w:bottom w:val="single" w:sz="4" w:space="0" w:color="004C97" w:themeColor="accent4"/>
        <w:right w:val="single" w:sz="4" w:space="0" w:color="004C97" w:themeColor="accent4"/>
        <w:insideH w:val="single" w:sz="4" w:space="0" w:color="FFFFFF" w:themeColor="background1"/>
        <w:insideV w:val="single" w:sz="4" w:space="0" w:color="FFFFFF" w:themeColor="background1"/>
      </w:tblBorders>
    </w:tblPr>
    <w:tcPr>
      <w:shd w:val="clear" w:color="auto" w:fill="DBEDFF" w:themeFill="accent4" w:themeFillTint="19"/>
    </w:tcPr>
    <w:tblStylePr w:type="firstRow">
      <w:rPr>
        <w:b/>
        <w:bCs/>
      </w:rPr>
      <w:tblPr/>
      <w:tcPr>
        <w:tcBorders>
          <w:top w:val="nil"/>
          <w:left w:val="nil"/>
          <w:bottom w:val="single" w:sz="24" w:space="0" w:color="5AB9EB"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4" w:themeFillShade="99"/>
      </w:tcPr>
    </w:tblStylePr>
    <w:tblStylePr w:type="firstCol">
      <w:rPr>
        <w:color w:val="FFFFFF" w:themeColor="background1"/>
      </w:rPr>
      <w:tblPr/>
      <w:tcPr>
        <w:tcBorders>
          <w:top w:val="nil"/>
          <w:left w:val="nil"/>
          <w:bottom w:val="nil"/>
          <w:right w:val="nil"/>
          <w:insideH w:val="single" w:sz="4" w:space="0" w:color="002D5A" w:themeColor="accent4" w:themeShade="99"/>
          <w:insideV w:val="nil"/>
        </w:tcBorders>
        <w:shd w:val="clear" w:color="auto" w:fill="002D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4" w:themeFillShade="99"/>
      </w:tcPr>
    </w:tblStylePr>
    <w:tblStylePr w:type="band1Vert">
      <w:tblPr/>
      <w:tcPr>
        <w:shd w:val="clear" w:color="auto" w:fill="6FB7FF" w:themeFill="accent4" w:themeFillTint="66"/>
      </w:tcPr>
    </w:tblStylePr>
    <w:tblStylePr w:type="band1Horz">
      <w:tblPr/>
      <w:tcPr>
        <w:shd w:val="clear" w:color="auto" w:fill="4CA5FF"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semiHidden/>
    <w:rsid w:val="00E45C9C"/>
    <w:pPr>
      <w:spacing w:before="0" w:after="0" w:line="240" w:lineRule="auto"/>
    </w:pPr>
    <w:rPr>
      <w:color w:val="000000" w:themeColor="text1"/>
    </w:rPr>
    <w:tblPr>
      <w:tblStyleRowBandSize w:val="1"/>
      <w:tblStyleColBandSize w:val="1"/>
      <w:tblBorders>
        <w:top w:val="single" w:sz="24" w:space="0" w:color="E6643C" w:themeColor="accent6"/>
        <w:left w:val="single" w:sz="4" w:space="0" w:color="5AAA64" w:themeColor="accent5"/>
        <w:bottom w:val="single" w:sz="4" w:space="0" w:color="5AAA64" w:themeColor="accent5"/>
        <w:right w:val="single" w:sz="4" w:space="0" w:color="5AAA64" w:themeColor="accent5"/>
        <w:insideH w:val="single" w:sz="4" w:space="0" w:color="FFFFFF" w:themeColor="background1"/>
        <w:insideV w:val="single" w:sz="4" w:space="0" w:color="FFFFFF" w:themeColor="background1"/>
      </w:tblBorders>
    </w:tblPr>
    <w:tcPr>
      <w:shd w:val="clear" w:color="auto" w:fill="EEF6EF" w:themeFill="accent5" w:themeFillTint="19"/>
    </w:tcPr>
    <w:tblStylePr w:type="firstRow">
      <w:rPr>
        <w:b/>
        <w:bCs/>
      </w:rPr>
      <w:tblPr/>
      <w:tcPr>
        <w:tcBorders>
          <w:top w:val="nil"/>
          <w:left w:val="nil"/>
          <w:bottom w:val="single" w:sz="24" w:space="0" w:color="E6643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663B" w:themeFill="accent5" w:themeFillShade="99"/>
      </w:tcPr>
    </w:tblStylePr>
    <w:tblStylePr w:type="firstCol">
      <w:rPr>
        <w:color w:val="FFFFFF" w:themeColor="background1"/>
      </w:rPr>
      <w:tblPr/>
      <w:tcPr>
        <w:tcBorders>
          <w:top w:val="nil"/>
          <w:left w:val="nil"/>
          <w:bottom w:val="nil"/>
          <w:right w:val="nil"/>
          <w:insideH w:val="single" w:sz="4" w:space="0" w:color="35663B" w:themeColor="accent5" w:themeShade="99"/>
          <w:insideV w:val="nil"/>
        </w:tcBorders>
        <w:shd w:val="clear" w:color="auto" w:fill="35663B"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5663B" w:themeFill="accent5" w:themeFillShade="99"/>
      </w:tcPr>
    </w:tblStylePr>
    <w:tblStylePr w:type="band1Vert">
      <w:tblPr/>
      <w:tcPr>
        <w:shd w:val="clear" w:color="auto" w:fill="BDDDC0" w:themeFill="accent5" w:themeFillTint="66"/>
      </w:tcPr>
    </w:tblStylePr>
    <w:tblStylePr w:type="band1Horz">
      <w:tblPr/>
      <w:tcPr>
        <w:shd w:val="clear" w:color="auto" w:fill="ACD4B1"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semiHidden/>
    <w:rsid w:val="00E45C9C"/>
    <w:pPr>
      <w:spacing w:before="0" w:after="0" w:line="240" w:lineRule="auto"/>
    </w:pPr>
    <w:rPr>
      <w:color w:val="000000" w:themeColor="text1"/>
    </w:rPr>
    <w:tblPr>
      <w:tblStyleRowBandSize w:val="1"/>
      <w:tblStyleColBandSize w:val="1"/>
      <w:tblBorders>
        <w:top w:val="single" w:sz="24" w:space="0" w:color="5AAA64" w:themeColor="accent5"/>
        <w:left w:val="single" w:sz="4" w:space="0" w:color="E6643C" w:themeColor="accent6"/>
        <w:bottom w:val="single" w:sz="4" w:space="0" w:color="E6643C" w:themeColor="accent6"/>
        <w:right w:val="single" w:sz="4" w:space="0" w:color="E6643C" w:themeColor="accent6"/>
        <w:insideH w:val="single" w:sz="4" w:space="0" w:color="FFFFFF" w:themeColor="background1"/>
        <w:insideV w:val="single" w:sz="4" w:space="0" w:color="FFFFFF" w:themeColor="background1"/>
      </w:tblBorders>
    </w:tblPr>
    <w:tcPr>
      <w:shd w:val="clear" w:color="auto" w:fill="FCEFEB" w:themeFill="accent6" w:themeFillTint="19"/>
    </w:tcPr>
    <w:tblStylePr w:type="firstRow">
      <w:rPr>
        <w:b/>
        <w:bCs/>
      </w:rPr>
      <w:tblPr/>
      <w:tcPr>
        <w:tcBorders>
          <w:top w:val="nil"/>
          <w:left w:val="nil"/>
          <w:bottom w:val="single" w:sz="24" w:space="0" w:color="5AAA6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A3313" w:themeFill="accent6" w:themeFillShade="99"/>
      </w:tcPr>
    </w:tblStylePr>
    <w:tblStylePr w:type="firstCol">
      <w:rPr>
        <w:color w:val="FFFFFF" w:themeColor="background1"/>
      </w:rPr>
      <w:tblPr/>
      <w:tcPr>
        <w:tcBorders>
          <w:top w:val="nil"/>
          <w:left w:val="nil"/>
          <w:bottom w:val="nil"/>
          <w:right w:val="nil"/>
          <w:insideH w:val="single" w:sz="4" w:space="0" w:color="9A3313" w:themeColor="accent6" w:themeShade="99"/>
          <w:insideV w:val="nil"/>
        </w:tcBorders>
        <w:shd w:val="clear" w:color="auto" w:fill="9A3313"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A3313" w:themeFill="accent6" w:themeFillShade="99"/>
      </w:tcPr>
    </w:tblStylePr>
    <w:tblStylePr w:type="band1Vert">
      <w:tblPr/>
      <w:tcPr>
        <w:shd w:val="clear" w:color="auto" w:fill="F5C1B1" w:themeFill="accent6" w:themeFillTint="66"/>
      </w:tcPr>
    </w:tblStylePr>
    <w:tblStylePr w:type="band1Horz">
      <w:tblPr/>
      <w:tcPr>
        <w:shd w:val="clear" w:color="auto" w:fill="F2B19D"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E45C9C"/>
    <w:pPr>
      <w:spacing w:before="0"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E45C9C"/>
    <w:pPr>
      <w:spacing w:before="0" w:after="0" w:line="240" w:lineRule="auto"/>
    </w:pPr>
    <w:rPr>
      <w:color w:val="FFFFFF" w:themeColor="background1"/>
    </w:rPr>
    <w:tblPr>
      <w:tblStyleRowBandSize w:val="1"/>
      <w:tblStyleColBandSize w:val="1"/>
    </w:tblPr>
    <w:tcPr>
      <w:shd w:val="clear" w:color="auto" w:fill="1B242A"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D1114"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141A1F"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141A1F" w:themeFill="accent1" w:themeFillShade="BF"/>
      </w:tcPr>
    </w:tblStylePr>
    <w:tblStylePr w:type="band1Vert">
      <w:tblPr/>
      <w:tcPr>
        <w:tcBorders>
          <w:top w:val="nil"/>
          <w:left w:val="nil"/>
          <w:bottom w:val="nil"/>
          <w:right w:val="nil"/>
          <w:insideH w:val="nil"/>
          <w:insideV w:val="nil"/>
        </w:tcBorders>
        <w:shd w:val="clear" w:color="auto" w:fill="141A1F" w:themeFill="accent1" w:themeFillShade="BF"/>
      </w:tcPr>
    </w:tblStylePr>
    <w:tblStylePr w:type="band1Horz">
      <w:tblPr/>
      <w:tcPr>
        <w:tcBorders>
          <w:top w:val="nil"/>
          <w:left w:val="nil"/>
          <w:bottom w:val="nil"/>
          <w:right w:val="nil"/>
          <w:insideH w:val="nil"/>
          <w:insideV w:val="nil"/>
        </w:tcBorders>
        <w:shd w:val="clear" w:color="auto" w:fill="141A1F" w:themeFill="accent1" w:themeFillShade="BF"/>
      </w:tcPr>
    </w:tblStylePr>
  </w:style>
  <w:style w:type="table" w:styleId="DarkList-Accent2">
    <w:name w:val="Dark List Accent 2"/>
    <w:basedOn w:val="TableNormal"/>
    <w:uiPriority w:val="70"/>
    <w:semiHidden/>
    <w:rsid w:val="00E45C9C"/>
    <w:pPr>
      <w:spacing w:before="0" w:after="0" w:line="240" w:lineRule="auto"/>
    </w:pPr>
    <w:rPr>
      <w:color w:val="FFFFFF" w:themeColor="background1"/>
    </w:rPr>
    <w:tblPr>
      <w:tblStyleRowBandSize w:val="1"/>
      <w:tblStyleColBandSize w:val="1"/>
    </w:tblPr>
    <w:tcPr>
      <w:shd w:val="clear" w:color="auto" w:fill="007586"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A42"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576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5764" w:themeFill="accent2" w:themeFillShade="BF"/>
      </w:tcPr>
    </w:tblStylePr>
    <w:tblStylePr w:type="band1Vert">
      <w:tblPr/>
      <w:tcPr>
        <w:tcBorders>
          <w:top w:val="nil"/>
          <w:left w:val="nil"/>
          <w:bottom w:val="nil"/>
          <w:right w:val="nil"/>
          <w:insideH w:val="nil"/>
          <w:insideV w:val="nil"/>
        </w:tcBorders>
        <w:shd w:val="clear" w:color="auto" w:fill="005764" w:themeFill="accent2" w:themeFillShade="BF"/>
      </w:tcPr>
    </w:tblStylePr>
    <w:tblStylePr w:type="band1Horz">
      <w:tblPr/>
      <w:tcPr>
        <w:tcBorders>
          <w:top w:val="nil"/>
          <w:left w:val="nil"/>
          <w:bottom w:val="nil"/>
          <w:right w:val="nil"/>
          <w:insideH w:val="nil"/>
          <w:insideV w:val="nil"/>
        </w:tcBorders>
        <w:shd w:val="clear" w:color="auto" w:fill="005764" w:themeFill="accent2" w:themeFillShade="BF"/>
      </w:tcPr>
    </w:tblStylePr>
  </w:style>
  <w:style w:type="table" w:styleId="DarkList-Accent3">
    <w:name w:val="Dark List Accent 3"/>
    <w:basedOn w:val="TableNormal"/>
    <w:uiPriority w:val="70"/>
    <w:semiHidden/>
    <w:rsid w:val="00E45C9C"/>
    <w:pPr>
      <w:spacing w:before="0" w:after="0" w:line="240" w:lineRule="auto"/>
    </w:pPr>
    <w:rPr>
      <w:color w:val="FFFFFF" w:themeColor="background1"/>
    </w:rPr>
    <w:tblPr>
      <w:tblStyleRowBandSize w:val="1"/>
      <w:tblStyleColBandSize w:val="1"/>
    </w:tblPr>
    <w:tcPr>
      <w:shd w:val="clear" w:color="auto" w:fill="5AB9EB"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1649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A97D9"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A97D9" w:themeFill="accent3" w:themeFillShade="BF"/>
      </w:tcPr>
    </w:tblStylePr>
    <w:tblStylePr w:type="band1Vert">
      <w:tblPr/>
      <w:tcPr>
        <w:tcBorders>
          <w:top w:val="nil"/>
          <w:left w:val="nil"/>
          <w:bottom w:val="nil"/>
          <w:right w:val="nil"/>
          <w:insideH w:val="nil"/>
          <w:insideV w:val="nil"/>
        </w:tcBorders>
        <w:shd w:val="clear" w:color="auto" w:fill="1A97D9" w:themeFill="accent3" w:themeFillShade="BF"/>
      </w:tcPr>
    </w:tblStylePr>
    <w:tblStylePr w:type="band1Horz">
      <w:tblPr/>
      <w:tcPr>
        <w:tcBorders>
          <w:top w:val="nil"/>
          <w:left w:val="nil"/>
          <w:bottom w:val="nil"/>
          <w:right w:val="nil"/>
          <w:insideH w:val="nil"/>
          <w:insideV w:val="nil"/>
        </w:tcBorders>
        <w:shd w:val="clear" w:color="auto" w:fill="1A97D9" w:themeFill="accent3" w:themeFillShade="BF"/>
      </w:tcPr>
    </w:tblStylePr>
  </w:style>
  <w:style w:type="table" w:styleId="DarkList-Accent4">
    <w:name w:val="Dark List Accent 4"/>
    <w:basedOn w:val="TableNormal"/>
    <w:uiPriority w:val="70"/>
    <w:semiHidden/>
    <w:rsid w:val="00E45C9C"/>
    <w:pPr>
      <w:spacing w:before="0" w:after="0" w:line="240" w:lineRule="auto"/>
    </w:pPr>
    <w:rPr>
      <w:color w:val="FFFFFF" w:themeColor="background1"/>
    </w:rPr>
    <w:tblPr>
      <w:tblStyleRowBandSize w:val="1"/>
      <w:tblStyleColBandSize w:val="1"/>
    </w:tblPr>
    <w:tcPr>
      <w:shd w:val="clear" w:color="auto" w:fill="004C9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4" w:themeFillShade="BF"/>
      </w:tcPr>
    </w:tblStylePr>
    <w:tblStylePr w:type="band1Vert">
      <w:tblPr/>
      <w:tcPr>
        <w:tcBorders>
          <w:top w:val="nil"/>
          <w:left w:val="nil"/>
          <w:bottom w:val="nil"/>
          <w:right w:val="nil"/>
          <w:insideH w:val="nil"/>
          <w:insideV w:val="nil"/>
        </w:tcBorders>
        <w:shd w:val="clear" w:color="auto" w:fill="003871" w:themeFill="accent4" w:themeFillShade="BF"/>
      </w:tcPr>
    </w:tblStylePr>
    <w:tblStylePr w:type="band1Horz">
      <w:tblPr/>
      <w:tcPr>
        <w:tcBorders>
          <w:top w:val="nil"/>
          <w:left w:val="nil"/>
          <w:bottom w:val="nil"/>
          <w:right w:val="nil"/>
          <w:insideH w:val="nil"/>
          <w:insideV w:val="nil"/>
        </w:tcBorders>
        <w:shd w:val="clear" w:color="auto" w:fill="003871" w:themeFill="accent4" w:themeFillShade="BF"/>
      </w:tcPr>
    </w:tblStylePr>
  </w:style>
  <w:style w:type="table" w:styleId="DarkList-Accent5">
    <w:name w:val="Dark List Accent 5"/>
    <w:basedOn w:val="TableNormal"/>
    <w:uiPriority w:val="70"/>
    <w:semiHidden/>
    <w:rsid w:val="00E45C9C"/>
    <w:pPr>
      <w:spacing w:before="0" w:after="0" w:line="240" w:lineRule="auto"/>
    </w:pPr>
    <w:rPr>
      <w:color w:val="FFFFFF" w:themeColor="background1"/>
    </w:rPr>
    <w:tblPr>
      <w:tblStyleRowBandSize w:val="1"/>
      <w:tblStyleColBandSize w:val="1"/>
    </w:tblPr>
    <w:tcPr>
      <w:shd w:val="clear" w:color="auto" w:fill="5AAA6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5531"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28049"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28049" w:themeFill="accent5" w:themeFillShade="BF"/>
      </w:tcPr>
    </w:tblStylePr>
    <w:tblStylePr w:type="band1Vert">
      <w:tblPr/>
      <w:tcPr>
        <w:tcBorders>
          <w:top w:val="nil"/>
          <w:left w:val="nil"/>
          <w:bottom w:val="nil"/>
          <w:right w:val="nil"/>
          <w:insideH w:val="nil"/>
          <w:insideV w:val="nil"/>
        </w:tcBorders>
        <w:shd w:val="clear" w:color="auto" w:fill="428049" w:themeFill="accent5" w:themeFillShade="BF"/>
      </w:tcPr>
    </w:tblStylePr>
    <w:tblStylePr w:type="band1Horz">
      <w:tblPr/>
      <w:tcPr>
        <w:tcBorders>
          <w:top w:val="nil"/>
          <w:left w:val="nil"/>
          <w:bottom w:val="nil"/>
          <w:right w:val="nil"/>
          <w:insideH w:val="nil"/>
          <w:insideV w:val="nil"/>
        </w:tcBorders>
        <w:shd w:val="clear" w:color="auto" w:fill="428049" w:themeFill="accent5" w:themeFillShade="BF"/>
      </w:tcPr>
    </w:tblStylePr>
  </w:style>
  <w:style w:type="table" w:styleId="DarkList-Accent6">
    <w:name w:val="Dark List Accent 6"/>
    <w:basedOn w:val="TableNormal"/>
    <w:uiPriority w:val="70"/>
    <w:semiHidden/>
    <w:rsid w:val="00E45C9C"/>
    <w:pPr>
      <w:spacing w:before="0" w:after="0" w:line="240" w:lineRule="auto"/>
    </w:pPr>
    <w:rPr>
      <w:color w:val="FFFFFF" w:themeColor="background1"/>
    </w:rPr>
    <w:tblPr>
      <w:tblStyleRowBandSize w:val="1"/>
      <w:tblStyleColBandSize w:val="1"/>
    </w:tblPr>
    <w:tcPr>
      <w:shd w:val="clear" w:color="auto" w:fill="E6643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2A1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C04018"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C04018" w:themeFill="accent6" w:themeFillShade="BF"/>
      </w:tcPr>
    </w:tblStylePr>
    <w:tblStylePr w:type="band1Vert">
      <w:tblPr/>
      <w:tcPr>
        <w:tcBorders>
          <w:top w:val="nil"/>
          <w:left w:val="nil"/>
          <w:bottom w:val="nil"/>
          <w:right w:val="nil"/>
          <w:insideH w:val="nil"/>
          <w:insideV w:val="nil"/>
        </w:tcBorders>
        <w:shd w:val="clear" w:color="auto" w:fill="C04018" w:themeFill="accent6" w:themeFillShade="BF"/>
      </w:tcPr>
    </w:tblStylePr>
    <w:tblStylePr w:type="band1Horz">
      <w:tblPr/>
      <w:tcPr>
        <w:tcBorders>
          <w:top w:val="nil"/>
          <w:left w:val="nil"/>
          <w:bottom w:val="nil"/>
          <w:right w:val="nil"/>
          <w:insideH w:val="nil"/>
          <w:insideV w:val="nil"/>
        </w:tcBorders>
        <w:shd w:val="clear" w:color="auto" w:fill="C04018" w:themeFill="accent6" w:themeFillShade="BF"/>
      </w:tcPr>
    </w:tblStylePr>
  </w:style>
  <w:style w:type="table" w:styleId="GridTable1Light">
    <w:name w:val="Grid Table 1 Light"/>
    <w:basedOn w:val="TableNormal"/>
    <w:uiPriority w:val="46"/>
    <w:semiHidden/>
    <w:rsid w:val="00E45C9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E45C9C"/>
    <w:pPr>
      <w:spacing w:after="0" w:line="240" w:lineRule="auto"/>
    </w:pPr>
    <w:tblPr>
      <w:tblStyleRowBandSize w:val="1"/>
      <w:tblStyleColBandSize w:val="1"/>
      <w:tblBorders>
        <w:top w:val="single" w:sz="4" w:space="0" w:color="93AABA" w:themeColor="accent1" w:themeTint="66"/>
        <w:left w:val="single" w:sz="4" w:space="0" w:color="93AABA" w:themeColor="accent1" w:themeTint="66"/>
        <w:bottom w:val="single" w:sz="4" w:space="0" w:color="93AABA" w:themeColor="accent1" w:themeTint="66"/>
        <w:right w:val="single" w:sz="4" w:space="0" w:color="93AABA" w:themeColor="accent1" w:themeTint="66"/>
        <w:insideH w:val="single" w:sz="4" w:space="0" w:color="93AABA" w:themeColor="accent1" w:themeTint="66"/>
        <w:insideV w:val="single" w:sz="4" w:space="0" w:color="93AABA" w:themeColor="accent1" w:themeTint="66"/>
      </w:tblBorders>
    </w:tblPr>
    <w:tblStylePr w:type="firstRow">
      <w:rPr>
        <w:b/>
        <w:bCs/>
      </w:rPr>
      <w:tblPr/>
      <w:tcPr>
        <w:tcBorders>
          <w:bottom w:val="single" w:sz="12" w:space="0" w:color="607F95" w:themeColor="accent1" w:themeTint="99"/>
        </w:tcBorders>
      </w:tcPr>
    </w:tblStylePr>
    <w:tblStylePr w:type="lastRow">
      <w:rPr>
        <w:b/>
        <w:bCs/>
      </w:rPr>
      <w:tblPr/>
      <w:tcPr>
        <w:tcBorders>
          <w:top w:val="double" w:sz="2" w:space="0" w:color="607F9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E45C9C"/>
    <w:pPr>
      <w:spacing w:after="0" w:line="240" w:lineRule="auto"/>
    </w:pPr>
    <w:tblPr>
      <w:tblStyleRowBandSize w:val="1"/>
      <w:tblStyleColBandSize w:val="1"/>
      <w:tblBorders>
        <w:top w:val="single" w:sz="4" w:space="0" w:color="68EBFF" w:themeColor="accent2" w:themeTint="66"/>
        <w:left w:val="single" w:sz="4" w:space="0" w:color="68EBFF" w:themeColor="accent2" w:themeTint="66"/>
        <w:bottom w:val="single" w:sz="4" w:space="0" w:color="68EBFF" w:themeColor="accent2" w:themeTint="66"/>
        <w:right w:val="single" w:sz="4" w:space="0" w:color="68EBFF" w:themeColor="accent2" w:themeTint="66"/>
        <w:insideH w:val="single" w:sz="4" w:space="0" w:color="68EBFF" w:themeColor="accent2" w:themeTint="66"/>
        <w:insideV w:val="single" w:sz="4" w:space="0" w:color="68EBFF" w:themeColor="accent2" w:themeTint="66"/>
      </w:tblBorders>
    </w:tblPr>
    <w:tblStylePr w:type="firstRow">
      <w:rPr>
        <w:b/>
        <w:bCs/>
      </w:rPr>
      <w:tblPr/>
      <w:tcPr>
        <w:tcBorders>
          <w:bottom w:val="single" w:sz="12" w:space="0" w:color="1DE1FF" w:themeColor="accent2" w:themeTint="99"/>
        </w:tcBorders>
      </w:tcPr>
    </w:tblStylePr>
    <w:tblStylePr w:type="lastRow">
      <w:rPr>
        <w:b/>
        <w:bCs/>
      </w:rPr>
      <w:tblPr/>
      <w:tcPr>
        <w:tcBorders>
          <w:top w:val="double" w:sz="2" w:space="0" w:color="1DE1F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E45C9C"/>
    <w:pPr>
      <w:spacing w:after="0" w:line="240" w:lineRule="auto"/>
    </w:pPr>
    <w:tblPr>
      <w:tblStyleRowBandSize w:val="1"/>
      <w:tblStyleColBandSize w:val="1"/>
      <w:tblBorders>
        <w:top w:val="single" w:sz="4" w:space="0" w:color="BDE2F7" w:themeColor="accent3" w:themeTint="66"/>
        <w:left w:val="single" w:sz="4" w:space="0" w:color="BDE2F7" w:themeColor="accent3" w:themeTint="66"/>
        <w:bottom w:val="single" w:sz="4" w:space="0" w:color="BDE2F7" w:themeColor="accent3" w:themeTint="66"/>
        <w:right w:val="single" w:sz="4" w:space="0" w:color="BDE2F7" w:themeColor="accent3" w:themeTint="66"/>
        <w:insideH w:val="single" w:sz="4" w:space="0" w:color="BDE2F7" w:themeColor="accent3" w:themeTint="66"/>
        <w:insideV w:val="single" w:sz="4" w:space="0" w:color="BDE2F7" w:themeColor="accent3" w:themeTint="66"/>
      </w:tblBorders>
    </w:tblPr>
    <w:tblStylePr w:type="firstRow">
      <w:rPr>
        <w:b/>
        <w:bCs/>
      </w:rPr>
      <w:tblPr/>
      <w:tcPr>
        <w:tcBorders>
          <w:bottom w:val="single" w:sz="12" w:space="0" w:color="9CD4F3" w:themeColor="accent3" w:themeTint="99"/>
        </w:tcBorders>
      </w:tcPr>
    </w:tblStylePr>
    <w:tblStylePr w:type="lastRow">
      <w:rPr>
        <w:b/>
        <w:bCs/>
      </w:rPr>
      <w:tblPr/>
      <w:tcPr>
        <w:tcBorders>
          <w:top w:val="double" w:sz="2" w:space="0" w:color="9CD4F3"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E45C9C"/>
    <w:pPr>
      <w:spacing w:after="0" w:line="240" w:lineRule="auto"/>
    </w:pPr>
    <w:tblPr>
      <w:tblStyleRowBandSize w:val="1"/>
      <w:tblStyleColBandSize w:val="1"/>
      <w:tblBorders>
        <w:top w:val="single" w:sz="4" w:space="0" w:color="6FB7FF" w:themeColor="accent4" w:themeTint="66"/>
        <w:left w:val="single" w:sz="4" w:space="0" w:color="6FB7FF" w:themeColor="accent4" w:themeTint="66"/>
        <w:bottom w:val="single" w:sz="4" w:space="0" w:color="6FB7FF" w:themeColor="accent4" w:themeTint="66"/>
        <w:right w:val="single" w:sz="4" w:space="0" w:color="6FB7FF" w:themeColor="accent4" w:themeTint="66"/>
        <w:insideH w:val="single" w:sz="4" w:space="0" w:color="6FB7FF" w:themeColor="accent4" w:themeTint="66"/>
        <w:insideV w:val="single" w:sz="4" w:space="0" w:color="6FB7FF" w:themeColor="accent4" w:themeTint="66"/>
      </w:tblBorders>
    </w:tblPr>
    <w:tblStylePr w:type="firstRow">
      <w:rPr>
        <w:b/>
        <w:bCs/>
      </w:rPr>
      <w:tblPr/>
      <w:tcPr>
        <w:tcBorders>
          <w:bottom w:val="single" w:sz="12" w:space="0" w:color="2793FF" w:themeColor="accent4" w:themeTint="99"/>
        </w:tcBorders>
      </w:tcPr>
    </w:tblStylePr>
    <w:tblStylePr w:type="lastRow">
      <w:rPr>
        <w:b/>
        <w:bCs/>
      </w:rPr>
      <w:tblPr/>
      <w:tcPr>
        <w:tcBorders>
          <w:top w:val="double" w:sz="2" w:space="0" w:color="2793FF"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E45C9C"/>
    <w:pPr>
      <w:spacing w:after="0" w:line="240" w:lineRule="auto"/>
    </w:pPr>
    <w:tblPr>
      <w:tblStyleRowBandSize w:val="1"/>
      <w:tblStyleColBandSize w:val="1"/>
      <w:tblBorders>
        <w:top w:val="single" w:sz="4" w:space="0" w:color="BDDDC0" w:themeColor="accent5" w:themeTint="66"/>
        <w:left w:val="single" w:sz="4" w:space="0" w:color="BDDDC0" w:themeColor="accent5" w:themeTint="66"/>
        <w:bottom w:val="single" w:sz="4" w:space="0" w:color="BDDDC0" w:themeColor="accent5" w:themeTint="66"/>
        <w:right w:val="single" w:sz="4" w:space="0" w:color="BDDDC0" w:themeColor="accent5" w:themeTint="66"/>
        <w:insideH w:val="single" w:sz="4" w:space="0" w:color="BDDDC0" w:themeColor="accent5" w:themeTint="66"/>
        <w:insideV w:val="single" w:sz="4" w:space="0" w:color="BDDDC0" w:themeColor="accent5" w:themeTint="66"/>
      </w:tblBorders>
    </w:tblPr>
    <w:tblStylePr w:type="firstRow">
      <w:rPr>
        <w:b/>
        <w:bCs/>
      </w:rPr>
      <w:tblPr/>
      <w:tcPr>
        <w:tcBorders>
          <w:bottom w:val="single" w:sz="12" w:space="0" w:color="9CCCA1" w:themeColor="accent5" w:themeTint="99"/>
        </w:tcBorders>
      </w:tcPr>
    </w:tblStylePr>
    <w:tblStylePr w:type="lastRow">
      <w:rPr>
        <w:b/>
        <w:bCs/>
      </w:rPr>
      <w:tblPr/>
      <w:tcPr>
        <w:tcBorders>
          <w:top w:val="double" w:sz="2" w:space="0" w:color="9CCCA1"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E45C9C"/>
    <w:pPr>
      <w:spacing w:after="0" w:line="240" w:lineRule="auto"/>
    </w:pPr>
    <w:tblPr>
      <w:tblStyleRowBandSize w:val="1"/>
      <w:tblStyleColBandSize w:val="1"/>
      <w:tblBorders>
        <w:top w:val="single" w:sz="4" w:space="0" w:color="F5C1B1" w:themeColor="accent6" w:themeTint="66"/>
        <w:left w:val="single" w:sz="4" w:space="0" w:color="F5C1B1" w:themeColor="accent6" w:themeTint="66"/>
        <w:bottom w:val="single" w:sz="4" w:space="0" w:color="F5C1B1" w:themeColor="accent6" w:themeTint="66"/>
        <w:right w:val="single" w:sz="4" w:space="0" w:color="F5C1B1" w:themeColor="accent6" w:themeTint="66"/>
        <w:insideH w:val="single" w:sz="4" w:space="0" w:color="F5C1B1" w:themeColor="accent6" w:themeTint="66"/>
        <w:insideV w:val="single" w:sz="4" w:space="0" w:color="F5C1B1" w:themeColor="accent6" w:themeTint="66"/>
      </w:tblBorders>
    </w:tblPr>
    <w:tblStylePr w:type="firstRow">
      <w:rPr>
        <w:b/>
        <w:bCs/>
      </w:rPr>
      <w:tblPr/>
      <w:tcPr>
        <w:tcBorders>
          <w:bottom w:val="single" w:sz="12" w:space="0" w:color="F0A28A" w:themeColor="accent6" w:themeTint="99"/>
        </w:tcBorders>
      </w:tcPr>
    </w:tblStylePr>
    <w:tblStylePr w:type="lastRow">
      <w:rPr>
        <w:b/>
        <w:bCs/>
      </w:rPr>
      <w:tblPr/>
      <w:tcPr>
        <w:tcBorders>
          <w:top w:val="double" w:sz="2" w:space="0" w:color="F0A28A"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E45C9C"/>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E45C9C"/>
    <w:pPr>
      <w:spacing w:after="0" w:line="240" w:lineRule="auto"/>
    </w:pPr>
    <w:tblPr>
      <w:tblStyleRowBandSize w:val="1"/>
      <w:tblStyleColBandSize w:val="1"/>
      <w:tblBorders>
        <w:top w:val="single" w:sz="2" w:space="0" w:color="607F95" w:themeColor="accent1" w:themeTint="99"/>
        <w:bottom w:val="single" w:sz="2" w:space="0" w:color="607F95" w:themeColor="accent1" w:themeTint="99"/>
        <w:insideH w:val="single" w:sz="2" w:space="0" w:color="607F95" w:themeColor="accent1" w:themeTint="99"/>
        <w:insideV w:val="single" w:sz="2" w:space="0" w:color="607F95" w:themeColor="accent1" w:themeTint="99"/>
      </w:tblBorders>
    </w:tblPr>
    <w:tblStylePr w:type="firstRow">
      <w:rPr>
        <w:b/>
        <w:bCs/>
      </w:rPr>
      <w:tblPr/>
      <w:tcPr>
        <w:tcBorders>
          <w:top w:val="nil"/>
          <w:bottom w:val="single" w:sz="12" w:space="0" w:color="607F95" w:themeColor="accent1" w:themeTint="99"/>
          <w:insideH w:val="nil"/>
          <w:insideV w:val="nil"/>
        </w:tcBorders>
        <w:shd w:val="clear" w:color="auto" w:fill="FFFFFF" w:themeFill="background1"/>
      </w:tcPr>
    </w:tblStylePr>
    <w:tblStylePr w:type="lastRow">
      <w:rPr>
        <w:b/>
        <w:bCs/>
      </w:rPr>
      <w:tblPr/>
      <w:tcPr>
        <w:tcBorders>
          <w:top w:val="double" w:sz="2" w:space="0" w:color="607F9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9D4DC" w:themeFill="accent1" w:themeFillTint="33"/>
      </w:tcPr>
    </w:tblStylePr>
    <w:tblStylePr w:type="band1Horz">
      <w:tblPr/>
      <w:tcPr>
        <w:shd w:val="clear" w:color="auto" w:fill="C9D4DC" w:themeFill="accent1" w:themeFillTint="33"/>
      </w:tcPr>
    </w:tblStylePr>
  </w:style>
  <w:style w:type="table" w:styleId="GridTable2-Accent2">
    <w:name w:val="Grid Table 2 Accent 2"/>
    <w:basedOn w:val="TableNormal"/>
    <w:uiPriority w:val="47"/>
    <w:semiHidden/>
    <w:rsid w:val="00E45C9C"/>
    <w:pPr>
      <w:spacing w:after="0" w:line="240" w:lineRule="auto"/>
    </w:pPr>
    <w:tblPr>
      <w:tblStyleRowBandSize w:val="1"/>
      <w:tblStyleColBandSize w:val="1"/>
      <w:tblBorders>
        <w:top w:val="single" w:sz="2" w:space="0" w:color="1DE1FF" w:themeColor="accent2" w:themeTint="99"/>
        <w:bottom w:val="single" w:sz="2" w:space="0" w:color="1DE1FF" w:themeColor="accent2" w:themeTint="99"/>
        <w:insideH w:val="single" w:sz="2" w:space="0" w:color="1DE1FF" w:themeColor="accent2" w:themeTint="99"/>
        <w:insideV w:val="single" w:sz="2" w:space="0" w:color="1DE1FF" w:themeColor="accent2" w:themeTint="99"/>
      </w:tblBorders>
    </w:tblPr>
    <w:tblStylePr w:type="firstRow">
      <w:rPr>
        <w:b/>
        <w:bCs/>
      </w:rPr>
      <w:tblPr/>
      <w:tcPr>
        <w:tcBorders>
          <w:top w:val="nil"/>
          <w:bottom w:val="single" w:sz="12" w:space="0" w:color="1DE1FF" w:themeColor="accent2" w:themeTint="99"/>
          <w:insideH w:val="nil"/>
          <w:insideV w:val="nil"/>
        </w:tcBorders>
        <w:shd w:val="clear" w:color="auto" w:fill="FFFFFF" w:themeFill="background1"/>
      </w:tcPr>
    </w:tblStylePr>
    <w:tblStylePr w:type="lastRow">
      <w:rPr>
        <w:b/>
        <w:bCs/>
      </w:rPr>
      <w:tblPr/>
      <w:tcPr>
        <w:tcBorders>
          <w:top w:val="double" w:sz="2" w:space="0" w:color="1DE1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3F5FF" w:themeFill="accent2" w:themeFillTint="33"/>
      </w:tcPr>
    </w:tblStylePr>
    <w:tblStylePr w:type="band1Horz">
      <w:tblPr/>
      <w:tcPr>
        <w:shd w:val="clear" w:color="auto" w:fill="B3F5FF" w:themeFill="accent2" w:themeFillTint="33"/>
      </w:tcPr>
    </w:tblStylePr>
  </w:style>
  <w:style w:type="table" w:styleId="GridTable2-Accent3">
    <w:name w:val="Grid Table 2 Accent 3"/>
    <w:basedOn w:val="TableNormal"/>
    <w:uiPriority w:val="47"/>
    <w:semiHidden/>
    <w:rsid w:val="00E45C9C"/>
    <w:pPr>
      <w:spacing w:after="0" w:line="240" w:lineRule="auto"/>
    </w:pPr>
    <w:tblPr>
      <w:tblStyleRowBandSize w:val="1"/>
      <w:tblStyleColBandSize w:val="1"/>
      <w:tblBorders>
        <w:top w:val="single" w:sz="2" w:space="0" w:color="9CD4F3" w:themeColor="accent3" w:themeTint="99"/>
        <w:bottom w:val="single" w:sz="2" w:space="0" w:color="9CD4F3" w:themeColor="accent3" w:themeTint="99"/>
        <w:insideH w:val="single" w:sz="2" w:space="0" w:color="9CD4F3" w:themeColor="accent3" w:themeTint="99"/>
        <w:insideV w:val="single" w:sz="2" w:space="0" w:color="9CD4F3" w:themeColor="accent3" w:themeTint="99"/>
      </w:tblBorders>
    </w:tblPr>
    <w:tblStylePr w:type="firstRow">
      <w:rPr>
        <w:b/>
        <w:bCs/>
      </w:rPr>
      <w:tblPr/>
      <w:tcPr>
        <w:tcBorders>
          <w:top w:val="nil"/>
          <w:bottom w:val="single" w:sz="12" w:space="0" w:color="9CD4F3" w:themeColor="accent3" w:themeTint="99"/>
          <w:insideH w:val="nil"/>
          <w:insideV w:val="nil"/>
        </w:tcBorders>
        <w:shd w:val="clear" w:color="auto" w:fill="FFFFFF" w:themeFill="background1"/>
      </w:tcPr>
    </w:tblStylePr>
    <w:tblStylePr w:type="lastRow">
      <w:rPr>
        <w:b/>
        <w:bCs/>
      </w:rPr>
      <w:tblPr/>
      <w:tcPr>
        <w:tcBorders>
          <w:top w:val="double" w:sz="2" w:space="0" w:color="9CD4F3"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F0FB" w:themeFill="accent3" w:themeFillTint="33"/>
      </w:tcPr>
    </w:tblStylePr>
    <w:tblStylePr w:type="band1Horz">
      <w:tblPr/>
      <w:tcPr>
        <w:shd w:val="clear" w:color="auto" w:fill="DEF0FB" w:themeFill="accent3" w:themeFillTint="33"/>
      </w:tcPr>
    </w:tblStylePr>
  </w:style>
  <w:style w:type="table" w:styleId="GridTable2-Accent4">
    <w:name w:val="Grid Table 2 Accent 4"/>
    <w:basedOn w:val="TableNormal"/>
    <w:uiPriority w:val="47"/>
    <w:semiHidden/>
    <w:rsid w:val="00E45C9C"/>
    <w:pPr>
      <w:spacing w:after="0" w:line="240" w:lineRule="auto"/>
    </w:pPr>
    <w:tblPr>
      <w:tblStyleRowBandSize w:val="1"/>
      <w:tblStyleColBandSize w:val="1"/>
      <w:tblBorders>
        <w:top w:val="single" w:sz="2" w:space="0" w:color="2793FF" w:themeColor="accent4" w:themeTint="99"/>
        <w:bottom w:val="single" w:sz="2" w:space="0" w:color="2793FF" w:themeColor="accent4" w:themeTint="99"/>
        <w:insideH w:val="single" w:sz="2" w:space="0" w:color="2793FF" w:themeColor="accent4" w:themeTint="99"/>
        <w:insideV w:val="single" w:sz="2" w:space="0" w:color="2793FF" w:themeColor="accent4" w:themeTint="99"/>
      </w:tblBorders>
    </w:tblPr>
    <w:tblStylePr w:type="firstRow">
      <w:rPr>
        <w:b/>
        <w:bCs/>
      </w:rPr>
      <w:tblPr/>
      <w:tcPr>
        <w:tcBorders>
          <w:top w:val="nil"/>
          <w:bottom w:val="single" w:sz="12" w:space="0" w:color="2793FF" w:themeColor="accent4" w:themeTint="99"/>
          <w:insideH w:val="nil"/>
          <w:insideV w:val="nil"/>
        </w:tcBorders>
        <w:shd w:val="clear" w:color="auto" w:fill="FFFFFF" w:themeFill="background1"/>
      </w:tcPr>
    </w:tblStylePr>
    <w:tblStylePr w:type="lastRow">
      <w:rPr>
        <w:b/>
        <w:bCs/>
      </w:rPr>
      <w:tblPr/>
      <w:tcPr>
        <w:tcBorders>
          <w:top w:val="double" w:sz="2" w:space="0" w:color="2793FF"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4" w:themeFillTint="33"/>
      </w:tcPr>
    </w:tblStylePr>
    <w:tblStylePr w:type="band1Horz">
      <w:tblPr/>
      <w:tcPr>
        <w:shd w:val="clear" w:color="auto" w:fill="B7DBFF" w:themeFill="accent4" w:themeFillTint="33"/>
      </w:tcPr>
    </w:tblStylePr>
  </w:style>
  <w:style w:type="table" w:styleId="GridTable2-Accent5">
    <w:name w:val="Grid Table 2 Accent 5"/>
    <w:basedOn w:val="TableNormal"/>
    <w:uiPriority w:val="47"/>
    <w:semiHidden/>
    <w:rsid w:val="00E45C9C"/>
    <w:pPr>
      <w:spacing w:after="0" w:line="240" w:lineRule="auto"/>
    </w:pPr>
    <w:tblPr>
      <w:tblStyleRowBandSize w:val="1"/>
      <w:tblStyleColBandSize w:val="1"/>
      <w:tblBorders>
        <w:top w:val="single" w:sz="2" w:space="0" w:color="9CCCA1" w:themeColor="accent5" w:themeTint="99"/>
        <w:bottom w:val="single" w:sz="2" w:space="0" w:color="9CCCA1" w:themeColor="accent5" w:themeTint="99"/>
        <w:insideH w:val="single" w:sz="2" w:space="0" w:color="9CCCA1" w:themeColor="accent5" w:themeTint="99"/>
        <w:insideV w:val="single" w:sz="2" w:space="0" w:color="9CCCA1" w:themeColor="accent5" w:themeTint="99"/>
      </w:tblBorders>
    </w:tblPr>
    <w:tblStylePr w:type="firstRow">
      <w:rPr>
        <w:b/>
        <w:bCs/>
      </w:rPr>
      <w:tblPr/>
      <w:tcPr>
        <w:tcBorders>
          <w:top w:val="nil"/>
          <w:bottom w:val="single" w:sz="12" w:space="0" w:color="9CCCA1" w:themeColor="accent5" w:themeTint="99"/>
          <w:insideH w:val="nil"/>
          <w:insideV w:val="nil"/>
        </w:tcBorders>
        <w:shd w:val="clear" w:color="auto" w:fill="FFFFFF" w:themeFill="background1"/>
      </w:tcPr>
    </w:tblStylePr>
    <w:tblStylePr w:type="lastRow">
      <w:rPr>
        <w:b/>
        <w:bCs/>
      </w:rPr>
      <w:tblPr/>
      <w:tcPr>
        <w:tcBorders>
          <w:top w:val="double" w:sz="2" w:space="0" w:color="9CCCA1"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EDF" w:themeFill="accent5" w:themeFillTint="33"/>
      </w:tcPr>
    </w:tblStylePr>
    <w:tblStylePr w:type="band1Horz">
      <w:tblPr/>
      <w:tcPr>
        <w:shd w:val="clear" w:color="auto" w:fill="DEEEDF" w:themeFill="accent5" w:themeFillTint="33"/>
      </w:tcPr>
    </w:tblStylePr>
  </w:style>
  <w:style w:type="table" w:styleId="GridTable2-Accent6">
    <w:name w:val="Grid Table 2 Accent 6"/>
    <w:basedOn w:val="TableNormal"/>
    <w:uiPriority w:val="47"/>
    <w:semiHidden/>
    <w:rsid w:val="00E45C9C"/>
    <w:pPr>
      <w:spacing w:after="0" w:line="240" w:lineRule="auto"/>
    </w:pPr>
    <w:tblPr>
      <w:tblStyleRowBandSize w:val="1"/>
      <w:tblStyleColBandSize w:val="1"/>
      <w:tblBorders>
        <w:top w:val="single" w:sz="2" w:space="0" w:color="F0A28A" w:themeColor="accent6" w:themeTint="99"/>
        <w:bottom w:val="single" w:sz="2" w:space="0" w:color="F0A28A" w:themeColor="accent6" w:themeTint="99"/>
        <w:insideH w:val="single" w:sz="2" w:space="0" w:color="F0A28A" w:themeColor="accent6" w:themeTint="99"/>
        <w:insideV w:val="single" w:sz="2" w:space="0" w:color="F0A28A" w:themeColor="accent6" w:themeTint="99"/>
      </w:tblBorders>
    </w:tblPr>
    <w:tblStylePr w:type="firstRow">
      <w:rPr>
        <w:b/>
        <w:bCs/>
      </w:rPr>
      <w:tblPr/>
      <w:tcPr>
        <w:tcBorders>
          <w:top w:val="nil"/>
          <w:bottom w:val="single" w:sz="12" w:space="0" w:color="F0A28A" w:themeColor="accent6" w:themeTint="99"/>
          <w:insideH w:val="nil"/>
          <w:insideV w:val="nil"/>
        </w:tcBorders>
        <w:shd w:val="clear" w:color="auto" w:fill="FFFFFF" w:themeFill="background1"/>
      </w:tcPr>
    </w:tblStylePr>
    <w:tblStylePr w:type="lastRow">
      <w:rPr>
        <w:b/>
        <w:bCs/>
      </w:rPr>
      <w:tblPr/>
      <w:tcPr>
        <w:tcBorders>
          <w:top w:val="double" w:sz="2" w:space="0" w:color="F0A28A"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0D8" w:themeFill="accent6" w:themeFillTint="33"/>
      </w:tcPr>
    </w:tblStylePr>
    <w:tblStylePr w:type="band1Horz">
      <w:tblPr/>
      <w:tcPr>
        <w:shd w:val="clear" w:color="auto" w:fill="FAE0D8" w:themeFill="accent6" w:themeFillTint="33"/>
      </w:tcPr>
    </w:tblStylePr>
  </w:style>
  <w:style w:type="table" w:styleId="GridTable3">
    <w:name w:val="Grid Table 3"/>
    <w:basedOn w:val="TableNormal"/>
    <w:uiPriority w:val="48"/>
    <w:semiHidden/>
    <w:rsid w:val="00E45C9C"/>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E45C9C"/>
    <w:pPr>
      <w:spacing w:after="0" w:line="240" w:lineRule="auto"/>
    </w:pPr>
    <w:tblPr>
      <w:tblStyleRowBandSize w:val="1"/>
      <w:tblStyleColBandSize w:val="1"/>
      <w:tblBorders>
        <w:top w:val="single" w:sz="4" w:space="0" w:color="607F95" w:themeColor="accent1" w:themeTint="99"/>
        <w:left w:val="single" w:sz="4" w:space="0" w:color="607F95" w:themeColor="accent1" w:themeTint="99"/>
        <w:bottom w:val="single" w:sz="4" w:space="0" w:color="607F95" w:themeColor="accent1" w:themeTint="99"/>
        <w:right w:val="single" w:sz="4" w:space="0" w:color="607F95" w:themeColor="accent1" w:themeTint="99"/>
        <w:insideH w:val="single" w:sz="4" w:space="0" w:color="607F95" w:themeColor="accent1" w:themeTint="99"/>
        <w:insideV w:val="single" w:sz="4" w:space="0" w:color="607F9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9D4DC" w:themeFill="accent1" w:themeFillTint="33"/>
      </w:tcPr>
    </w:tblStylePr>
    <w:tblStylePr w:type="band1Horz">
      <w:tblPr/>
      <w:tcPr>
        <w:shd w:val="clear" w:color="auto" w:fill="C9D4DC" w:themeFill="accent1" w:themeFillTint="33"/>
      </w:tcPr>
    </w:tblStylePr>
    <w:tblStylePr w:type="neCell">
      <w:tblPr/>
      <w:tcPr>
        <w:tcBorders>
          <w:bottom w:val="single" w:sz="4" w:space="0" w:color="607F95" w:themeColor="accent1" w:themeTint="99"/>
        </w:tcBorders>
      </w:tcPr>
    </w:tblStylePr>
    <w:tblStylePr w:type="nwCell">
      <w:tblPr/>
      <w:tcPr>
        <w:tcBorders>
          <w:bottom w:val="single" w:sz="4" w:space="0" w:color="607F95" w:themeColor="accent1" w:themeTint="99"/>
        </w:tcBorders>
      </w:tcPr>
    </w:tblStylePr>
    <w:tblStylePr w:type="seCell">
      <w:tblPr/>
      <w:tcPr>
        <w:tcBorders>
          <w:top w:val="single" w:sz="4" w:space="0" w:color="607F95" w:themeColor="accent1" w:themeTint="99"/>
        </w:tcBorders>
      </w:tcPr>
    </w:tblStylePr>
    <w:tblStylePr w:type="swCell">
      <w:tblPr/>
      <w:tcPr>
        <w:tcBorders>
          <w:top w:val="single" w:sz="4" w:space="0" w:color="607F95" w:themeColor="accent1" w:themeTint="99"/>
        </w:tcBorders>
      </w:tcPr>
    </w:tblStylePr>
  </w:style>
  <w:style w:type="table" w:styleId="GridTable3-Accent2">
    <w:name w:val="Grid Table 3 Accent 2"/>
    <w:basedOn w:val="TableNormal"/>
    <w:uiPriority w:val="48"/>
    <w:semiHidden/>
    <w:rsid w:val="00E45C9C"/>
    <w:pPr>
      <w:spacing w:after="0" w:line="240" w:lineRule="auto"/>
    </w:pPr>
    <w:tblPr>
      <w:tblStyleRowBandSize w:val="1"/>
      <w:tblStyleColBandSize w:val="1"/>
      <w:tblBorders>
        <w:top w:val="single" w:sz="4" w:space="0" w:color="1DE1FF" w:themeColor="accent2" w:themeTint="99"/>
        <w:left w:val="single" w:sz="4" w:space="0" w:color="1DE1FF" w:themeColor="accent2" w:themeTint="99"/>
        <w:bottom w:val="single" w:sz="4" w:space="0" w:color="1DE1FF" w:themeColor="accent2" w:themeTint="99"/>
        <w:right w:val="single" w:sz="4" w:space="0" w:color="1DE1FF" w:themeColor="accent2" w:themeTint="99"/>
        <w:insideH w:val="single" w:sz="4" w:space="0" w:color="1DE1FF" w:themeColor="accent2" w:themeTint="99"/>
        <w:insideV w:val="single" w:sz="4" w:space="0" w:color="1DE1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3F5FF" w:themeFill="accent2" w:themeFillTint="33"/>
      </w:tcPr>
    </w:tblStylePr>
    <w:tblStylePr w:type="band1Horz">
      <w:tblPr/>
      <w:tcPr>
        <w:shd w:val="clear" w:color="auto" w:fill="B3F5FF" w:themeFill="accent2" w:themeFillTint="33"/>
      </w:tcPr>
    </w:tblStylePr>
    <w:tblStylePr w:type="neCell">
      <w:tblPr/>
      <w:tcPr>
        <w:tcBorders>
          <w:bottom w:val="single" w:sz="4" w:space="0" w:color="1DE1FF" w:themeColor="accent2" w:themeTint="99"/>
        </w:tcBorders>
      </w:tcPr>
    </w:tblStylePr>
    <w:tblStylePr w:type="nwCell">
      <w:tblPr/>
      <w:tcPr>
        <w:tcBorders>
          <w:bottom w:val="single" w:sz="4" w:space="0" w:color="1DE1FF" w:themeColor="accent2" w:themeTint="99"/>
        </w:tcBorders>
      </w:tcPr>
    </w:tblStylePr>
    <w:tblStylePr w:type="seCell">
      <w:tblPr/>
      <w:tcPr>
        <w:tcBorders>
          <w:top w:val="single" w:sz="4" w:space="0" w:color="1DE1FF" w:themeColor="accent2" w:themeTint="99"/>
        </w:tcBorders>
      </w:tcPr>
    </w:tblStylePr>
    <w:tblStylePr w:type="swCell">
      <w:tblPr/>
      <w:tcPr>
        <w:tcBorders>
          <w:top w:val="single" w:sz="4" w:space="0" w:color="1DE1FF" w:themeColor="accent2" w:themeTint="99"/>
        </w:tcBorders>
      </w:tcPr>
    </w:tblStylePr>
  </w:style>
  <w:style w:type="table" w:styleId="GridTable3-Accent3">
    <w:name w:val="Grid Table 3 Accent 3"/>
    <w:basedOn w:val="TableNormal"/>
    <w:uiPriority w:val="48"/>
    <w:semiHidden/>
    <w:rsid w:val="00E45C9C"/>
    <w:pPr>
      <w:spacing w:after="0" w:line="240" w:lineRule="auto"/>
    </w:pPr>
    <w:tblPr>
      <w:tblStyleRowBandSize w:val="1"/>
      <w:tblStyleColBandSize w:val="1"/>
      <w:tblBorders>
        <w:top w:val="single" w:sz="4" w:space="0" w:color="9CD4F3" w:themeColor="accent3" w:themeTint="99"/>
        <w:left w:val="single" w:sz="4" w:space="0" w:color="9CD4F3" w:themeColor="accent3" w:themeTint="99"/>
        <w:bottom w:val="single" w:sz="4" w:space="0" w:color="9CD4F3" w:themeColor="accent3" w:themeTint="99"/>
        <w:right w:val="single" w:sz="4" w:space="0" w:color="9CD4F3" w:themeColor="accent3" w:themeTint="99"/>
        <w:insideH w:val="single" w:sz="4" w:space="0" w:color="9CD4F3" w:themeColor="accent3" w:themeTint="99"/>
        <w:insideV w:val="single" w:sz="4" w:space="0" w:color="9CD4F3"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F0FB" w:themeFill="accent3" w:themeFillTint="33"/>
      </w:tcPr>
    </w:tblStylePr>
    <w:tblStylePr w:type="band1Horz">
      <w:tblPr/>
      <w:tcPr>
        <w:shd w:val="clear" w:color="auto" w:fill="DEF0FB" w:themeFill="accent3" w:themeFillTint="33"/>
      </w:tcPr>
    </w:tblStylePr>
    <w:tblStylePr w:type="neCell">
      <w:tblPr/>
      <w:tcPr>
        <w:tcBorders>
          <w:bottom w:val="single" w:sz="4" w:space="0" w:color="9CD4F3" w:themeColor="accent3" w:themeTint="99"/>
        </w:tcBorders>
      </w:tcPr>
    </w:tblStylePr>
    <w:tblStylePr w:type="nwCell">
      <w:tblPr/>
      <w:tcPr>
        <w:tcBorders>
          <w:bottom w:val="single" w:sz="4" w:space="0" w:color="9CD4F3" w:themeColor="accent3" w:themeTint="99"/>
        </w:tcBorders>
      </w:tcPr>
    </w:tblStylePr>
    <w:tblStylePr w:type="seCell">
      <w:tblPr/>
      <w:tcPr>
        <w:tcBorders>
          <w:top w:val="single" w:sz="4" w:space="0" w:color="9CD4F3" w:themeColor="accent3" w:themeTint="99"/>
        </w:tcBorders>
      </w:tcPr>
    </w:tblStylePr>
    <w:tblStylePr w:type="swCell">
      <w:tblPr/>
      <w:tcPr>
        <w:tcBorders>
          <w:top w:val="single" w:sz="4" w:space="0" w:color="9CD4F3" w:themeColor="accent3" w:themeTint="99"/>
        </w:tcBorders>
      </w:tcPr>
    </w:tblStylePr>
  </w:style>
  <w:style w:type="table" w:styleId="GridTable3-Accent4">
    <w:name w:val="Grid Table 3 Accent 4"/>
    <w:basedOn w:val="TableNormal"/>
    <w:uiPriority w:val="48"/>
    <w:semiHidden/>
    <w:rsid w:val="00E45C9C"/>
    <w:pPr>
      <w:spacing w:after="0" w:line="240" w:lineRule="auto"/>
    </w:pPr>
    <w:tblPr>
      <w:tblStyleRowBandSize w:val="1"/>
      <w:tblStyleColBandSize w:val="1"/>
      <w:tblBorders>
        <w:top w:val="single" w:sz="4" w:space="0" w:color="2793FF" w:themeColor="accent4" w:themeTint="99"/>
        <w:left w:val="single" w:sz="4" w:space="0" w:color="2793FF" w:themeColor="accent4" w:themeTint="99"/>
        <w:bottom w:val="single" w:sz="4" w:space="0" w:color="2793FF" w:themeColor="accent4" w:themeTint="99"/>
        <w:right w:val="single" w:sz="4" w:space="0" w:color="2793FF" w:themeColor="accent4" w:themeTint="99"/>
        <w:insideH w:val="single" w:sz="4" w:space="0" w:color="2793FF" w:themeColor="accent4" w:themeTint="99"/>
        <w:insideV w:val="single" w:sz="4" w:space="0" w:color="2793F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4" w:themeFillTint="33"/>
      </w:tcPr>
    </w:tblStylePr>
    <w:tblStylePr w:type="band1Horz">
      <w:tblPr/>
      <w:tcPr>
        <w:shd w:val="clear" w:color="auto" w:fill="B7DBFF" w:themeFill="accent4" w:themeFillTint="33"/>
      </w:tcPr>
    </w:tblStylePr>
    <w:tblStylePr w:type="neCell">
      <w:tblPr/>
      <w:tcPr>
        <w:tcBorders>
          <w:bottom w:val="single" w:sz="4" w:space="0" w:color="2793FF" w:themeColor="accent4" w:themeTint="99"/>
        </w:tcBorders>
      </w:tcPr>
    </w:tblStylePr>
    <w:tblStylePr w:type="nwCell">
      <w:tblPr/>
      <w:tcPr>
        <w:tcBorders>
          <w:bottom w:val="single" w:sz="4" w:space="0" w:color="2793FF" w:themeColor="accent4" w:themeTint="99"/>
        </w:tcBorders>
      </w:tcPr>
    </w:tblStylePr>
    <w:tblStylePr w:type="seCell">
      <w:tblPr/>
      <w:tcPr>
        <w:tcBorders>
          <w:top w:val="single" w:sz="4" w:space="0" w:color="2793FF" w:themeColor="accent4" w:themeTint="99"/>
        </w:tcBorders>
      </w:tcPr>
    </w:tblStylePr>
    <w:tblStylePr w:type="swCell">
      <w:tblPr/>
      <w:tcPr>
        <w:tcBorders>
          <w:top w:val="single" w:sz="4" w:space="0" w:color="2793FF" w:themeColor="accent4" w:themeTint="99"/>
        </w:tcBorders>
      </w:tcPr>
    </w:tblStylePr>
  </w:style>
  <w:style w:type="table" w:styleId="GridTable3-Accent5">
    <w:name w:val="Grid Table 3 Accent 5"/>
    <w:basedOn w:val="TableNormal"/>
    <w:uiPriority w:val="48"/>
    <w:semiHidden/>
    <w:rsid w:val="00E45C9C"/>
    <w:pPr>
      <w:spacing w:after="0" w:line="240" w:lineRule="auto"/>
    </w:pPr>
    <w:tblPr>
      <w:tblStyleRowBandSize w:val="1"/>
      <w:tblStyleColBandSize w:val="1"/>
      <w:tblBorders>
        <w:top w:val="single" w:sz="4" w:space="0" w:color="9CCCA1" w:themeColor="accent5" w:themeTint="99"/>
        <w:left w:val="single" w:sz="4" w:space="0" w:color="9CCCA1" w:themeColor="accent5" w:themeTint="99"/>
        <w:bottom w:val="single" w:sz="4" w:space="0" w:color="9CCCA1" w:themeColor="accent5" w:themeTint="99"/>
        <w:right w:val="single" w:sz="4" w:space="0" w:color="9CCCA1" w:themeColor="accent5" w:themeTint="99"/>
        <w:insideH w:val="single" w:sz="4" w:space="0" w:color="9CCCA1" w:themeColor="accent5" w:themeTint="99"/>
        <w:insideV w:val="single" w:sz="4" w:space="0" w:color="9CCCA1"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EDF" w:themeFill="accent5" w:themeFillTint="33"/>
      </w:tcPr>
    </w:tblStylePr>
    <w:tblStylePr w:type="band1Horz">
      <w:tblPr/>
      <w:tcPr>
        <w:shd w:val="clear" w:color="auto" w:fill="DEEEDF" w:themeFill="accent5" w:themeFillTint="33"/>
      </w:tcPr>
    </w:tblStylePr>
    <w:tblStylePr w:type="neCell">
      <w:tblPr/>
      <w:tcPr>
        <w:tcBorders>
          <w:bottom w:val="single" w:sz="4" w:space="0" w:color="9CCCA1" w:themeColor="accent5" w:themeTint="99"/>
        </w:tcBorders>
      </w:tcPr>
    </w:tblStylePr>
    <w:tblStylePr w:type="nwCell">
      <w:tblPr/>
      <w:tcPr>
        <w:tcBorders>
          <w:bottom w:val="single" w:sz="4" w:space="0" w:color="9CCCA1" w:themeColor="accent5" w:themeTint="99"/>
        </w:tcBorders>
      </w:tcPr>
    </w:tblStylePr>
    <w:tblStylePr w:type="seCell">
      <w:tblPr/>
      <w:tcPr>
        <w:tcBorders>
          <w:top w:val="single" w:sz="4" w:space="0" w:color="9CCCA1" w:themeColor="accent5" w:themeTint="99"/>
        </w:tcBorders>
      </w:tcPr>
    </w:tblStylePr>
    <w:tblStylePr w:type="swCell">
      <w:tblPr/>
      <w:tcPr>
        <w:tcBorders>
          <w:top w:val="single" w:sz="4" w:space="0" w:color="9CCCA1" w:themeColor="accent5" w:themeTint="99"/>
        </w:tcBorders>
      </w:tcPr>
    </w:tblStylePr>
  </w:style>
  <w:style w:type="table" w:styleId="GridTable3-Accent6">
    <w:name w:val="Grid Table 3 Accent 6"/>
    <w:basedOn w:val="TableNormal"/>
    <w:uiPriority w:val="48"/>
    <w:semiHidden/>
    <w:rsid w:val="00E45C9C"/>
    <w:pPr>
      <w:spacing w:after="0" w:line="240" w:lineRule="auto"/>
    </w:pPr>
    <w:tblPr>
      <w:tblStyleRowBandSize w:val="1"/>
      <w:tblStyleColBandSize w:val="1"/>
      <w:tblBorders>
        <w:top w:val="single" w:sz="4" w:space="0" w:color="F0A28A" w:themeColor="accent6" w:themeTint="99"/>
        <w:left w:val="single" w:sz="4" w:space="0" w:color="F0A28A" w:themeColor="accent6" w:themeTint="99"/>
        <w:bottom w:val="single" w:sz="4" w:space="0" w:color="F0A28A" w:themeColor="accent6" w:themeTint="99"/>
        <w:right w:val="single" w:sz="4" w:space="0" w:color="F0A28A" w:themeColor="accent6" w:themeTint="99"/>
        <w:insideH w:val="single" w:sz="4" w:space="0" w:color="F0A28A" w:themeColor="accent6" w:themeTint="99"/>
        <w:insideV w:val="single" w:sz="4" w:space="0" w:color="F0A28A"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0D8" w:themeFill="accent6" w:themeFillTint="33"/>
      </w:tcPr>
    </w:tblStylePr>
    <w:tblStylePr w:type="band1Horz">
      <w:tblPr/>
      <w:tcPr>
        <w:shd w:val="clear" w:color="auto" w:fill="FAE0D8" w:themeFill="accent6" w:themeFillTint="33"/>
      </w:tcPr>
    </w:tblStylePr>
    <w:tblStylePr w:type="neCell">
      <w:tblPr/>
      <w:tcPr>
        <w:tcBorders>
          <w:bottom w:val="single" w:sz="4" w:space="0" w:color="F0A28A" w:themeColor="accent6" w:themeTint="99"/>
        </w:tcBorders>
      </w:tcPr>
    </w:tblStylePr>
    <w:tblStylePr w:type="nwCell">
      <w:tblPr/>
      <w:tcPr>
        <w:tcBorders>
          <w:bottom w:val="single" w:sz="4" w:space="0" w:color="F0A28A" w:themeColor="accent6" w:themeTint="99"/>
        </w:tcBorders>
      </w:tcPr>
    </w:tblStylePr>
    <w:tblStylePr w:type="seCell">
      <w:tblPr/>
      <w:tcPr>
        <w:tcBorders>
          <w:top w:val="single" w:sz="4" w:space="0" w:color="F0A28A" w:themeColor="accent6" w:themeTint="99"/>
        </w:tcBorders>
      </w:tcPr>
    </w:tblStylePr>
    <w:tblStylePr w:type="swCell">
      <w:tblPr/>
      <w:tcPr>
        <w:tcBorders>
          <w:top w:val="single" w:sz="4" w:space="0" w:color="F0A28A" w:themeColor="accent6" w:themeTint="99"/>
        </w:tcBorders>
      </w:tcPr>
    </w:tblStylePr>
  </w:style>
  <w:style w:type="table" w:styleId="GridTable4">
    <w:name w:val="Grid Table 4"/>
    <w:basedOn w:val="TableNormal"/>
    <w:uiPriority w:val="49"/>
    <w:semiHidden/>
    <w:rsid w:val="00E45C9C"/>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E45C9C"/>
    <w:pPr>
      <w:spacing w:after="0" w:line="240" w:lineRule="auto"/>
    </w:pPr>
    <w:tblPr>
      <w:tblStyleRowBandSize w:val="1"/>
      <w:tblStyleColBandSize w:val="1"/>
      <w:tblBorders>
        <w:top w:val="single" w:sz="4" w:space="0" w:color="607F95" w:themeColor="accent1" w:themeTint="99"/>
        <w:left w:val="single" w:sz="4" w:space="0" w:color="607F95" w:themeColor="accent1" w:themeTint="99"/>
        <w:bottom w:val="single" w:sz="4" w:space="0" w:color="607F95" w:themeColor="accent1" w:themeTint="99"/>
        <w:right w:val="single" w:sz="4" w:space="0" w:color="607F95" w:themeColor="accent1" w:themeTint="99"/>
        <w:insideH w:val="single" w:sz="4" w:space="0" w:color="607F95" w:themeColor="accent1" w:themeTint="99"/>
        <w:insideV w:val="single" w:sz="4" w:space="0" w:color="607F95" w:themeColor="accent1" w:themeTint="99"/>
      </w:tblBorders>
    </w:tblPr>
    <w:tblStylePr w:type="firstRow">
      <w:rPr>
        <w:b/>
        <w:bCs/>
        <w:color w:val="FFFFFF" w:themeColor="background1"/>
      </w:rPr>
      <w:tblPr/>
      <w:tcPr>
        <w:tcBorders>
          <w:top w:val="single" w:sz="4" w:space="0" w:color="1B242A" w:themeColor="accent1"/>
          <w:left w:val="single" w:sz="4" w:space="0" w:color="1B242A" w:themeColor="accent1"/>
          <w:bottom w:val="single" w:sz="4" w:space="0" w:color="1B242A" w:themeColor="accent1"/>
          <w:right w:val="single" w:sz="4" w:space="0" w:color="1B242A" w:themeColor="accent1"/>
          <w:insideH w:val="nil"/>
          <w:insideV w:val="nil"/>
        </w:tcBorders>
        <w:shd w:val="clear" w:color="auto" w:fill="1B242A" w:themeFill="accent1"/>
      </w:tcPr>
    </w:tblStylePr>
    <w:tblStylePr w:type="lastRow">
      <w:rPr>
        <w:b/>
        <w:bCs/>
      </w:rPr>
      <w:tblPr/>
      <w:tcPr>
        <w:tcBorders>
          <w:top w:val="double" w:sz="4" w:space="0" w:color="1B242A" w:themeColor="accent1"/>
        </w:tcBorders>
      </w:tcPr>
    </w:tblStylePr>
    <w:tblStylePr w:type="firstCol">
      <w:rPr>
        <w:b/>
        <w:bCs/>
      </w:rPr>
    </w:tblStylePr>
    <w:tblStylePr w:type="lastCol">
      <w:rPr>
        <w:b/>
        <w:bCs/>
      </w:rPr>
    </w:tblStylePr>
    <w:tblStylePr w:type="band1Vert">
      <w:tblPr/>
      <w:tcPr>
        <w:shd w:val="clear" w:color="auto" w:fill="C9D4DC" w:themeFill="accent1" w:themeFillTint="33"/>
      </w:tcPr>
    </w:tblStylePr>
    <w:tblStylePr w:type="band1Horz">
      <w:tblPr/>
      <w:tcPr>
        <w:shd w:val="clear" w:color="auto" w:fill="C9D4DC" w:themeFill="accent1" w:themeFillTint="33"/>
      </w:tcPr>
    </w:tblStylePr>
  </w:style>
  <w:style w:type="table" w:styleId="GridTable4-Accent2">
    <w:name w:val="Grid Table 4 Accent 2"/>
    <w:basedOn w:val="TableNormal"/>
    <w:uiPriority w:val="49"/>
    <w:semiHidden/>
    <w:rsid w:val="00E45C9C"/>
    <w:pPr>
      <w:spacing w:after="0" w:line="240" w:lineRule="auto"/>
    </w:pPr>
    <w:tblPr>
      <w:tblStyleRowBandSize w:val="1"/>
      <w:tblStyleColBandSize w:val="1"/>
      <w:tblBorders>
        <w:top w:val="single" w:sz="4" w:space="0" w:color="1DE1FF" w:themeColor="accent2" w:themeTint="99"/>
        <w:left w:val="single" w:sz="4" w:space="0" w:color="1DE1FF" w:themeColor="accent2" w:themeTint="99"/>
        <w:bottom w:val="single" w:sz="4" w:space="0" w:color="1DE1FF" w:themeColor="accent2" w:themeTint="99"/>
        <w:right w:val="single" w:sz="4" w:space="0" w:color="1DE1FF" w:themeColor="accent2" w:themeTint="99"/>
        <w:insideH w:val="single" w:sz="4" w:space="0" w:color="1DE1FF" w:themeColor="accent2" w:themeTint="99"/>
        <w:insideV w:val="single" w:sz="4" w:space="0" w:color="1DE1FF" w:themeColor="accent2" w:themeTint="99"/>
      </w:tblBorders>
    </w:tblPr>
    <w:tblStylePr w:type="firstRow">
      <w:rPr>
        <w:b/>
        <w:bCs/>
        <w:color w:val="FFFFFF" w:themeColor="background1"/>
      </w:rPr>
      <w:tblPr/>
      <w:tcPr>
        <w:tcBorders>
          <w:top w:val="single" w:sz="4" w:space="0" w:color="007586" w:themeColor="accent2"/>
          <w:left w:val="single" w:sz="4" w:space="0" w:color="007586" w:themeColor="accent2"/>
          <w:bottom w:val="single" w:sz="4" w:space="0" w:color="007586" w:themeColor="accent2"/>
          <w:right w:val="single" w:sz="4" w:space="0" w:color="007586" w:themeColor="accent2"/>
          <w:insideH w:val="nil"/>
          <w:insideV w:val="nil"/>
        </w:tcBorders>
        <w:shd w:val="clear" w:color="auto" w:fill="007586" w:themeFill="accent2"/>
      </w:tcPr>
    </w:tblStylePr>
    <w:tblStylePr w:type="lastRow">
      <w:rPr>
        <w:b/>
        <w:bCs/>
      </w:rPr>
      <w:tblPr/>
      <w:tcPr>
        <w:tcBorders>
          <w:top w:val="double" w:sz="4" w:space="0" w:color="007586" w:themeColor="accent2"/>
        </w:tcBorders>
      </w:tcPr>
    </w:tblStylePr>
    <w:tblStylePr w:type="firstCol">
      <w:rPr>
        <w:b/>
        <w:bCs/>
      </w:rPr>
    </w:tblStylePr>
    <w:tblStylePr w:type="lastCol">
      <w:rPr>
        <w:b/>
        <w:bCs/>
      </w:rPr>
    </w:tblStylePr>
    <w:tblStylePr w:type="band1Vert">
      <w:tblPr/>
      <w:tcPr>
        <w:shd w:val="clear" w:color="auto" w:fill="B3F5FF" w:themeFill="accent2" w:themeFillTint="33"/>
      </w:tcPr>
    </w:tblStylePr>
    <w:tblStylePr w:type="band1Horz">
      <w:tblPr/>
      <w:tcPr>
        <w:shd w:val="clear" w:color="auto" w:fill="B3F5FF" w:themeFill="accent2" w:themeFillTint="33"/>
      </w:tcPr>
    </w:tblStylePr>
  </w:style>
  <w:style w:type="table" w:styleId="GridTable4-Accent3">
    <w:name w:val="Grid Table 4 Accent 3"/>
    <w:basedOn w:val="TableNormal"/>
    <w:uiPriority w:val="49"/>
    <w:semiHidden/>
    <w:rsid w:val="00E45C9C"/>
    <w:pPr>
      <w:spacing w:after="0" w:line="240" w:lineRule="auto"/>
    </w:pPr>
    <w:tblPr>
      <w:tblStyleRowBandSize w:val="1"/>
      <w:tblStyleColBandSize w:val="1"/>
      <w:tblBorders>
        <w:top w:val="single" w:sz="4" w:space="0" w:color="9CD4F3" w:themeColor="accent3" w:themeTint="99"/>
        <w:left w:val="single" w:sz="4" w:space="0" w:color="9CD4F3" w:themeColor="accent3" w:themeTint="99"/>
        <w:bottom w:val="single" w:sz="4" w:space="0" w:color="9CD4F3" w:themeColor="accent3" w:themeTint="99"/>
        <w:right w:val="single" w:sz="4" w:space="0" w:color="9CD4F3" w:themeColor="accent3" w:themeTint="99"/>
        <w:insideH w:val="single" w:sz="4" w:space="0" w:color="9CD4F3" w:themeColor="accent3" w:themeTint="99"/>
        <w:insideV w:val="single" w:sz="4" w:space="0" w:color="9CD4F3" w:themeColor="accent3" w:themeTint="99"/>
      </w:tblBorders>
    </w:tblPr>
    <w:tblStylePr w:type="firstRow">
      <w:rPr>
        <w:b/>
        <w:bCs/>
        <w:color w:val="FFFFFF" w:themeColor="background1"/>
      </w:rPr>
      <w:tblPr/>
      <w:tcPr>
        <w:tcBorders>
          <w:top w:val="single" w:sz="4" w:space="0" w:color="5AB9EB" w:themeColor="accent3"/>
          <w:left w:val="single" w:sz="4" w:space="0" w:color="5AB9EB" w:themeColor="accent3"/>
          <w:bottom w:val="single" w:sz="4" w:space="0" w:color="5AB9EB" w:themeColor="accent3"/>
          <w:right w:val="single" w:sz="4" w:space="0" w:color="5AB9EB" w:themeColor="accent3"/>
          <w:insideH w:val="nil"/>
          <w:insideV w:val="nil"/>
        </w:tcBorders>
        <w:shd w:val="clear" w:color="auto" w:fill="5AB9EB" w:themeFill="accent3"/>
      </w:tcPr>
    </w:tblStylePr>
    <w:tblStylePr w:type="lastRow">
      <w:rPr>
        <w:b/>
        <w:bCs/>
      </w:rPr>
      <w:tblPr/>
      <w:tcPr>
        <w:tcBorders>
          <w:top w:val="double" w:sz="4" w:space="0" w:color="5AB9EB" w:themeColor="accent3"/>
        </w:tcBorders>
      </w:tcPr>
    </w:tblStylePr>
    <w:tblStylePr w:type="firstCol">
      <w:rPr>
        <w:b/>
        <w:bCs/>
      </w:rPr>
    </w:tblStylePr>
    <w:tblStylePr w:type="lastCol">
      <w:rPr>
        <w:b/>
        <w:bCs/>
      </w:rPr>
    </w:tblStylePr>
    <w:tblStylePr w:type="band1Vert">
      <w:tblPr/>
      <w:tcPr>
        <w:shd w:val="clear" w:color="auto" w:fill="DEF0FB" w:themeFill="accent3" w:themeFillTint="33"/>
      </w:tcPr>
    </w:tblStylePr>
    <w:tblStylePr w:type="band1Horz">
      <w:tblPr/>
      <w:tcPr>
        <w:shd w:val="clear" w:color="auto" w:fill="DEF0FB" w:themeFill="accent3" w:themeFillTint="33"/>
      </w:tcPr>
    </w:tblStylePr>
  </w:style>
  <w:style w:type="table" w:styleId="GridTable4-Accent4">
    <w:name w:val="Grid Table 4 Accent 4"/>
    <w:basedOn w:val="TableNormal"/>
    <w:uiPriority w:val="49"/>
    <w:semiHidden/>
    <w:rsid w:val="00E45C9C"/>
    <w:pPr>
      <w:spacing w:after="0" w:line="240" w:lineRule="auto"/>
    </w:pPr>
    <w:tblPr>
      <w:tblStyleRowBandSize w:val="1"/>
      <w:tblStyleColBandSize w:val="1"/>
      <w:tblBorders>
        <w:top w:val="single" w:sz="4" w:space="0" w:color="2793FF" w:themeColor="accent4" w:themeTint="99"/>
        <w:left w:val="single" w:sz="4" w:space="0" w:color="2793FF" w:themeColor="accent4" w:themeTint="99"/>
        <w:bottom w:val="single" w:sz="4" w:space="0" w:color="2793FF" w:themeColor="accent4" w:themeTint="99"/>
        <w:right w:val="single" w:sz="4" w:space="0" w:color="2793FF" w:themeColor="accent4" w:themeTint="99"/>
        <w:insideH w:val="single" w:sz="4" w:space="0" w:color="2793FF" w:themeColor="accent4" w:themeTint="99"/>
        <w:insideV w:val="single" w:sz="4" w:space="0" w:color="2793FF" w:themeColor="accent4" w:themeTint="99"/>
      </w:tblBorders>
    </w:tblPr>
    <w:tblStylePr w:type="firstRow">
      <w:rPr>
        <w:b/>
        <w:bCs/>
        <w:color w:val="FFFFFF" w:themeColor="background1"/>
      </w:rPr>
      <w:tblPr/>
      <w:tcPr>
        <w:tcBorders>
          <w:top w:val="single" w:sz="4" w:space="0" w:color="004C97" w:themeColor="accent4"/>
          <w:left w:val="single" w:sz="4" w:space="0" w:color="004C97" w:themeColor="accent4"/>
          <w:bottom w:val="single" w:sz="4" w:space="0" w:color="004C97" w:themeColor="accent4"/>
          <w:right w:val="single" w:sz="4" w:space="0" w:color="004C97" w:themeColor="accent4"/>
          <w:insideH w:val="nil"/>
          <w:insideV w:val="nil"/>
        </w:tcBorders>
        <w:shd w:val="clear" w:color="auto" w:fill="004C97" w:themeFill="accent4"/>
      </w:tcPr>
    </w:tblStylePr>
    <w:tblStylePr w:type="lastRow">
      <w:rPr>
        <w:b/>
        <w:bCs/>
      </w:rPr>
      <w:tblPr/>
      <w:tcPr>
        <w:tcBorders>
          <w:top w:val="double" w:sz="4" w:space="0" w:color="004C97" w:themeColor="accent4"/>
        </w:tcBorders>
      </w:tcPr>
    </w:tblStylePr>
    <w:tblStylePr w:type="firstCol">
      <w:rPr>
        <w:b/>
        <w:bCs/>
      </w:rPr>
    </w:tblStylePr>
    <w:tblStylePr w:type="lastCol">
      <w:rPr>
        <w:b/>
        <w:bCs/>
      </w:rPr>
    </w:tblStylePr>
    <w:tblStylePr w:type="band1Vert">
      <w:tblPr/>
      <w:tcPr>
        <w:shd w:val="clear" w:color="auto" w:fill="B7DBFF" w:themeFill="accent4" w:themeFillTint="33"/>
      </w:tcPr>
    </w:tblStylePr>
    <w:tblStylePr w:type="band1Horz">
      <w:tblPr/>
      <w:tcPr>
        <w:shd w:val="clear" w:color="auto" w:fill="B7DBFF" w:themeFill="accent4" w:themeFillTint="33"/>
      </w:tcPr>
    </w:tblStylePr>
  </w:style>
  <w:style w:type="table" w:styleId="GridTable4-Accent5">
    <w:name w:val="Grid Table 4 Accent 5"/>
    <w:basedOn w:val="TableNormal"/>
    <w:uiPriority w:val="49"/>
    <w:semiHidden/>
    <w:rsid w:val="00E45C9C"/>
    <w:pPr>
      <w:spacing w:after="0" w:line="240" w:lineRule="auto"/>
    </w:pPr>
    <w:tblPr>
      <w:tblStyleRowBandSize w:val="1"/>
      <w:tblStyleColBandSize w:val="1"/>
      <w:tblBorders>
        <w:top w:val="single" w:sz="4" w:space="0" w:color="9CCCA1" w:themeColor="accent5" w:themeTint="99"/>
        <w:left w:val="single" w:sz="4" w:space="0" w:color="9CCCA1" w:themeColor="accent5" w:themeTint="99"/>
        <w:bottom w:val="single" w:sz="4" w:space="0" w:color="9CCCA1" w:themeColor="accent5" w:themeTint="99"/>
        <w:right w:val="single" w:sz="4" w:space="0" w:color="9CCCA1" w:themeColor="accent5" w:themeTint="99"/>
        <w:insideH w:val="single" w:sz="4" w:space="0" w:color="9CCCA1" w:themeColor="accent5" w:themeTint="99"/>
        <w:insideV w:val="single" w:sz="4" w:space="0" w:color="9CCCA1" w:themeColor="accent5" w:themeTint="99"/>
      </w:tblBorders>
    </w:tblPr>
    <w:tblStylePr w:type="firstRow">
      <w:rPr>
        <w:b/>
        <w:bCs/>
        <w:color w:val="FFFFFF" w:themeColor="background1"/>
      </w:rPr>
      <w:tblPr/>
      <w:tcPr>
        <w:tcBorders>
          <w:top w:val="single" w:sz="4" w:space="0" w:color="5AAA64" w:themeColor="accent5"/>
          <w:left w:val="single" w:sz="4" w:space="0" w:color="5AAA64" w:themeColor="accent5"/>
          <w:bottom w:val="single" w:sz="4" w:space="0" w:color="5AAA64" w:themeColor="accent5"/>
          <w:right w:val="single" w:sz="4" w:space="0" w:color="5AAA64" w:themeColor="accent5"/>
          <w:insideH w:val="nil"/>
          <w:insideV w:val="nil"/>
        </w:tcBorders>
        <w:shd w:val="clear" w:color="auto" w:fill="5AAA64" w:themeFill="accent5"/>
      </w:tcPr>
    </w:tblStylePr>
    <w:tblStylePr w:type="lastRow">
      <w:rPr>
        <w:b/>
        <w:bCs/>
      </w:rPr>
      <w:tblPr/>
      <w:tcPr>
        <w:tcBorders>
          <w:top w:val="double" w:sz="4" w:space="0" w:color="5AAA64" w:themeColor="accent5"/>
        </w:tcBorders>
      </w:tcPr>
    </w:tblStylePr>
    <w:tblStylePr w:type="firstCol">
      <w:rPr>
        <w:b/>
        <w:bCs/>
      </w:rPr>
    </w:tblStylePr>
    <w:tblStylePr w:type="lastCol">
      <w:rPr>
        <w:b/>
        <w:bCs/>
      </w:rPr>
    </w:tblStylePr>
    <w:tblStylePr w:type="band1Vert">
      <w:tblPr/>
      <w:tcPr>
        <w:shd w:val="clear" w:color="auto" w:fill="DEEEDF" w:themeFill="accent5" w:themeFillTint="33"/>
      </w:tcPr>
    </w:tblStylePr>
    <w:tblStylePr w:type="band1Horz">
      <w:tblPr/>
      <w:tcPr>
        <w:shd w:val="clear" w:color="auto" w:fill="DEEEDF" w:themeFill="accent5" w:themeFillTint="33"/>
      </w:tcPr>
    </w:tblStylePr>
  </w:style>
  <w:style w:type="table" w:styleId="GridTable4-Accent6">
    <w:name w:val="Grid Table 4 Accent 6"/>
    <w:basedOn w:val="TableNormal"/>
    <w:uiPriority w:val="49"/>
    <w:semiHidden/>
    <w:rsid w:val="00E45C9C"/>
    <w:pPr>
      <w:spacing w:after="0" w:line="240" w:lineRule="auto"/>
    </w:pPr>
    <w:tblPr>
      <w:tblStyleRowBandSize w:val="1"/>
      <w:tblStyleColBandSize w:val="1"/>
      <w:tblBorders>
        <w:top w:val="single" w:sz="4" w:space="0" w:color="F0A28A" w:themeColor="accent6" w:themeTint="99"/>
        <w:left w:val="single" w:sz="4" w:space="0" w:color="F0A28A" w:themeColor="accent6" w:themeTint="99"/>
        <w:bottom w:val="single" w:sz="4" w:space="0" w:color="F0A28A" w:themeColor="accent6" w:themeTint="99"/>
        <w:right w:val="single" w:sz="4" w:space="0" w:color="F0A28A" w:themeColor="accent6" w:themeTint="99"/>
        <w:insideH w:val="single" w:sz="4" w:space="0" w:color="F0A28A" w:themeColor="accent6" w:themeTint="99"/>
        <w:insideV w:val="single" w:sz="4" w:space="0" w:color="F0A28A" w:themeColor="accent6" w:themeTint="99"/>
      </w:tblBorders>
    </w:tblPr>
    <w:tblStylePr w:type="firstRow">
      <w:rPr>
        <w:b/>
        <w:bCs/>
        <w:color w:val="FFFFFF" w:themeColor="background1"/>
      </w:rPr>
      <w:tblPr/>
      <w:tcPr>
        <w:tcBorders>
          <w:top w:val="single" w:sz="4" w:space="0" w:color="E6643C" w:themeColor="accent6"/>
          <w:left w:val="single" w:sz="4" w:space="0" w:color="E6643C" w:themeColor="accent6"/>
          <w:bottom w:val="single" w:sz="4" w:space="0" w:color="E6643C" w:themeColor="accent6"/>
          <w:right w:val="single" w:sz="4" w:space="0" w:color="E6643C" w:themeColor="accent6"/>
          <w:insideH w:val="nil"/>
          <w:insideV w:val="nil"/>
        </w:tcBorders>
        <w:shd w:val="clear" w:color="auto" w:fill="E6643C" w:themeFill="accent6"/>
      </w:tcPr>
    </w:tblStylePr>
    <w:tblStylePr w:type="lastRow">
      <w:rPr>
        <w:b/>
        <w:bCs/>
      </w:rPr>
      <w:tblPr/>
      <w:tcPr>
        <w:tcBorders>
          <w:top w:val="double" w:sz="4" w:space="0" w:color="E6643C" w:themeColor="accent6"/>
        </w:tcBorders>
      </w:tcPr>
    </w:tblStylePr>
    <w:tblStylePr w:type="firstCol">
      <w:rPr>
        <w:b/>
        <w:bCs/>
      </w:rPr>
    </w:tblStylePr>
    <w:tblStylePr w:type="lastCol">
      <w:rPr>
        <w:b/>
        <w:bCs/>
      </w:rPr>
    </w:tblStylePr>
    <w:tblStylePr w:type="band1Vert">
      <w:tblPr/>
      <w:tcPr>
        <w:shd w:val="clear" w:color="auto" w:fill="FAE0D8" w:themeFill="accent6" w:themeFillTint="33"/>
      </w:tcPr>
    </w:tblStylePr>
    <w:tblStylePr w:type="band1Horz">
      <w:tblPr/>
      <w:tcPr>
        <w:shd w:val="clear" w:color="auto" w:fill="FAE0D8" w:themeFill="accent6" w:themeFillTint="33"/>
      </w:tcPr>
    </w:tblStylePr>
  </w:style>
  <w:style w:type="table" w:styleId="GridTable5Dark">
    <w:name w:val="Grid Table 5 Dark"/>
    <w:basedOn w:val="TableNormal"/>
    <w:uiPriority w:val="50"/>
    <w:semiHidden/>
    <w:rsid w:val="00E45C9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E45C9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9D4DC"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B242A"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B242A"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B242A"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B242A" w:themeFill="accent1"/>
      </w:tcPr>
    </w:tblStylePr>
    <w:tblStylePr w:type="band1Vert">
      <w:tblPr/>
      <w:tcPr>
        <w:shd w:val="clear" w:color="auto" w:fill="93AABA" w:themeFill="accent1" w:themeFillTint="66"/>
      </w:tcPr>
    </w:tblStylePr>
    <w:tblStylePr w:type="band1Horz">
      <w:tblPr/>
      <w:tcPr>
        <w:shd w:val="clear" w:color="auto" w:fill="93AABA" w:themeFill="accent1" w:themeFillTint="66"/>
      </w:tcPr>
    </w:tblStylePr>
  </w:style>
  <w:style w:type="table" w:styleId="GridTable5Dark-Accent2">
    <w:name w:val="Grid Table 5 Dark Accent 2"/>
    <w:basedOn w:val="TableNormal"/>
    <w:uiPriority w:val="50"/>
    <w:semiHidden/>
    <w:rsid w:val="00E45C9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3F5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586"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586"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586"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586" w:themeFill="accent2"/>
      </w:tcPr>
    </w:tblStylePr>
    <w:tblStylePr w:type="band1Vert">
      <w:tblPr/>
      <w:tcPr>
        <w:shd w:val="clear" w:color="auto" w:fill="68EBFF" w:themeFill="accent2" w:themeFillTint="66"/>
      </w:tcPr>
    </w:tblStylePr>
    <w:tblStylePr w:type="band1Horz">
      <w:tblPr/>
      <w:tcPr>
        <w:shd w:val="clear" w:color="auto" w:fill="68EBFF" w:themeFill="accent2" w:themeFillTint="66"/>
      </w:tcPr>
    </w:tblStylePr>
  </w:style>
  <w:style w:type="table" w:styleId="GridTable5Dark-Accent3">
    <w:name w:val="Grid Table 5 Dark Accent 3"/>
    <w:basedOn w:val="TableNormal"/>
    <w:uiPriority w:val="50"/>
    <w:semiHidden/>
    <w:rsid w:val="00E45C9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F0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AB9EB"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AB9EB"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AB9EB"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AB9EB" w:themeFill="accent3"/>
      </w:tcPr>
    </w:tblStylePr>
    <w:tblStylePr w:type="band1Vert">
      <w:tblPr/>
      <w:tcPr>
        <w:shd w:val="clear" w:color="auto" w:fill="BDE2F7" w:themeFill="accent3" w:themeFillTint="66"/>
      </w:tcPr>
    </w:tblStylePr>
    <w:tblStylePr w:type="band1Horz">
      <w:tblPr/>
      <w:tcPr>
        <w:shd w:val="clear" w:color="auto" w:fill="BDE2F7" w:themeFill="accent3" w:themeFillTint="66"/>
      </w:tcPr>
    </w:tblStylePr>
  </w:style>
  <w:style w:type="table" w:styleId="GridTable5Dark-Accent4">
    <w:name w:val="Grid Table 5 Dark Accent 4"/>
    <w:basedOn w:val="TableNormal"/>
    <w:uiPriority w:val="50"/>
    <w:semiHidden/>
    <w:rsid w:val="00E45C9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4"/>
      </w:tcPr>
    </w:tblStylePr>
    <w:tblStylePr w:type="band1Vert">
      <w:tblPr/>
      <w:tcPr>
        <w:shd w:val="clear" w:color="auto" w:fill="6FB7FF" w:themeFill="accent4" w:themeFillTint="66"/>
      </w:tcPr>
    </w:tblStylePr>
    <w:tblStylePr w:type="band1Horz">
      <w:tblPr/>
      <w:tcPr>
        <w:shd w:val="clear" w:color="auto" w:fill="6FB7FF" w:themeFill="accent4" w:themeFillTint="66"/>
      </w:tcPr>
    </w:tblStylePr>
  </w:style>
  <w:style w:type="table" w:styleId="GridTable5Dark-Accent5">
    <w:name w:val="Grid Table 5 Dark Accent 5"/>
    <w:basedOn w:val="TableNormal"/>
    <w:uiPriority w:val="50"/>
    <w:semiHidden/>
    <w:rsid w:val="00E45C9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E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AAA6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AAA6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AAA6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AAA64" w:themeFill="accent5"/>
      </w:tcPr>
    </w:tblStylePr>
    <w:tblStylePr w:type="band1Vert">
      <w:tblPr/>
      <w:tcPr>
        <w:shd w:val="clear" w:color="auto" w:fill="BDDDC0" w:themeFill="accent5" w:themeFillTint="66"/>
      </w:tcPr>
    </w:tblStylePr>
    <w:tblStylePr w:type="band1Horz">
      <w:tblPr/>
      <w:tcPr>
        <w:shd w:val="clear" w:color="auto" w:fill="BDDDC0" w:themeFill="accent5" w:themeFillTint="66"/>
      </w:tcPr>
    </w:tblStylePr>
  </w:style>
  <w:style w:type="table" w:styleId="GridTable5Dark-Accent6">
    <w:name w:val="Grid Table 5 Dark Accent 6"/>
    <w:basedOn w:val="TableNormal"/>
    <w:uiPriority w:val="50"/>
    <w:semiHidden/>
    <w:rsid w:val="00E45C9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0D8"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6643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6643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6643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6643C" w:themeFill="accent6"/>
      </w:tcPr>
    </w:tblStylePr>
    <w:tblStylePr w:type="band1Vert">
      <w:tblPr/>
      <w:tcPr>
        <w:shd w:val="clear" w:color="auto" w:fill="F5C1B1" w:themeFill="accent6" w:themeFillTint="66"/>
      </w:tcPr>
    </w:tblStylePr>
    <w:tblStylePr w:type="band1Horz">
      <w:tblPr/>
      <w:tcPr>
        <w:shd w:val="clear" w:color="auto" w:fill="F5C1B1" w:themeFill="accent6" w:themeFillTint="66"/>
      </w:tcPr>
    </w:tblStylePr>
  </w:style>
  <w:style w:type="table" w:styleId="GridTable6Colourful">
    <w:name w:val="Grid Table 6 Colorful"/>
    <w:basedOn w:val="TableNormal"/>
    <w:uiPriority w:val="51"/>
    <w:semiHidden/>
    <w:rsid w:val="00E45C9C"/>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urfulAccent1">
    <w:name w:val="Grid Table 6 Colorful Accent 1"/>
    <w:basedOn w:val="TableNormal"/>
    <w:uiPriority w:val="51"/>
    <w:semiHidden/>
    <w:rsid w:val="00E45C9C"/>
    <w:pPr>
      <w:spacing w:after="0" w:line="240" w:lineRule="auto"/>
    </w:pPr>
    <w:rPr>
      <w:color w:val="141A1F" w:themeColor="accent1" w:themeShade="BF"/>
    </w:rPr>
    <w:tblPr>
      <w:tblStyleRowBandSize w:val="1"/>
      <w:tblStyleColBandSize w:val="1"/>
      <w:tblBorders>
        <w:top w:val="single" w:sz="4" w:space="0" w:color="607F95" w:themeColor="accent1" w:themeTint="99"/>
        <w:left w:val="single" w:sz="4" w:space="0" w:color="607F95" w:themeColor="accent1" w:themeTint="99"/>
        <w:bottom w:val="single" w:sz="4" w:space="0" w:color="607F95" w:themeColor="accent1" w:themeTint="99"/>
        <w:right w:val="single" w:sz="4" w:space="0" w:color="607F95" w:themeColor="accent1" w:themeTint="99"/>
        <w:insideH w:val="single" w:sz="4" w:space="0" w:color="607F95" w:themeColor="accent1" w:themeTint="99"/>
        <w:insideV w:val="single" w:sz="4" w:space="0" w:color="607F95" w:themeColor="accent1" w:themeTint="99"/>
      </w:tblBorders>
    </w:tblPr>
    <w:tblStylePr w:type="firstRow">
      <w:rPr>
        <w:b/>
        <w:bCs/>
      </w:rPr>
      <w:tblPr/>
      <w:tcPr>
        <w:tcBorders>
          <w:bottom w:val="single" w:sz="12" w:space="0" w:color="607F95" w:themeColor="accent1" w:themeTint="99"/>
        </w:tcBorders>
      </w:tcPr>
    </w:tblStylePr>
    <w:tblStylePr w:type="lastRow">
      <w:rPr>
        <w:b/>
        <w:bCs/>
      </w:rPr>
      <w:tblPr/>
      <w:tcPr>
        <w:tcBorders>
          <w:top w:val="double" w:sz="4" w:space="0" w:color="607F95" w:themeColor="accent1" w:themeTint="99"/>
        </w:tcBorders>
      </w:tcPr>
    </w:tblStylePr>
    <w:tblStylePr w:type="firstCol">
      <w:rPr>
        <w:b/>
        <w:bCs/>
      </w:rPr>
    </w:tblStylePr>
    <w:tblStylePr w:type="lastCol">
      <w:rPr>
        <w:b/>
        <w:bCs/>
      </w:rPr>
    </w:tblStylePr>
    <w:tblStylePr w:type="band1Vert">
      <w:tblPr/>
      <w:tcPr>
        <w:shd w:val="clear" w:color="auto" w:fill="C9D4DC" w:themeFill="accent1" w:themeFillTint="33"/>
      </w:tcPr>
    </w:tblStylePr>
    <w:tblStylePr w:type="band1Horz">
      <w:tblPr/>
      <w:tcPr>
        <w:shd w:val="clear" w:color="auto" w:fill="C9D4DC" w:themeFill="accent1" w:themeFillTint="33"/>
      </w:tcPr>
    </w:tblStylePr>
  </w:style>
  <w:style w:type="table" w:styleId="GridTable6ColourfulAccent2">
    <w:name w:val="Grid Table 6 Colorful Accent 2"/>
    <w:basedOn w:val="TableNormal"/>
    <w:uiPriority w:val="51"/>
    <w:semiHidden/>
    <w:rsid w:val="00E45C9C"/>
    <w:pPr>
      <w:spacing w:after="0" w:line="240" w:lineRule="auto"/>
    </w:pPr>
    <w:rPr>
      <w:color w:val="005764" w:themeColor="accent2" w:themeShade="BF"/>
    </w:rPr>
    <w:tblPr>
      <w:tblStyleRowBandSize w:val="1"/>
      <w:tblStyleColBandSize w:val="1"/>
      <w:tblBorders>
        <w:top w:val="single" w:sz="4" w:space="0" w:color="1DE1FF" w:themeColor="accent2" w:themeTint="99"/>
        <w:left w:val="single" w:sz="4" w:space="0" w:color="1DE1FF" w:themeColor="accent2" w:themeTint="99"/>
        <w:bottom w:val="single" w:sz="4" w:space="0" w:color="1DE1FF" w:themeColor="accent2" w:themeTint="99"/>
        <w:right w:val="single" w:sz="4" w:space="0" w:color="1DE1FF" w:themeColor="accent2" w:themeTint="99"/>
        <w:insideH w:val="single" w:sz="4" w:space="0" w:color="1DE1FF" w:themeColor="accent2" w:themeTint="99"/>
        <w:insideV w:val="single" w:sz="4" w:space="0" w:color="1DE1FF" w:themeColor="accent2" w:themeTint="99"/>
      </w:tblBorders>
    </w:tblPr>
    <w:tblStylePr w:type="firstRow">
      <w:rPr>
        <w:b/>
        <w:bCs/>
      </w:rPr>
      <w:tblPr/>
      <w:tcPr>
        <w:tcBorders>
          <w:bottom w:val="single" w:sz="12" w:space="0" w:color="1DE1FF" w:themeColor="accent2" w:themeTint="99"/>
        </w:tcBorders>
      </w:tcPr>
    </w:tblStylePr>
    <w:tblStylePr w:type="lastRow">
      <w:rPr>
        <w:b/>
        <w:bCs/>
      </w:rPr>
      <w:tblPr/>
      <w:tcPr>
        <w:tcBorders>
          <w:top w:val="double" w:sz="4" w:space="0" w:color="1DE1FF" w:themeColor="accent2" w:themeTint="99"/>
        </w:tcBorders>
      </w:tcPr>
    </w:tblStylePr>
    <w:tblStylePr w:type="firstCol">
      <w:rPr>
        <w:b/>
        <w:bCs/>
      </w:rPr>
    </w:tblStylePr>
    <w:tblStylePr w:type="lastCol">
      <w:rPr>
        <w:b/>
        <w:bCs/>
      </w:rPr>
    </w:tblStylePr>
    <w:tblStylePr w:type="band1Vert">
      <w:tblPr/>
      <w:tcPr>
        <w:shd w:val="clear" w:color="auto" w:fill="B3F5FF" w:themeFill="accent2" w:themeFillTint="33"/>
      </w:tcPr>
    </w:tblStylePr>
    <w:tblStylePr w:type="band1Horz">
      <w:tblPr/>
      <w:tcPr>
        <w:shd w:val="clear" w:color="auto" w:fill="B3F5FF" w:themeFill="accent2" w:themeFillTint="33"/>
      </w:tcPr>
    </w:tblStylePr>
  </w:style>
  <w:style w:type="table" w:styleId="GridTable6ColourfulAccent3">
    <w:name w:val="Grid Table 6 Colorful Accent 3"/>
    <w:basedOn w:val="TableNormal"/>
    <w:uiPriority w:val="51"/>
    <w:semiHidden/>
    <w:rsid w:val="00E45C9C"/>
    <w:pPr>
      <w:spacing w:after="0" w:line="240" w:lineRule="auto"/>
    </w:pPr>
    <w:rPr>
      <w:color w:val="1A97D9" w:themeColor="accent3" w:themeShade="BF"/>
    </w:rPr>
    <w:tblPr>
      <w:tblStyleRowBandSize w:val="1"/>
      <w:tblStyleColBandSize w:val="1"/>
      <w:tblBorders>
        <w:top w:val="single" w:sz="4" w:space="0" w:color="9CD4F3" w:themeColor="accent3" w:themeTint="99"/>
        <w:left w:val="single" w:sz="4" w:space="0" w:color="9CD4F3" w:themeColor="accent3" w:themeTint="99"/>
        <w:bottom w:val="single" w:sz="4" w:space="0" w:color="9CD4F3" w:themeColor="accent3" w:themeTint="99"/>
        <w:right w:val="single" w:sz="4" w:space="0" w:color="9CD4F3" w:themeColor="accent3" w:themeTint="99"/>
        <w:insideH w:val="single" w:sz="4" w:space="0" w:color="9CD4F3" w:themeColor="accent3" w:themeTint="99"/>
        <w:insideV w:val="single" w:sz="4" w:space="0" w:color="9CD4F3" w:themeColor="accent3" w:themeTint="99"/>
      </w:tblBorders>
    </w:tblPr>
    <w:tblStylePr w:type="firstRow">
      <w:rPr>
        <w:b/>
        <w:bCs/>
      </w:rPr>
      <w:tblPr/>
      <w:tcPr>
        <w:tcBorders>
          <w:bottom w:val="single" w:sz="12" w:space="0" w:color="9CD4F3" w:themeColor="accent3" w:themeTint="99"/>
        </w:tcBorders>
      </w:tcPr>
    </w:tblStylePr>
    <w:tblStylePr w:type="lastRow">
      <w:rPr>
        <w:b/>
        <w:bCs/>
      </w:rPr>
      <w:tblPr/>
      <w:tcPr>
        <w:tcBorders>
          <w:top w:val="double" w:sz="4" w:space="0" w:color="9CD4F3" w:themeColor="accent3" w:themeTint="99"/>
        </w:tcBorders>
      </w:tcPr>
    </w:tblStylePr>
    <w:tblStylePr w:type="firstCol">
      <w:rPr>
        <w:b/>
        <w:bCs/>
      </w:rPr>
    </w:tblStylePr>
    <w:tblStylePr w:type="lastCol">
      <w:rPr>
        <w:b/>
        <w:bCs/>
      </w:rPr>
    </w:tblStylePr>
    <w:tblStylePr w:type="band1Vert">
      <w:tblPr/>
      <w:tcPr>
        <w:shd w:val="clear" w:color="auto" w:fill="DEF0FB" w:themeFill="accent3" w:themeFillTint="33"/>
      </w:tcPr>
    </w:tblStylePr>
    <w:tblStylePr w:type="band1Horz">
      <w:tblPr/>
      <w:tcPr>
        <w:shd w:val="clear" w:color="auto" w:fill="DEF0FB" w:themeFill="accent3" w:themeFillTint="33"/>
      </w:tcPr>
    </w:tblStylePr>
  </w:style>
  <w:style w:type="table" w:styleId="GridTable6ColourfulAccent4">
    <w:name w:val="Grid Table 6 Colorful Accent 4"/>
    <w:basedOn w:val="TableNormal"/>
    <w:uiPriority w:val="51"/>
    <w:semiHidden/>
    <w:rsid w:val="00E45C9C"/>
    <w:pPr>
      <w:spacing w:after="0" w:line="240" w:lineRule="auto"/>
    </w:pPr>
    <w:rPr>
      <w:color w:val="003871" w:themeColor="accent4" w:themeShade="BF"/>
    </w:rPr>
    <w:tblPr>
      <w:tblStyleRowBandSize w:val="1"/>
      <w:tblStyleColBandSize w:val="1"/>
      <w:tblBorders>
        <w:top w:val="single" w:sz="4" w:space="0" w:color="2793FF" w:themeColor="accent4" w:themeTint="99"/>
        <w:left w:val="single" w:sz="4" w:space="0" w:color="2793FF" w:themeColor="accent4" w:themeTint="99"/>
        <w:bottom w:val="single" w:sz="4" w:space="0" w:color="2793FF" w:themeColor="accent4" w:themeTint="99"/>
        <w:right w:val="single" w:sz="4" w:space="0" w:color="2793FF" w:themeColor="accent4" w:themeTint="99"/>
        <w:insideH w:val="single" w:sz="4" w:space="0" w:color="2793FF" w:themeColor="accent4" w:themeTint="99"/>
        <w:insideV w:val="single" w:sz="4" w:space="0" w:color="2793FF" w:themeColor="accent4" w:themeTint="99"/>
      </w:tblBorders>
    </w:tblPr>
    <w:tblStylePr w:type="firstRow">
      <w:rPr>
        <w:b/>
        <w:bCs/>
      </w:rPr>
      <w:tblPr/>
      <w:tcPr>
        <w:tcBorders>
          <w:bottom w:val="single" w:sz="12" w:space="0" w:color="2793FF" w:themeColor="accent4" w:themeTint="99"/>
        </w:tcBorders>
      </w:tcPr>
    </w:tblStylePr>
    <w:tblStylePr w:type="lastRow">
      <w:rPr>
        <w:b/>
        <w:bCs/>
      </w:rPr>
      <w:tblPr/>
      <w:tcPr>
        <w:tcBorders>
          <w:top w:val="double" w:sz="4" w:space="0" w:color="2793FF" w:themeColor="accent4" w:themeTint="99"/>
        </w:tcBorders>
      </w:tcPr>
    </w:tblStylePr>
    <w:tblStylePr w:type="firstCol">
      <w:rPr>
        <w:b/>
        <w:bCs/>
      </w:rPr>
    </w:tblStylePr>
    <w:tblStylePr w:type="lastCol">
      <w:rPr>
        <w:b/>
        <w:bCs/>
      </w:rPr>
    </w:tblStylePr>
    <w:tblStylePr w:type="band1Vert">
      <w:tblPr/>
      <w:tcPr>
        <w:shd w:val="clear" w:color="auto" w:fill="B7DBFF" w:themeFill="accent4" w:themeFillTint="33"/>
      </w:tcPr>
    </w:tblStylePr>
    <w:tblStylePr w:type="band1Horz">
      <w:tblPr/>
      <w:tcPr>
        <w:shd w:val="clear" w:color="auto" w:fill="B7DBFF" w:themeFill="accent4" w:themeFillTint="33"/>
      </w:tcPr>
    </w:tblStylePr>
  </w:style>
  <w:style w:type="table" w:styleId="GridTable6ColourfulAccent5">
    <w:name w:val="Grid Table 6 Colorful Accent 5"/>
    <w:basedOn w:val="TableNormal"/>
    <w:uiPriority w:val="51"/>
    <w:semiHidden/>
    <w:rsid w:val="00E45C9C"/>
    <w:pPr>
      <w:spacing w:after="0" w:line="240" w:lineRule="auto"/>
    </w:pPr>
    <w:rPr>
      <w:color w:val="428049" w:themeColor="accent5" w:themeShade="BF"/>
    </w:rPr>
    <w:tblPr>
      <w:tblStyleRowBandSize w:val="1"/>
      <w:tblStyleColBandSize w:val="1"/>
      <w:tblBorders>
        <w:top w:val="single" w:sz="4" w:space="0" w:color="9CCCA1" w:themeColor="accent5" w:themeTint="99"/>
        <w:left w:val="single" w:sz="4" w:space="0" w:color="9CCCA1" w:themeColor="accent5" w:themeTint="99"/>
        <w:bottom w:val="single" w:sz="4" w:space="0" w:color="9CCCA1" w:themeColor="accent5" w:themeTint="99"/>
        <w:right w:val="single" w:sz="4" w:space="0" w:color="9CCCA1" w:themeColor="accent5" w:themeTint="99"/>
        <w:insideH w:val="single" w:sz="4" w:space="0" w:color="9CCCA1" w:themeColor="accent5" w:themeTint="99"/>
        <w:insideV w:val="single" w:sz="4" w:space="0" w:color="9CCCA1" w:themeColor="accent5" w:themeTint="99"/>
      </w:tblBorders>
    </w:tblPr>
    <w:tblStylePr w:type="firstRow">
      <w:rPr>
        <w:b/>
        <w:bCs/>
      </w:rPr>
      <w:tblPr/>
      <w:tcPr>
        <w:tcBorders>
          <w:bottom w:val="single" w:sz="12" w:space="0" w:color="9CCCA1" w:themeColor="accent5" w:themeTint="99"/>
        </w:tcBorders>
      </w:tcPr>
    </w:tblStylePr>
    <w:tblStylePr w:type="lastRow">
      <w:rPr>
        <w:b/>
        <w:bCs/>
      </w:rPr>
      <w:tblPr/>
      <w:tcPr>
        <w:tcBorders>
          <w:top w:val="double" w:sz="4" w:space="0" w:color="9CCCA1" w:themeColor="accent5" w:themeTint="99"/>
        </w:tcBorders>
      </w:tcPr>
    </w:tblStylePr>
    <w:tblStylePr w:type="firstCol">
      <w:rPr>
        <w:b/>
        <w:bCs/>
      </w:rPr>
    </w:tblStylePr>
    <w:tblStylePr w:type="lastCol">
      <w:rPr>
        <w:b/>
        <w:bCs/>
      </w:rPr>
    </w:tblStylePr>
    <w:tblStylePr w:type="band1Vert">
      <w:tblPr/>
      <w:tcPr>
        <w:shd w:val="clear" w:color="auto" w:fill="DEEEDF" w:themeFill="accent5" w:themeFillTint="33"/>
      </w:tcPr>
    </w:tblStylePr>
    <w:tblStylePr w:type="band1Horz">
      <w:tblPr/>
      <w:tcPr>
        <w:shd w:val="clear" w:color="auto" w:fill="DEEEDF" w:themeFill="accent5" w:themeFillTint="33"/>
      </w:tcPr>
    </w:tblStylePr>
  </w:style>
  <w:style w:type="table" w:styleId="GridTable6ColourfulAccent6">
    <w:name w:val="Grid Table 6 Colorful Accent 6"/>
    <w:basedOn w:val="TableNormal"/>
    <w:uiPriority w:val="51"/>
    <w:semiHidden/>
    <w:rsid w:val="00E45C9C"/>
    <w:pPr>
      <w:spacing w:after="0" w:line="240" w:lineRule="auto"/>
    </w:pPr>
    <w:rPr>
      <w:color w:val="C04018" w:themeColor="accent6" w:themeShade="BF"/>
    </w:rPr>
    <w:tblPr>
      <w:tblStyleRowBandSize w:val="1"/>
      <w:tblStyleColBandSize w:val="1"/>
      <w:tblBorders>
        <w:top w:val="single" w:sz="4" w:space="0" w:color="F0A28A" w:themeColor="accent6" w:themeTint="99"/>
        <w:left w:val="single" w:sz="4" w:space="0" w:color="F0A28A" w:themeColor="accent6" w:themeTint="99"/>
        <w:bottom w:val="single" w:sz="4" w:space="0" w:color="F0A28A" w:themeColor="accent6" w:themeTint="99"/>
        <w:right w:val="single" w:sz="4" w:space="0" w:color="F0A28A" w:themeColor="accent6" w:themeTint="99"/>
        <w:insideH w:val="single" w:sz="4" w:space="0" w:color="F0A28A" w:themeColor="accent6" w:themeTint="99"/>
        <w:insideV w:val="single" w:sz="4" w:space="0" w:color="F0A28A" w:themeColor="accent6" w:themeTint="99"/>
      </w:tblBorders>
    </w:tblPr>
    <w:tblStylePr w:type="firstRow">
      <w:rPr>
        <w:b/>
        <w:bCs/>
      </w:rPr>
      <w:tblPr/>
      <w:tcPr>
        <w:tcBorders>
          <w:bottom w:val="single" w:sz="12" w:space="0" w:color="F0A28A" w:themeColor="accent6" w:themeTint="99"/>
        </w:tcBorders>
      </w:tcPr>
    </w:tblStylePr>
    <w:tblStylePr w:type="lastRow">
      <w:rPr>
        <w:b/>
        <w:bCs/>
      </w:rPr>
      <w:tblPr/>
      <w:tcPr>
        <w:tcBorders>
          <w:top w:val="double" w:sz="4" w:space="0" w:color="F0A28A" w:themeColor="accent6" w:themeTint="99"/>
        </w:tcBorders>
      </w:tcPr>
    </w:tblStylePr>
    <w:tblStylePr w:type="firstCol">
      <w:rPr>
        <w:b/>
        <w:bCs/>
      </w:rPr>
    </w:tblStylePr>
    <w:tblStylePr w:type="lastCol">
      <w:rPr>
        <w:b/>
        <w:bCs/>
      </w:rPr>
    </w:tblStylePr>
    <w:tblStylePr w:type="band1Vert">
      <w:tblPr/>
      <w:tcPr>
        <w:shd w:val="clear" w:color="auto" w:fill="FAE0D8" w:themeFill="accent6" w:themeFillTint="33"/>
      </w:tcPr>
    </w:tblStylePr>
    <w:tblStylePr w:type="band1Horz">
      <w:tblPr/>
      <w:tcPr>
        <w:shd w:val="clear" w:color="auto" w:fill="FAE0D8" w:themeFill="accent6" w:themeFillTint="33"/>
      </w:tcPr>
    </w:tblStylePr>
  </w:style>
  <w:style w:type="table" w:styleId="GridTable7Colourful">
    <w:name w:val="Grid Table 7 Colorful"/>
    <w:basedOn w:val="TableNormal"/>
    <w:uiPriority w:val="52"/>
    <w:semiHidden/>
    <w:rsid w:val="00E45C9C"/>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urfulAccent1">
    <w:name w:val="Grid Table 7 Colorful Accent 1"/>
    <w:basedOn w:val="TableNormal"/>
    <w:uiPriority w:val="52"/>
    <w:semiHidden/>
    <w:rsid w:val="00E45C9C"/>
    <w:pPr>
      <w:spacing w:after="0" w:line="240" w:lineRule="auto"/>
    </w:pPr>
    <w:rPr>
      <w:color w:val="141A1F" w:themeColor="accent1" w:themeShade="BF"/>
    </w:rPr>
    <w:tblPr>
      <w:tblStyleRowBandSize w:val="1"/>
      <w:tblStyleColBandSize w:val="1"/>
      <w:tblBorders>
        <w:top w:val="single" w:sz="4" w:space="0" w:color="607F95" w:themeColor="accent1" w:themeTint="99"/>
        <w:left w:val="single" w:sz="4" w:space="0" w:color="607F95" w:themeColor="accent1" w:themeTint="99"/>
        <w:bottom w:val="single" w:sz="4" w:space="0" w:color="607F95" w:themeColor="accent1" w:themeTint="99"/>
        <w:right w:val="single" w:sz="4" w:space="0" w:color="607F95" w:themeColor="accent1" w:themeTint="99"/>
        <w:insideH w:val="single" w:sz="4" w:space="0" w:color="607F95" w:themeColor="accent1" w:themeTint="99"/>
        <w:insideV w:val="single" w:sz="4" w:space="0" w:color="607F9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9D4DC" w:themeFill="accent1" w:themeFillTint="33"/>
      </w:tcPr>
    </w:tblStylePr>
    <w:tblStylePr w:type="band1Horz">
      <w:tblPr/>
      <w:tcPr>
        <w:shd w:val="clear" w:color="auto" w:fill="C9D4DC" w:themeFill="accent1" w:themeFillTint="33"/>
      </w:tcPr>
    </w:tblStylePr>
    <w:tblStylePr w:type="neCell">
      <w:tblPr/>
      <w:tcPr>
        <w:tcBorders>
          <w:bottom w:val="single" w:sz="4" w:space="0" w:color="607F95" w:themeColor="accent1" w:themeTint="99"/>
        </w:tcBorders>
      </w:tcPr>
    </w:tblStylePr>
    <w:tblStylePr w:type="nwCell">
      <w:tblPr/>
      <w:tcPr>
        <w:tcBorders>
          <w:bottom w:val="single" w:sz="4" w:space="0" w:color="607F95" w:themeColor="accent1" w:themeTint="99"/>
        </w:tcBorders>
      </w:tcPr>
    </w:tblStylePr>
    <w:tblStylePr w:type="seCell">
      <w:tblPr/>
      <w:tcPr>
        <w:tcBorders>
          <w:top w:val="single" w:sz="4" w:space="0" w:color="607F95" w:themeColor="accent1" w:themeTint="99"/>
        </w:tcBorders>
      </w:tcPr>
    </w:tblStylePr>
    <w:tblStylePr w:type="swCell">
      <w:tblPr/>
      <w:tcPr>
        <w:tcBorders>
          <w:top w:val="single" w:sz="4" w:space="0" w:color="607F95" w:themeColor="accent1" w:themeTint="99"/>
        </w:tcBorders>
      </w:tcPr>
    </w:tblStylePr>
  </w:style>
  <w:style w:type="table" w:styleId="GridTable7ColourfulAccent2">
    <w:name w:val="Grid Table 7 Colorful Accent 2"/>
    <w:basedOn w:val="TableNormal"/>
    <w:uiPriority w:val="52"/>
    <w:semiHidden/>
    <w:rsid w:val="00E45C9C"/>
    <w:pPr>
      <w:spacing w:after="0" w:line="240" w:lineRule="auto"/>
    </w:pPr>
    <w:rPr>
      <w:color w:val="005764" w:themeColor="accent2" w:themeShade="BF"/>
    </w:rPr>
    <w:tblPr>
      <w:tblStyleRowBandSize w:val="1"/>
      <w:tblStyleColBandSize w:val="1"/>
      <w:tblBorders>
        <w:top w:val="single" w:sz="4" w:space="0" w:color="1DE1FF" w:themeColor="accent2" w:themeTint="99"/>
        <w:left w:val="single" w:sz="4" w:space="0" w:color="1DE1FF" w:themeColor="accent2" w:themeTint="99"/>
        <w:bottom w:val="single" w:sz="4" w:space="0" w:color="1DE1FF" w:themeColor="accent2" w:themeTint="99"/>
        <w:right w:val="single" w:sz="4" w:space="0" w:color="1DE1FF" w:themeColor="accent2" w:themeTint="99"/>
        <w:insideH w:val="single" w:sz="4" w:space="0" w:color="1DE1FF" w:themeColor="accent2" w:themeTint="99"/>
        <w:insideV w:val="single" w:sz="4" w:space="0" w:color="1DE1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3F5FF" w:themeFill="accent2" w:themeFillTint="33"/>
      </w:tcPr>
    </w:tblStylePr>
    <w:tblStylePr w:type="band1Horz">
      <w:tblPr/>
      <w:tcPr>
        <w:shd w:val="clear" w:color="auto" w:fill="B3F5FF" w:themeFill="accent2" w:themeFillTint="33"/>
      </w:tcPr>
    </w:tblStylePr>
    <w:tblStylePr w:type="neCell">
      <w:tblPr/>
      <w:tcPr>
        <w:tcBorders>
          <w:bottom w:val="single" w:sz="4" w:space="0" w:color="1DE1FF" w:themeColor="accent2" w:themeTint="99"/>
        </w:tcBorders>
      </w:tcPr>
    </w:tblStylePr>
    <w:tblStylePr w:type="nwCell">
      <w:tblPr/>
      <w:tcPr>
        <w:tcBorders>
          <w:bottom w:val="single" w:sz="4" w:space="0" w:color="1DE1FF" w:themeColor="accent2" w:themeTint="99"/>
        </w:tcBorders>
      </w:tcPr>
    </w:tblStylePr>
    <w:tblStylePr w:type="seCell">
      <w:tblPr/>
      <w:tcPr>
        <w:tcBorders>
          <w:top w:val="single" w:sz="4" w:space="0" w:color="1DE1FF" w:themeColor="accent2" w:themeTint="99"/>
        </w:tcBorders>
      </w:tcPr>
    </w:tblStylePr>
    <w:tblStylePr w:type="swCell">
      <w:tblPr/>
      <w:tcPr>
        <w:tcBorders>
          <w:top w:val="single" w:sz="4" w:space="0" w:color="1DE1FF" w:themeColor="accent2" w:themeTint="99"/>
        </w:tcBorders>
      </w:tcPr>
    </w:tblStylePr>
  </w:style>
  <w:style w:type="table" w:styleId="GridTable7ColourfulAccent3">
    <w:name w:val="Grid Table 7 Colorful Accent 3"/>
    <w:basedOn w:val="TableNormal"/>
    <w:uiPriority w:val="52"/>
    <w:semiHidden/>
    <w:rsid w:val="00E45C9C"/>
    <w:pPr>
      <w:spacing w:after="0" w:line="240" w:lineRule="auto"/>
    </w:pPr>
    <w:rPr>
      <w:color w:val="1A97D9" w:themeColor="accent3" w:themeShade="BF"/>
    </w:rPr>
    <w:tblPr>
      <w:tblStyleRowBandSize w:val="1"/>
      <w:tblStyleColBandSize w:val="1"/>
      <w:tblBorders>
        <w:top w:val="single" w:sz="4" w:space="0" w:color="9CD4F3" w:themeColor="accent3" w:themeTint="99"/>
        <w:left w:val="single" w:sz="4" w:space="0" w:color="9CD4F3" w:themeColor="accent3" w:themeTint="99"/>
        <w:bottom w:val="single" w:sz="4" w:space="0" w:color="9CD4F3" w:themeColor="accent3" w:themeTint="99"/>
        <w:right w:val="single" w:sz="4" w:space="0" w:color="9CD4F3" w:themeColor="accent3" w:themeTint="99"/>
        <w:insideH w:val="single" w:sz="4" w:space="0" w:color="9CD4F3" w:themeColor="accent3" w:themeTint="99"/>
        <w:insideV w:val="single" w:sz="4" w:space="0" w:color="9CD4F3"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F0FB" w:themeFill="accent3" w:themeFillTint="33"/>
      </w:tcPr>
    </w:tblStylePr>
    <w:tblStylePr w:type="band1Horz">
      <w:tblPr/>
      <w:tcPr>
        <w:shd w:val="clear" w:color="auto" w:fill="DEF0FB" w:themeFill="accent3" w:themeFillTint="33"/>
      </w:tcPr>
    </w:tblStylePr>
    <w:tblStylePr w:type="neCell">
      <w:tblPr/>
      <w:tcPr>
        <w:tcBorders>
          <w:bottom w:val="single" w:sz="4" w:space="0" w:color="9CD4F3" w:themeColor="accent3" w:themeTint="99"/>
        </w:tcBorders>
      </w:tcPr>
    </w:tblStylePr>
    <w:tblStylePr w:type="nwCell">
      <w:tblPr/>
      <w:tcPr>
        <w:tcBorders>
          <w:bottom w:val="single" w:sz="4" w:space="0" w:color="9CD4F3" w:themeColor="accent3" w:themeTint="99"/>
        </w:tcBorders>
      </w:tcPr>
    </w:tblStylePr>
    <w:tblStylePr w:type="seCell">
      <w:tblPr/>
      <w:tcPr>
        <w:tcBorders>
          <w:top w:val="single" w:sz="4" w:space="0" w:color="9CD4F3" w:themeColor="accent3" w:themeTint="99"/>
        </w:tcBorders>
      </w:tcPr>
    </w:tblStylePr>
    <w:tblStylePr w:type="swCell">
      <w:tblPr/>
      <w:tcPr>
        <w:tcBorders>
          <w:top w:val="single" w:sz="4" w:space="0" w:color="9CD4F3" w:themeColor="accent3" w:themeTint="99"/>
        </w:tcBorders>
      </w:tcPr>
    </w:tblStylePr>
  </w:style>
  <w:style w:type="table" w:styleId="GridTable7ColourfulAccent4">
    <w:name w:val="Grid Table 7 Colorful Accent 4"/>
    <w:basedOn w:val="TableNormal"/>
    <w:uiPriority w:val="52"/>
    <w:semiHidden/>
    <w:rsid w:val="00E45C9C"/>
    <w:pPr>
      <w:spacing w:after="0" w:line="240" w:lineRule="auto"/>
    </w:pPr>
    <w:rPr>
      <w:color w:val="003871" w:themeColor="accent4" w:themeShade="BF"/>
    </w:rPr>
    <w:tblPr>
      <w:tblStyleRowBandSize w:val="1"/>
      <w:tblStyleColBandSize w:val="1"/>
      <w:tblBorders>
        <w:top w:val="single" w:sz="4" w:space="0" w:color="2793FF" w:themeColor="accent4" w:themeTint="99"/>
        <w:left w:val="single" w:sz="4" w:space="0" w:color="2793FF" w:themeColor="accent4" w:themeTint="99"/>
        <w:bottom w:val="single" w:sz="4" w:space="0" w:color="2793FF" w:themeColor="accent4" w:themeTint="99"/>
        <w:right w:val="single" w:sz="4" w:space="0" w:color="2793FF" w:themeColor="accent4" w:themeTint="99"/>
        <w:insideH w:val="single" w:sz="4" w:space="0" w:color="2793FF" w:themeColor="accent4" w:themeTint="99"/>
        <w:insideV w:val="single" w:sz="4" w:space="0" w:color="2793F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4" w:themeFillTint="33"/>
      </w:tcPr>
    </w:tblStylePr>
    <w:tblStylePr w:type="band1Horz">
      <w:tblPr/>
      <w:tcPr>
        <w:shd w:val="clear" w:color="auto" w:fill="B7DBFF" w:themeFill="accent4" w:themeFillTint="33"/>
      </w:tcPr>
    </w:tblStylePr>
    <w:tblStylePr w:type="neCell">
      <w:tblPr/>
      <w:tcPr>
        <w:tcBorders>
          <w:bottom w:val="single" w:sz="4" w:space="0" w:color="2793FF" w:themeColor="accent4" w:themeTint="99"/>
        </w:tcBorders>
      </w:tcPr>
    </w:tblStylePr>
    <w:tblStylePr w:type="nwCell">
      <w:tblPr/>
      <w:tcPr>
        <w:tcBorders>
          <w:bottom w:val="single" w:sz="4" w:space="0" w:color="2793FF" w:themeColor="accent4" w:themeTint="99"/>
        </w:tcBorders>
      </w:tcPr>
    </w:tblStylePr>
    <w:tblStylePr w:type="seCell">
      <w:tblPr/>
      <w:tcPr>
        <w:tcBorders>
          <w:top w:val="single" w:sz="4" w:space="0" w:color="2793FF" w:themeColor="accent4" w:themeTint="99"/>
        </w:tcBorders>
      </w:tcPr>
    </w:tblStylePr>
    <w:tblStylePr w:type="swCell">
      <w:tblPr/>
      <w:tcPr>
        <w:tcBorders>
          <w:top w:val="single" w:sz="4" w:space="0" w:color="2793FF" w:themeColor="accent4" w:themeTint="99"/>
        </w:tcBorders>
      </w:tcPr>
    </w:tblStylePr>
  </w:style>
  <w:style w:type="table" w:styleId="GridTable7ColourfulAccent5">
    <w:name w:val="Grid Table 7 Colorful Accent 5"/>
    <w:basedOn w:val="TableNormal"/>
    <w:uiPriority w:val="52"/>
    <w:semiHidden/>
    <w:rsid w:val="00E45C9C"/>
    <w:pPr>
      <w:spacing w:after="0" w:line="240" w:lineRule="auto"/>
    </w:pPr>
    <w:rPr>
      <w:color w:val="428049" w:themeColor="accent5" w:themeShade="BF"/>
    </w:rPr>
    <w:tblPr>
      <w:tblStyleRowBandSize w:val="1"/>
      <w:tblStyleColBandSize w:val="1"/>
      <w:tblBorders>
        <w:top w:val="single" w:sz="4" w:space="0" w:color="9CCCA1" w:themeColor="accent5" w:themeTint="99"/>
        <w:left w:val="single" w:sz="4" w:space="0" w:color="9CCCA1" w:themeColor="accent5" w:themeTint="99"/>
        <w:bottom w:val="single" w:sz="4" w:space="0" w:color="9CCCA1" w:themeColor="accent5" w:themeTint="99"/>
        <w:right w:val="single" w:sz="4" w:space="0" w:color="9CCCA1" w:themeColor="accent5" w:themeTint="99"/>
        <w:insideH w:val="single" w:sz="4" w:space="0" w:color="9CCCA1" w:themeColor="accent5" w:themeTint="99"/>
        <w:insideV w:val="single" w:sz="4" w:space="0" w:color="9CCCA1"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EDF" w:themeFill="accent5" w:themeFillTint="33"/>
      </w:tcPr>
    </w:tblStylePr>
    <w:tblStylePr w:type="band1Horz">
      <w:tblPr/>
      <w:tcPr>
        <w:shd w:val="clear" w:color="auto" w:fill="DEEEDF" w:themeFill="accent5" w:themeFillTint="33"/>
      </w:tcPr>
    </w:tblStylePr>
    <w:tblStylePr w:type="neCell">
      <w:tblPr/>
      <w:tcPr>
        <w:tcBorders>
          <w:bottom w:val="single" w:sz="4" w:space="0" w:color="9CCCA1" w:themeColor="accent5" w:themeTint="99"/>
        </w:tcBorders>
      </w:tcPr>
    </w:tblStylePr>
    <w:tblStylePr w:type="nwCell">
      <w:tblPr/>
      <w:tcPr>
        <w:tcBorders>
          <w:bottom w:val="single" w:sz="4" w:space="0" w:color="9CCCA1" w:themeColor="accent5" w:themeTint="99"/>
        </w:tcBorders>
      </w:tcPr>
    </w:tblStylePr>
    <w:tblStylePr w:type="seCell">
      <w:tblPr/>
      <w:tcPr>
        <w:tcBorders>
          <w:top w:val="single" w:sz="4" w:space="0" w:color="9CCCA1" w:themeColor="accent5" w:themeTint="99"/>
        </w:tcBorders>
      </w:tcPr>
    </w:tblStylePr>
    <w:tblStylePr w:type="swCell">
      <w:tblPr/>
      <w:tcPr>
        <w:tcBorders>
          <w:top w:val="single" w:sz="4" w:space="0" w:color="9CCCA1" w:themeColor="accent5" w:themeTint="99"/>
        </w:tcBorders>
      </w:tcPr>
    </w:tblStylePr>
  </w:style>
  <w:style w:type="table" w:styleId="GridTable7ColourfulAccent6">
    <w:name w:val="Grid Table 7 Colorful Accent 6"/>
    <w:basedOn w:val="TableNormal"/>
    <w:uiPriority w:val="52"/>
    <w:semiHidden/>
    <w:rsid w:val="00E45C9C"/>
    <w:pPr>
      <w:spacing w:after="0" w:line="240" w:lineRule="auto"/>
    </w:pPr>
    <w:rPr>
      <w:color w:val="C04018" w:themeColor="accent6" w:themeShade="BF"/>
    </w:rPr>
    <w:tblPr>
      <w:tblStyleRowBandSize w:val="1"/>
      <w:tblStyleColBandSize w:val="1"/>
      <w:tblBorders>
        <w:top w:val="single" w:sz="4" w:space="0" w:color="F0A28A" w:themeColor="accent6" w:themeTint="99"/>
        <w:left w:val="single" w:sz="4" w:space="0" w:color="F0A28A" w:themeColor="accent6" w:themeTint="99"/>
        <w:bottom w:val="single" w:sz="4" w:space="0" w:color="F0A28A" w:themeColor="accent6" w:themeTint="99"/>
        <w:right w:val="single" w:sz="4" w:space="0" w:color="F0A28A" w:themeColor="accent6" w:themeTint="99"/>
        <w:insideH w:val="single" w:sz="4" w:space="0" w:color="F0A28A" w:themeColor="accent6" w:themeTint="99"/>
        <w:insideV w:val="single" w:sz="4" w:space="0" w:color="F0A28A"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0D8" w:themeFill="accent6" w:themeFillTint="33"/>
      </w:tcPr>
    </w:tblStylePr>
    <w:tblStylePr w:type="band1Horz">
      <w:tblPr/>
      <w:tcPr>
        <w:shd w:val="clear" w:color="auto" w:fill="FAE0D8" w:themeFill="accent6" w:themeFillTint="33"/>
      </w:tcPr>
    </w:tblStylePr>
    <w:tblStylePr w:type="neCell">
      <w:tblPr/>
      <w:tcPr>
        <w:tcBorders>
          <w:bottom w:val="single" w:sz="4" w:space="0" w:color="F0A28A" w:themeColor="accent6" w:themeTint="99"/>
        </w:tcBorders>
      </w:tcPr>
    </w:tblStylePr>
    <w:tblStylePr w:type="nwCell">
      <w:tblPr/>
      <w:tcPr>
        <w:tcBorders>
          <w:bottom w:val="single" w:sz="4" w:space="0" w:color="F0A28A" w:themeColor="accent6" w:themeTint="99"/>
        </w:tcBorders>
      </w:tcPr>
    </w:tblStylePr>
    <w:tblStylePr w:type="seCell">
      <w:tblPr/>
      <w:tcPr>
        <w:tcBorders>
          <w:top w:val="single" w:sz="4" w:space="0" w:color="F0A28A" w:themeColor="accent6" w:themeTint="99"/>
        </w:tcBorders>
      </w:tcPr>
    </w:tblStylePr>
    <w:tblStylePr w:type="swCell">
      <w:tblPr/>
      <w:tcPr>
        <w:tcBorders>
          <w:top w:val="single" w:sz="4" w:space="0" w:color="F0A28A" w:themeColor="accent6" w:themeTint="99"/>
        </w:tcBorders>
      </w:tcPr>
    </w:tblStylePr>
  </w:style>
  <w:style w:type="table" w:styleId="LightGrid">
    <w:name w:val="Light Grid"/>
    <w:basedOn w:val="TableNormal"/>
    <w:uiPriority w:val="62"/>
    <w:semiHidden/>
    <w:rsid w:val="00E45C9C"/>
    <w:pPr>
      <w:spacing w:before="0"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E45C9C"/>
    <w:pPr>
      <w:spacing w:before="0" w:after="0" w:line="240" w:lineRule="auto"/>
    </w:pPr>
    <w:tblPr>
      <w:tblStyleRowBandSize w:val="1"/>
      <w:tblStyleColBandSize w:val="1"/>
      <w:tblBorders>
        <w:top w:val="single" w:sz="8" w:space="0" w:color="1B242A" w:themeColor="accent1"/>
        <w:left w:val="single" w:sz="8" w:space="0" w:color="1B242A" w:themeColor="accent1"/>
        <w:bottom w:val="single" w:sz="8" w:space="0" w:color="1B242A" w:themeColor="accent1"/>
        <w:right w:val="single" w:sz="8" w:space="0" w:color="1B242A" w:themeColor="accent1"/>
        <w:insideH w:val="single" w:sz="8" w:space="0" w:color="1B242A" w:themeColor="accent1"/>
        <w:insideV w:val="single" w:sz="8" w:space="0" w:color="1B242A"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B242A" w:themeColor="accent1"/>
          <w:left w:val="single" w:sz="8" w:space="0" w:color="1B242A" w:themeColor="accent1"/>
          <w:bottom w:val="single" w:sz="18" w:space="0" w:color="1B242A" w:themeColor="accent1"/>
          <w:right w:val="single" w:sz="8" w:space="0" w:color="1B242A" w:themeColor="accent1"/>
          <w:insideH w:val="nil"/>
          <w:insideV w:val="single" w:sz="8" w:space="0" w:color="1B242A"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B242A" w:themeColor="accent1"/>
          <w:left w:val="single" w:sz="8" w:space="0" w:color="1B242A" w:themeColor="accent1"/>
          <w:bottom w:val="single" w:sz="8" w:space="0" w:color="1B242A" w:themeColor="accent1"/>
          <w:right w:val="single" w:sz="8" w:space="0" w:color="1B242A" w:themeColor="accent1"/>
          <w:insideH w:val="nil"/>
          <w:insideV w:val="single" w:sz="8" w:space="0" w:color="1B242A"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B242A" w:themeColor="accent1"/>
          <w:left w:val="single" w:sz="8" w:space="0" w:color="1B242A" w:themeColor="accent1"/>
          <w:bottom w:val="single" w:sz="8" w:space="0" w:color="1B242A" w:themeColor="accent1"/>
          <w:right w:val="single" w:sz="8" w:space="0" w:color="1B242A" w:themeColor="accent1"/>
        </w:tcBorders>
      </w:tcPr>
    </w:tblStylePr>
    <w:tblStylePr w:type="band1Vert">
      <w:tblPr/>
      <w:tcPr>
        <w:tcBorders>
          <w:top w:val="single" w:sz="8" w:space="0" w:color="1B242A" w:themeColor="accent1"/>
          <w:left w:val="single" w:sz="8" w:space="0" w:color="1B242A" w:themeColor="accent1"/>
          <w:bottom w:val="single" w:sz="8" w:space="0" w:color="1B242A" w:themeColor="accent1"/>
          <w:right w:val="single" w:sz="8" w:space="0" w:color="1B242A" w:themeColor="accent1"/>
        </w:tcBorders>
        <w:shd w:val="clear" w:color="auto" w:fill="BCCAD4" w:themeFill="accent1" w:themeFillTint="3F"/>
      </w:tcPr>
    </w:tblStylePr>
    <w:tblStylePr w:type="band1Horz">
      <w:tblPr/>
      <w:tcPr>
        <w:tcBorders>
          <w:top w:val="single" w:sz="8" w:space="0" w:color="1B242A" w:themeColor="accent1"/>
          <w:left w:val="single" w:sz="8" w:space="0" w:color="1B242A" w:themeColor="accent1"/>
          <w:bottom w:val="single" w:sz="8" w:space="0" w:color="1B242A" w:themeColor="accent1"/>
          <w:right w:val="single" w:sz="8" w:space="0" w:color="1B242A" w:themeColor="accent1"/>
          <w:insideV w:val="single" w:sz="8" w:space="0" w:color="1B242A" w:themeColor="accent1"/>
        </w:tcBorders>
        <w:shd w:val="clear" w:color="auto" w:fill="BCCAD4" w:themeFill="accent1" w:themeFillTint="3F"/>
      </w:tcPr>
    </w:tblStylePr>
    <w:tblStylePr w:type="band2Horz">
      <w:tblPr/>
      <w:tcPr>
        <w:tcBorders>
          <w:top w:val="single" w:sz="8" w:space="0" w:color="1B242A" w:themeColor="accent1"/>
          <w:left w:val="single" w:sz="8" w:space="0" w:color="1B242A" w:themeColor="accent1"/>
          <w:bottom w:val="single" w:sz="8" w:space="0" w:color="1B242A" w:themeColor="accent1"/>
          <w:right w:val="single" w:sz="8" w:space="0" w:color="1B242A" w:themeColor="accent1"/>
          <w:insideV w:val="single" w:sz="8" w:space="0" w:color="1B242A" w:themeColor="accent1"/>
        </w:tcBorders>
      </w:tcPr>
    </w:tblStylePr>
  </w:style>
  <w:style w:type="table" w:styleId="LightGrid-Accent2">
    <w:name w:val="Light Grid Accent 2"/>
    <w:basedOn w:val="TableNormal"/>
    <w:uiPriority w:val="62"/>
    <w:semiHidden/>
    <w:rsid w:val="00E45C9C"/>
    <w:pPr>
      <w:spacing w:before="0" w:after="0" w:line="240" w:lineRule="auto"/>
    </w:pPr>
    <w:tblPr>
      <w:tblStyleRowBandSize w:val="1"/>
      <w:tblStyleColBandSize w:val="1"/>
      <w:tblBorders>
        <w:top w:val="single" w:sz="8" w:space="0" w:color="007586" w:themeColor="accent2"/>
        <w:left w:val="single" w:sz="8" w:space="0" w:color="007586" w:themeColor="accent2"/>
        <w:bottom w:val="single" w:sz="8" w:space="0" w:color="007586" w:themeColor="accent2"/>
        <w:right w:val="single" w:sz="8" w:space="0" w:color="007586" w:themeColor="accent2"/>
        <w:insideH w:val="single" w:sz="8" w:space="0" w:color="007586" w:themeColor="accent2"/>
        <w:insideV w:val="single" w:sz="8" w:space="0" w:color="007586"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586" w:themeColor="accent2"/>
          <w:left w:val="single" w:sz="8" w:space="0" w:color="007586" w:themeColor="accent2"/>
          <w:bottom w:val="single" w:sz="18" w:space="0" w:color="007586" w:themeColor="accent2"/>
          <w:right w:val="single" w:sz="8" w:space="0" w:color="007586" w:themeColor="accent2"/>
          <w:insideH w:val="nil"/>
          <w:insideV w:val="single" w:sz="8" w:space="0" w:color="007586"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586" w:themeColor="accent2"/>
          <w:left w:val="single" w:sz="8" w:space="0" w:color="007586" w:themeColor="accent2"/>
          <w:bottom w:val="single" w:sz="8" w:space="0" w:color="007586" w:themeColor="accent2"/>
          <w:right w:val="single" w:sz="8" w:space="0" w:color="007586" w:themeColor="accent2"/>
          <w:insideH w:val="nil"/>
          <w:insideV w:val="single" w:sz="8" w:space="0" w:color="007586"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586" w:themeColor="accent2"/>
          <w:left w:val="single" w:sz="8" w:space="0" w:color="007586" w:themeColor="accent2"/>
          <w:bottom w:val="single" w:sz="8" w:space="0" w:color="007586" w:themeColor="accent2"/>
          <w:right w:val="single" w:sz="8" w:space="0" w:color="007586" w:themeColor="accent2"/>
        </w:tcBorders>
      </w:tcPr>
    </w:tblStylePr>
    <w:tblStylePr w:type="band1Vert">
      <w:tblPr/>
      <w:tcPr>
        <w:tcBorders>
          <w:top w:val="single" w:sz="8" w:space="0" w:color="007586" w:themeColor="accent2"/>
          <w:left w:val="single" w:sz="8" w:space="0" w:color="007586" w:themeColor="accent2"/>
          <w:bottom w:val="single" w:sz="8" w:space="0" w:color="007586" w:themeColor="accent2"/>
          <w:right w:val="single" w:sz="8" w:space="0" w:color="007586" w:themeColor="accent2"/>
        </w:tcBorders>
        <w:shd w:val="clear" w:color="auto" w:fill="A2F2FF" w:themeFill="accent2" w:themeFillTint="3F"/>
      </w:tcPr>
    </w:tblStylePr>
    <w:tblStylePr w:type="band1Horz">
      <w:tblPr/>
      <w:tcPr>
        <w:tcBorders>
          <w:top w:val="single" w:sz="8" w:space="0" w:color="007586" w:themeColor="accent2"/>
          <w:left w:val="single" w:sz="8" w:space="0" w:color="007586" w:themeColor="accent2"/>
          <w:bottom w:val="single" w:sz="8" w:space="0" w:color="007586" w:themeColor="accent2"/>
          <w:right w:val="single" w:sz="8" w:space="0" w:color="007586" w:themeColor="accent2"/>
          <w:insideV w:val="single" w:sz="8" w:space="0" w:color="007586" w:themeColor="accent2"/>
        </w:tcBorders>
        <w:shd w:val="clear" w:color="auto" w:fill="A2F2FF" w:themeFill="accent2" w:themeFillTint="3F"/>
      </w:tcPr>
    </w:tblStylePr>
    <w:tblStylePr w:type="band2Horz">
      <w:tblPr/>
      <w:tcPr>
        <w:tcBorders>
          <w:top w:val="single" w:sz="8" w:space="0" w:color="007586" w:themeColor="accent2"/>
          <w:left w:val="single" w:sz="8" w:space="0" w:color="007586" w:themeColor="accent2"/>
          <w:bottom w:val="single" w:sz="8" w:space="0" w:color="007586" w:themeColor="accent2"/>
          <w:right w:val="single" w:sz="8" w:space="0" w:color="007586" w:themeColor="accent2"/>
          <w:insideV w:val="single" w:sz="8" w:space="0" w:color="007586" w:themeColor="accent2"/>
        </w:tcBorders>
      </w:tcPr>
    </w:tblStylePr>
  </w:style>
  <w:style w:type="table" w:styleId="LightGrid-Accent3">
    <w:name w:val="Light Grid Accent 3"/>
    <w:basedOn w:val="TableNormal"/>
    <w:uiPriority w:val="62"/>
    <w:semiHidden/>
    <w:rsid w:val="00E45C9C"/>
    <w:pPr>
      <w:spacing w:before="0" w:after="0" w:line="240" w:lineRule="auto"/>
    </w:pPr>
    <w:tblPr>
      <w:tblStyleRowBandSize w:val="1"/>
      <w:tblStyleColBandSize w:val="1"/>
      <w:tblBorders>
        <w:top w:val="single" w:sz="8" w:space="0" w:color="5AB9EB" w:themeColor="accent3"/>
        <w:left w:val="single" w:sz="8" w:space="0" w:color="5AB9EB" w:themeColor="accent3"/>
        <w:bottom w:val="single" w:sz="8" w:space="0" w:color="5AB9EB" w:themeColor="accent3"/>
        <w:right w:val="single" w:sz="8" w:space="0" w:color="5AB9EB" w:themeColor="accent3"/>
        <w:insideH w:val="single" w:sz="8" w:space="0" w:color="5AB9EB" w:themeColor="accent3"/>
        <w:insideV w:val="single" w:sz="8" w:space="0" w:color="5AB9EB"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AB9EB" w:themeColor="accent3"/>
          <w:left w:val="single" w:sz="8" w:space="0" w:color="5AB9EB" w:themeColor="accent3"/>
          <w:bottom w:val="single" w:sz="18" w:space="0" w:color="5AB9EB" w:themeColor="accent3"/>
          <w:right w:val="single" w:sz="8" w:space="0" w:color="5AB9EB" w:themeColor="accent3"/>
          <w:insideH w:val="nil"/>
          <w:insideV w:val="single" w:sz="8" w:space="0" w:color="5AB9EB"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AB9EB" w:themeColor="accent3"/>
          <w:left w:val="single" w:sz="8" w:space="0" w:color="5AB9EB" w:themeColor="accent3"/>
          <w:bottom w:val="single" w:sz="8" w:space="0" w:color="5AB9EB" w:themeColor="accent3"/>
          <w:right w:val="single" w:sz="8" w:space="0" w:color="5AB9EB" w:themeColor="accent3"/>
          <w:insideH w:val="nil"/>
          <w:insideV w:val="single" w:sz="8" w:space="0" w:color="5AB9EB"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AB9EB" w:themeColor="accent3"/>
          <w:left w:val="single" w:sz="8" w:space="0" w:color="5AB9EB" w:themeColor="accent3"/>
          <w:bottom w:val="single" w:sz="8" w:space="0" w:color="5AB9EB" w:themeColor="accent3"/>
          <w:right w:val="single" w:sz="8" w:space="0" w:color="5AB9EB" w:themeColor="accent3"/>
        </w:tcBorders>
      </w:tcPr>
    </w:tblStylePr>
    <w:tblStylePr w:type="band1Vert">
      <w:tblPr/>
      <w:tcPr>
        <w:tcBorders>
          <w:top w:val="single" w:sz="8" w:space="0" w:color="5AB9EB" w:themeColor="accent3"/>
          <w:left w:val="single" w:sz="8" w:space="0" w:color="5AB9EB" w:themeColor="accent3"/>
          <w:bottom w:val="single" w:sz="8" w:space="0" w:color="5AB9EB" w:themeColor="accent3"/>
          <w:right w:val="single" w:sz="8" w:space="0" w:color="5AB9EB" w:themeColor="accent3"/>
        </w:tcBorders>
        <w:shd w:val="clear" w:color="auto" w:fill="D5EDFA" w:themeFill="accent3" w:themeFillTint="3F"/>
      </w:tcPr>
    </w:tblStylePr>
    <w:tblStylePr w:type="band1Horz">
      <w:tblPr/>
      <w:tcPr>
        <w:tcBorders>
          <w:top w:val="single" w:sz="8" w:space="0" w:color="5AB9EB" w:themeColor="accent3"/>
          <w:left w:val="single" w:sz="8" w:space="0" w:color="5AB9EB" w:themeColor="accent3"/>
          <w:bottom w:val="single" w:sz="8" w:space="0" w:color="5AB9EB" w:themeColor="accent3"/>
          <w:right w:val="single" w:sz="8" w:space="0" w:color="5AB9EB" w:themeColor="accent3"/>
          <w:insideV w:val="single" w:sz="8" w:space="0" w:color="5AB9EB" w:themeColor="accent3"/>
        </w:tcBorders>
        <w:shd w:val="clear" w:color="auto" w:fill="D5EDFA" w:themeFill="accent3" w:themeFillTint="3F"/>
      </w:tcPr>
    </w:tblStylePr>
    <w:tblStylePr w:type="band2Horz">
      <w:tblPr/>
      <w:tcPr>
        <w:tcBorders>
          <w:top w:val="single" w:sz="8" w:space="0" w:color="5AB9EB" w:themeColor="accent3"/>
          <w:left w:val="single" w:sz="8" w:space="0" w:color="5AB9EB" w:themeColor="accent3"/>
          <w:bottom w:val="single" w:sz="8" w:space="0" w:color="5AB9EB" w:themeColor="accent3"/>
          <w:right w:val="single" w:sz="8" w:space="0" w:color="5AB9EB" w:themeColor="accent3"/>
          <w:insideV w:val="single" w:sz="8" w:space="0" w:color="5AB9EB" w:themeColor="accent3"/>
        </w:tcBorders>
      </w:tcPr>
    </w:tblStylePr>
  </w:style>
  <w:style w:type="table" w:styleId="LightGrid-Accent4">
    <w:name w:val="Light Grid Accent 4"/>
    <w:basedOn w:val="TableNormal"/>
    <w:uiPriority w:val="62"/>
    <w:semiHidden/>
    <w:rsid w:val="00E45C9C"/>
    <w:pPr>
      <w:spacing w:before="0" w:after="0" w:line="240" w:lineRule="auto"/>
    </w:pPr>
    <w:tblPr>
      <w:tblStyleRowBandSize w:val="1"/>
      <w:tblStyleColBandSize w:val="1"/>
      <w:tblBorders>
        <w:top w:val="single" w:sz="8" w:space="0" w:color="004C97" w:themeColor="accent4"/>
        <w:left w:val="single" w:sz="8" w:space="0" w:color="004C97" w:themeColor="accent4"/>
        <w:bottom w:val="single" w:sz="8" w:space="0" w:color="004C97" w:themeColor="accent4"/>
        <w:right w:val="single" w:sz="8" w:space="0" w:color="004C97" w:themeColor="accent4"/>
        <w:insideH w:val="single" w:sz="8" w:space="0" w:color="004C97" w:themeColor="accent4"/>
        <w:insideV w:val="single" w:sz="8" w:space="0" w:color="004C9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4"/>
          <w:left w:val="single" w:sz="8" w:space="0" w:color="004C97" w:themeColor="accent4"/>
          <w:bottom w:val="single" w:sz="18" w:space="0" w:color="004C97" w:themeColor="accent4"/>
          <w:right w:val="single" w:sz="8" w:space="0" w:color="004C97" w:themeColor="accent4"/>
          <w:insideH w:val="nil"/>
          <w:insideV w:val="single" w:sz="8" w:space="0" w:color="004C9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4"/>
          <w:left w:val="single" w:sz="8" w:space="0" w:color="004C97" w:themeColor="accent4"/>
          <w:bottom w:val="single" w:sz="8" w:space="0" w:color="004C97" w:themeColor="accent4"/>
          <w:right w:val="single" w:sz="8" w:space="0" w:color="004C97" w:themeColor="accent4"/>
          <w:insideH w:val="nil"/>
          <w:insideV w:val="single" w:sz="8" w:space="0" w:color="004C9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4"/>
          <w:left w:val="single" w:sz="8" w:space="0" w:color="004C97" w:themeColor="accent4"/>
          <w:bottom w:val="single" w:sz="8" w:space="0" w:color="004C97" w:themeColor="accent4"/>
          <w:right w:val="single" w:sz="8" w:space="0" w:color="004C97" w:themeColor="accent4"/>
        </w:tcBorders>
      </w:tcPr>
    </w:tblStylePr>
    <w:tblStylePr w:type="band1Vert">
      <w:tblPr/>
      <w:tcPr>
        <w:tcBorders>
          <w:top w:val="single" w:sz="8" w:space="0" w:color="004C97" w:themeColor="accent4"/>
          <w:left w:val="single" w:sz="8" w:space="0" w:color="004C97" w:themeColor="accent4"/>
          <w:bottom w:val="single" w:sz="8" w:space="0" w:color="004C97" w:themeColor="accent4"/>
          <w:right w:val="single" w:sz="8" w:space="0" w:color="004C97" w:themeColor="accent4"/>
        </w:tcBorders>
        <w:shd w:val="clear" w:color="auto" w:fill="A6D2FF" w:themeFill="accent4" w:themeFillTint="3F"/>
      </w:tcPr>
    </w:tblStylePr>
    <w:tblStylePr w:type="band1Horz">
      <w:tblPr/>
      <w:tcPr>
        <w:tcBorders>
          <w:top w:val="single" w:sz="8" w:space="0" w:color="004C97" w:themeColor="accent4"/>
          <w:left w:val="single" w:sz="8" w:space="0" w:color="004C97" w:themeColor="accent4"/>
          <w:bottom w:val="single" w:sz="8" w:space="0" w:color="004C97" w:themeColor="accent4"/>
          <w:right w:val="single" w:sz="8" w:space="0" w:color="004C97" w:themeColor="accent4"/>
          <w:insideV w:val="single" w:sz="8" w:space="0" w:color="004C97" w:themeColor="accent4"/>
        </w:tcBorders>
        <w:shd w:val="clear" w:color="auto" w:fill="A6D2FF" w:themeFill="accent4" w:themeFillTint="3F"/>
      </w:tcPr>
    </w:tblStylePr>
    <w:tblStylePr w:type="band2Horz">
      <w:tblPr/>
      <w:tcPr>
        <w:tcBorders>
          <w:top w:val="single" w:sz="8" w:space="0" w:color="004C97" w:themeColor="accent4"/>
          <w:left w:val="single" w:sz="8" w:space="0" w:color="004C97" w:themeColor="accent4"/>
          <w:bottom w:val="single" w:sz="8" w:space="0" w:color="004C97" w:themeColor="accent4"/>
          <w:right w:val="single" w:sz="8" w:space="0" w:color="004C97" w:themeColor="accent4"/>
          <w:insideV w:val="single" w:sz="8" w:space="0" w:color="004C97" w:themeColor="accent4"/>
        </w:tcBorders>
      </w:tcPr>
    </w:tblStylePr>
  </w:style>
  <w:style w:type="table" w:styleId="LightGrid-Accent5">
    <w:name w:val="Light Grid Accent 5"/>
    <w:basedOn w:val="TableNormal"/>
    <w:uiPriority w:val="62"/>
    <w:semiHidden/>
    <w:rsid w:val="00E45C9C"/>
    <w:pPr>
      <w:spacing w:before="0" w:after="0" w:line="240" w:lineRule="auto"/>
    </w:pPr>
    <w:tblPr>
      <w:tblStyleRowBandSize w:val="1"/>
      <w:tblStyleColBandSize w:val="1"/>
      <w:tblBorders>
        <w:top w:val="single" w:sz="8" w:space="0" w:color="5AAA64" w:themeColor="accent5"/>
        <w:left w:val="single" w:sz="8" w:space="0" w:color="5AAA64" w:themeColor="accent5"/>
        <w:bottom w:val="single" w:sz="8" w:space="0" w:color="5AAA64" w:themeColor="accent5"/>
        <w:right w:val="single" w:sz="8" w:space="0" w:color="5AAA64" w:themeColor="accent5"/>
        <w:insideH w:val="single" w:sz="8" w:space="0" w:color="5AAA64" w:themeColor="accent5"/>
        <w:insideV w:val="single" w:sz="8" w:space="0" w:color="5AAA6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AAA64" w:themeColor="accent5"/>
          <w:left w:val="single" w:sz="8" w:space="0" w:color="5AAA64" w:themeColor="accent5"/>
          <w:bottom w:val="single" w:sz="18" w:space="0" w:color="5AAA64" w:themeColor="accent5"/>
          <w:right w:val="single" w:sz="8" w:space="0" w:color="5AAA64" w:themeColor="accent5"/>
          <w:insideH w:val="nil"/>
          <w:insideV w:val="single" w:sz="8" w:space="0" w:color="5AAA6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AAA64" w:themeColor="accent5"/>
          <w:left w:val="single" w:sz="8" w:space="0" w:color="5AAA64" w:themeColor="accent5"/>
          <w:bottom w:val="single" w:sz="8" w:space="0" w:color="5AAA64" w:themeColor="accent5"/>
          <w:right w:val="single" w:sz="8" w:space="0" w:color="5AAA64" w:themeColor="accent5"/>
          <w:insideH w:val="nil"/>
          <w:insideV w:val="single" w:sz="8" w:space="0" w:color="5AAA6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AAA64" w:themeColor="accent5"/>
          <w:left w:val="single" w:sz="8" w:space="0" w:color="5AAA64" w:themeColor="accent5"/>
          <w:bottom w:val="single" w:sz="8" w:space="0" w:color="5AAA64" w:themeColor="accent5"/>
          <w:right w:val="single" w:sz="8" w:space="0" w:color="5AAA64" w:themeColor="accent5"/>
        </w:tcBorders>
      </w:tcPr>
    </w:tblStylePr>
    <w:tblStylePr w:type="band1Vert">
      <w:tblPr/>
      <w:tcPr>
        <w:tcBorders>
          <w:top w:val="single" w:sz="8" w:space="0" w:color="5AAA64" w:themeColor="accent5"/>
          <w:left w:val="single" w:sz="8" w:space="0" w:color="5AAA64" w:themeColor="accent5"/>
          <w:bottom w:val="single" w:sz="8" w:space="0" w:color="5AAA64" w:themeColor="accent5"/>
          <w:right w:val="single" w:sz="8" w:space="0" w:color="5AAA64" w:themeColor="accent5"/>
        </w:tcBorders>
        <w:shd w:val="clear" w:color="auto" w:fill="D6EAD8" w:themeFill="accent5" w:themeFillTint="3F"/>
      </w:tcPr>
    </w:tblStylePr>
    <w:tblStylePr w:type="band1Horz">
      <w:tblPr/>
      <w:tcPr>
        <w:tcBorders>
          <w:top w:val="single" w:sz="8" w:space="0" w:color="5AAA64" w:themeColor="accent5"/>
          <w:left w:val="single" w:sz="8" w:space="0" w:color="5AAA64" w:themeColor="accent5"/>
          <w:bottom w:val="single" w:sz="8" w:space="0" w:color="5AAA64" w:themeColor="accent5"/>
          <w:right w:val="single" w:sz="8" w:space="0" w:color="5AAA64" w:themeColor="accent5"/>
          <w:insideV w:val="single" w:sz="8" w:space="0" w:color="5AAA64" w:themeColor="accent5"/>
        </w:tcBorders>
        <w:shd w:val="clear" w:color="auto" w:fill="D6EAD8" w:themeFill="accent5" w:themeFillTint="3F"/>
      </w:tcPr>
    </w:tblStylePr>
    <w:tblStylePr w:type="band2Horz">
      <w:tblPr/>
      <w:tcPr>
        <w:tcBorders>
          <w:top w:val="single" w:sz="8" w:space="0" w:color="5AAA64" w:themeColor="accent5"/>
          <w:left w:val="single" w:sz="8" w:space="0" w:color="5AAA64" w:themeColor="accent5"/>
          <w:bottom w:val="single" w:sz="8" w:space="0" w:color="5AAA64" w:themeColor="accent5"/>
          <w:right w:val="single" w:sz="8" w:space="0" w:color="5AAA64" w:themeColor="accent5"/>
          <w:insideV w:val="single" w:sz="8" w:space="0" w:color="5AAA64" w:themeColor="accent5"/>
        </w:tcBorders>
      </w:tcPr>
    </w:tblStylePr>
  </w:style>
  <w:style w:type="table" w:styleId="LightGrid-Accent6">
    <w:name w:val="Light Grid Accent 6"/>
    <w:basedOn w:val="TableNormal"/>
    <w:uiPriority w:val="62"/>
    <w:semiHidden/>
    <w:rsid w:val="00E45C9C"/>
    <w:pPr>
      <w:spacing w:before="0" w:after="0" w:line="240" w:lineRule="auto"/>
    </w:pPr>
    <w:tblPr>
      <w:tblStyleRowBandSize w:val="1"/>
      <w:tblStyleColBandSize w:val="1"/>
      <w:tblBorders>
        <w:top w:val="single" w:sz="8" w:space="0" w:color="E6643C" w:themeColor="accent6"/>
        <w:left w:val="single" w:sz="8" w:space="0" w:color="E6643C" w:themeColor="accent6"/>
        <w:bottom w:val="single" w:sz="8" w:space="0" w:color="E6643C" w:themeColor="accent6"/>
        <w:right w:val="single" w:sz="8" w:space="0" w:color="E6643C" w:themeColor="accent6"/>
        <w:insideH w:val="single" w:sz="8" w:space="0" w:color="E6643C" w:themeColor="accent6"/>
        <w:insideV w:val="single" w:sz="8" w:space="0" w:color="E6643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6643C" w:themeColor="accent6"/>
          <w:left w:val="single" w:sz="8" w:space="0" w:color="E6643C" w:themeColor="accent6"/>
          <w:bottom w:val="single" w:sz="18" w:space="0" w:color="E6643C" w:themeColor="accent6"/>
          <w:right w:val="single" w:sz="8" w:space="0" w:color="E6643C" w:themeColor="accent6"/>
          <w:insideH w:val="nil"/>
          <w:insideV w:val="single" w:sz="8" w:space="0" w:color="E6643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6643C" w:themeColor="accent6"/>
          <w:left w:val="single" w:sz="8" w:space="0" w:color="E6643C" w:themeColor="accent6"/>
          <w:bottom w:val="single" w:sz="8" w:space="0" w:color="E6643C" w:themeColor="accent6"/>
          <w:right w:val="single" w:sz="8" w:space="0" w:color="E6643C" w:themeColor="accent6"/>
          <w:insideH w:val="nil"/>
          <w:insideV w:val="single" w:sz="8" w:space="0" w:color="E6643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6643C" w:themeColor="accent6"/>
          <w:left w:val="single" w:sz="8" w:space="0" w:color="E6643C" w:themeColor="accent6"/>
          <w:bottom w:val="single" w:sz="8" w:space="0" w:color="E6643C" w:themeColor="accent6"/>
          <w:right w:val="single" w:sz="8" w:space="0" w:color="E6643C" w:themeColor="accent6"/>
        </w:tcBorders>
      </w:tcPr>
    </w:tblStylePr>
    <w:tblStylePr w:type="band1Vert">
      <w:tblPr/>
      <w:tcPr>
        <w:tcBorders>
          <w:top w:val="single" w:sz="8" w:space="0" w:color="E6643C" w:themeColor="accent6"/>
          <w:left w:val="single" w:sz="8" w:space="0" w:color="E6643C" w:themeColor="accent6"/>
          <w:bottom w:val="single" w:sz="8" w:space="0" w:color="E6643C" w:themeColor="accent6"/>
          <w:right w:val="single" w:sz="8" w:space="0" w:color="E6643C" w:themeColor="accent6"/>
        </w:tcBorders>
        <w:shd w:val="clear" w:color="auto" w:fill="F8D8CE" w:themeFill="accent6" w:themeFillTint="3F"/>
      </w:tcPr>
    </w:tblStylePr>
    <w:tblStylePr w:type="band1Horz">
      <w:tblPr/>
      <w:tcPr>
        <w:tcBorders>
          <w:top w:val="single" w:sz="8" w:space="0" w:color="E6643C" w:themeColor="accent6"/>
          <w:left w:val="single" w:sz="8" w:space="0" w:color="E6643C" w:themeColor="accent6"/>
          <w:bottom w:val="single" w:sz="8" w:space="0" w:color="E6643C" w:themeColor="accent6"/>
          <w:right w:val="single" w:sz="8" w:space="0" w:color="E6643C" w:themeColor="accent6"/>
          <w:insideV w:val="single" w:sz="8" w:space="0" w:color="E6643C" w:themeColor="accent6"/>
        </w:tcBorders>
        <w:shd w:val="clear" w:color="auto" w:fill="F8D8CE" w:themeFill="accent6" w:themeFillTint="3F"/>
      </w:tcPr>
    </w:tblStylePr>
    <w:tblStylePr w:type="band2Horz">
      <w:tblPr/>
      <w:tcPr>
        <w:tcBorders>
          <w:top w:val="single" w:sz="8" w:space="0" w:color="E6643C" w:themeColor="accent6"/>
          <w:left w:val="single" w:sz="8" w:space="0" w:color="E6643C" w:themeColor="accent6"/>
          <w:bottom w:val="single" w:sz="8" w:space="0" w:color="E6643C" w:themeColor="accent6"/>
          <w:right w:val="single" w:sz="8" w:space="0" w:color="E6643C" w:themeColor="accent6"/>
          <w:insideV w:val="single" w:sz="8" w:space="0" w:color="E6643C" w:themeColor="accent6"/>
        </w:tcBorders>
      </w:tcPr>
    </w:tblStylePr>
  </w:style>
  <w:style w:type="table" w:styleId="LightList">
    <w:name w:val="Light List"/>
    <w:basedOn w:val="TableNormal"/>
    <w:uiPriority w:val="61"/>
    <w:semiHidden/>
    <w:rsid w:val="00E45C9C"/>
    <w:pPr>
      <w:spacing w:before="0"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2">
    <w:name w:val="Light List Accent 2"/>
    <w:basedOn w:val="TableNormal"/>
    <w:uiPriority w:val="61"/>
    <w:semiHidden/>
    <w:rsid w:val="00E45C9C"/>
    <w:pPr>
      <w:spacing w:before="0" w:after="0" w:line="240" w:lineRule="auto"/>
    </w:pPr>
    <w:tblPr>
      <w:tblStyleRowBandSize w:val="1"/>
      <w:tblStyleColBandSize w:val="1"/>
      <w:tblBorders>
        <w:top w:val="single" w:sz="8" w:space="0" w:color="007586" w:themeColor="accent2"/>
        <w:left w:val="single" w:sz="8" w:space="0" w:color="007586" w:themeColor="accent2"/>
        <w:bottom w:val="single" w:sz="8" w:space="0" w:color="007586" w:themeColor="accent2"/>
        <w:right w:val="single" w:sz="8" w:space="0" w:color="007586" w:themeColor="accent2"/>
      </w:tblBorders>
    </w:tblPr>
    <w:tblStylePr w:type="firstRow">
      <w:pPr>
        <w:spacing w:before="0" w:after="0" w:line="240" w:lineRule="auto"/>
      </w:pPr>
      <w:rPr>
        <w:b/>
        <w:bCs/>
        <w:color w:val="FFFFFF" w:themeColor="background1"/>
      </w:rPr>
      <w:tblPr/>
      <w:tcPr>
        <w:shd w:val="clear" w:color="auto" w:fill="007586" w:themeFill="accent2"/>
      </w:tcPr>
    </w:tblStylePr>
    <w:tblStylePr w:type="lastRow">
      <w:pPr>
        <w:spacing w:before="0" w:after="0" w:line="240" w:lineRule="auto"/>
      </w:pPr>
      <w:rPr>
        <w:b/>
        <w:bCs/>
      </w:rPr>
      <w:tblPr/>
      <w:tcPr>
        <w:tcBorders>
          <w:top w:val="double" w:sz="6" w:space="0" w:color="007586" w:themeColor="accent2"/>
          <w:left w:val="single" w:sz="8" w:space="0" w:color="007586" w:themeColor="accent2"/>
          <w:bottom w:val="single" w:sz="8" w:space="0" w:color="007586" w:themeColor="accent2"/>
          <w:right w:val="single" w:sz="8" w:space="0" w:color="007586" w:themeColor="accent2"/>
        </w:tcBorders>
      </w:tcPr>
    </w:tblStylePr>
    <w:tblStylePr w:type="firstCol">
      <w:rPr>
        <w:b/>
        <w:bCs/>
      </w:rPr>
    </w:tblStylePr>
    <w:tblStylePr w:type="lastCol">
      <w:rPr>
        <w:b/>
        <w:bCs/>
      </w:rPr>
    </w:tblStylePr>
    <w:tblStylePr w:type="band1Vert">
      <w:tblPr/>
      <w:tcPr>
        <w:tcBorders>
          <w:top w:val="single" w:sz="8" w:space="0" w:color="007586" w:themeColor="accent2"/>
          <w:left w:val="single" w:sz="8" w:space="0" w:color="007586" w:themeColor="accent2"/>
          <w:bottom w:val="single" w:sz="8" w:space="0" w:color="007586" w:themeColor="accent2"/>
          <w:right w:val="single" w:sz="8" w:space="0" w:color="007586" w:themeColor="accent2"/>
        </w:tcBorders>
      </w:tcPr>
    </w:tblStylePr>
    <w:tblStylePr w:type="band1Horz">
      <w:tblPr/>
      <w:tcPr>
        <w:tcBorders>
          <w:top w:val="single" w:sz="8" w:space="0" w:color="007586" w:themeColor="accent2"/>
          <w:left w:val="single" w:sz="8" w:space="0" w:color="007586" w:themeColor="accent2"/>
          <w:bottom w:val="single" w:sz="8" w:space="0" w:color="007586" w:themeColor="accent2"/>
          <w:right w:val="single" w:sz="8" w:space="0" w:color="007586" w:themeColor="accent2"/>
        </w:tcBorders>
      </w:tcPr>
    </w:tblStylePr>
  </w:style>
  <w:style w:type="table" w:styleId="LightList-Accent3">
    <w:name w:val="Light List Accent 3"/>
    <w:basedOn w:val="TableNormal"/>
    <w:uiPriority w:val="61"/>
    <w:semiHidden/>
    <w:rsid w:val="00E45C9C"/>
    <w:pPr>
      <w:spacing w:before="0" w:after="0" w:line="240" w:lineRule="auto"/>
    </w:pPr>
    <w:tblPr>
      <w:tblStyleRowBandSize w:val="1"/>
      <w:tblStyleColBandSize w:val="1"/>
      <w:tblBorders>
        <w:top w:val="single" w:sz="8" w:space="0" w:color="5AB9EB" w:themeColor="accent3"/>
        <w:left w:val="single" w:sz="8" w:space="0" w:color="5AB9EB" w:themeColor="accent3"/>
        <w:bottom w:val="single" w:sz="8" w:space="0" w:color="5AB9EB" w:themeColor="accent3"/>
        <w:right w:val="single" w:sz="8" w:space="0" w:color="5AB9EB" w:themeColor="accent3"/>
      </w:tblBorders>
    </w:tblPr>
    <w:tblStylePr w:type="firstRow">
      <w:pPr>
        <w:spacing w:before="0" w:after="0" w:line="240" w:lineRule="auto"/>
      </w:pPr>
      <w:rPr>
        <w:b/>
        <w:bCs/>
        <w:color w:val="FFFFFF" w:themeColor="background1"/>
      </w:rPr>
      <w:tblPr/>
      <w:tcPr>
        <w:shd w:val="clear" w:color="auto" w:fill="5AB9EB" w:themeFill="accent3"/>
      </w:tcPr>
    </w:tblStylePr>
    <w:tblStylePr w:type="lastRow">
      <w:pPr>
        <w:spacing w:before="0" w:after="0" w:line="240" w:lineRule="auto"/>
      </w:pPr>
      <w:rPr>
        <w:b/>
        <w:bCs/>
      </w:rPr>
      <w:tblPr/>
      <w:tcPr>
        <w:tcBorders>
          <w:top w:val="double" w:sz="6" w:space="0" w:color="5AB9EB" w:themeColor="accent3"/>
          <w:left w:val="single" w:sz="8" w:space="0" w:color="5AB9EB" w:themeColor="accent3"/>
          <w:bottom w:val="single" w:sz="8" w:space="0" w:color="5AB9EB" w:themeColor="accent3"/>
          <w:right w:val="single" w:sz="8" w:space="0" w:color="5AB9EB" w:themeColor="accent3"/>
        </w:tcBorders>
      </w:tcPr>
    </w:tblStylePr>
    <w:tblStylePr w:type="firstCol">
      <w:rPr>
        <w:b/>
        <w:bCs/>
      </w:rPr>
    </w:tblStylePr>
    <w:tblStylePr w:type="lastCol">
      <w:rPr>
        <w:b/>
        <w:bCs/>
      </w:rPr>
    </w:tblStylePr>
    <w:tblStylePr w:type="band1Vert">
      <w:tblPr/>
      <w:tcPr>
        <w:tcBorders>
          <w:top w:val="single" w:sz="8" w:space="0" w:color="5AB9EB" w:themeColor="accent3"/>
          <w:left w:val="single" w:sz="8" w:space="0" w:color="5AB9EB" w:themeColor="accent3"/>
          <w:bottom w:val="single" w:sz="8" w:space="0" w:color="5AB9EB" w:themeColor="accent3"/>
          <w:right w:val="single" w:sz="8" w:space="0" w:color="5AB9EB" w:themeColor="accent3"/>
        </w:tcBorders>
      </w:tcPr>
    </w:tblStylePr>
    <w:tblStylePr w:type="band1Horz">
      <w:tblPr/>
      <w:tcPr>
        <w:tcBorders>
          <w:top w:val="single" w:sz="8" w:space="0" w:color="5AB9EB" w:themeColor="accent3"/>
          <w:left w:val="single" w:sz="8" w:space="0" w:color="5AB9EB" w:themeColor="accent3"/>
          <w:bottom w:val="single" w:sz="8" w:space="0" w:color="5AB9EB" w:themeColor="accent3"/>
          <w:right w:val="single" w:sz="8" w:space="0" w:color="5AB9EB" w:themeColor="accent3"/>
        </w:tcBorders>
      </w:tcPr>
    </w:tblStylePr>
  </w:style>
  <w:style w:type="table" w:styleId="LightList-Accent5">
    <w:name w:val="Light List Accent 5"/>
    <w:basedOn w:val="TableNormal"/>
    <w:uiPriority w:val="61"/>
    <w:semiHidden/>
    <w:rsid w:val="00E45C9C"/>
    <w:pPr>
      <w:spacing w:before="0" w:after="0" w:line="240" w:lineRule="auto"/>
    </w:pPr>
    <w:tblPr>
      <w:tblStyleRowBandSize w:val="1"/>
      <w:tblStyleColBandSize w:val="1"/>
      <w:tblBorders>
        <w:top w:val="single" w:sz="8" w:space="0" w:color="5AAA64" w:themeColor="accent5"/>
        <w:left w:val="single" w:sz="8" w:space="0" w:color="5AAA64" w:themeColor="accent5"/>
        <w:bottom w:val="single" w:sz="8" w:space="0" w:color="5AAA64" w:themeColor="accent5"/>
        <w:right w:val="single" w:sz="8" w:space="0" w:color="5AAA64" w:themeColor="accent5"/>
      </w:tblBorders>
    </w:tblPr>
    <w:tblStylePr w:type="firstRow">
      <w:pPr>
        <w:spacing w:before="0" w:after="0" w:line="240" w:lineRule="auto"/>
      </w:pPr>
      <w:rPr>
        <w:b/>
        <w:bCs/>
        <w:color w:val="FFFFFF" w:themeColor="background1"/>
      </w:rPr>
      <w:tblPr/>
      <w:tcPr>
        <w:shd w:val="clear" w:color="auto" w:fill="5AAA64" w:themeFill="accent5"/>
      </w:tcPr>
    </w:tblStylePr>
    <w:tblStylePr w:type="lastRow">
      <w:pPr>
        <w:spacing w:before="0" w:after="0" w:line="240" w:lineRule="auto"/>
      </w:pPr>
      <w:rPr>
        <w:b/>
        <w:bCs/>
      </w:rPr>
      <w:tblPr/>
      <w:tcPr>
        <w:tcBorders>
          <w:top w:val="double" w:sz="6" w:space="0" w:color="5AAA64" w:themeColor="accent5"/>
          <w:left w:val="single" w:sz="8" w:space="0" w:color="5AAA64" w:themeColor="accent5"/>
          <w:bottom w:val="single" w:sz="8" w:space="0" w:color="5AAA64" w:themeColor="accent5"/>
          <w:right w:val="single" w:sz="8" w:space="0" w:color="5AAA64" w:themeColor="accent5"/>
        </w:tcBorders>
      </w:tcPr>
    </w:tblStylePr>
    <w:tblStylePr w:type="firstCol">
      <w:rPr>
        <w:b/>
        <w:bCs/>
      </w:rPr>
    </w:tblStylePr>
    <w:tblStylePr w:type="lastCol">
      <w:rPr>
        <w:b/>
        <w:bCs/>
      </w:rPr>
    </w:tblStylePr>
    <w:tblStylePr w:type="band1Vert">
      <w:tblPr/>
      <w:tcPr>
        <w:tcBorders>
          <w:top w:val="single" w:sz="8" w:space="0" w:color="5AAA64" w:themeColor="accent5"/>
          <w:left w:val="single" w:sz="8" w:space="0" w:color="5AAA64" w:themeColor="accent5"/>
          <w:bottom w:val="single" w:sz="8" w:space="0" w:color="5AAA64" w:themeColor="accent5"/>
          <w:right w:val="single" w:sz="8" w:space="0" w:color="5AAA64" w:themeColor="accent5"/>
        </w:tcBorders>
      </w:tcPr>
    </w:tblStylePr>
    <w:tblStylePr w:type="band1Horz">
      <w:tblPr/>
      <w:tcPr>
        <w:tcBorders>
          <w:top w:val="single" w:sz="8" w:space="0" w:color="5AAA64" w:themeColor="accent5"/>
          <w:left w:val="single" w:sz="8" w:space="0" w:color="5AAA64" w:themeColor="accent5"/>
          <w:bottom w:val="single" w:sz="8" w:space="0" w:color="5AAA64" w:themeColor="accent5"/>
          <w:right w:val="single" w:sz="8" w:space="0" w:color="5AAA64" w:themeColor="accent5"/>
        </w:tcBorders>
      </w:tcPr>
    </w:tblStylePr>
  </w:style>
  <w:style w:type="table" w:styleId="LightList-Accent6">
    <w:name w:val="Light List Accent 6"/>
    <w:basedOn w:val="TableNormal"/>
    <w:uiPriority w:val="61"/>
    <w:semiHidden/>
    <w:rsid w:val="00E45C9C"/>
    <w:pPr>
      <w:spacing w:before="0" w:after="0" w:line="240" w:lineRule="auto"/>
    </w:pPr>
    <w:tblPr>
      <w:tblStyleRowBandSize w:val="1"/>
      <w:tblStyleColBandSize w:val="1"/>
      <w:tblBorders>
        <w:top w:val="single" w:sz="8" w:space="0" w:color="E6643C" w:themeColor="accent6"/>
        <w:left w:val="single" w:sz="8" w:space="0" w:color="E6643C" w:themeColor="accent6"/>
        <w:bottom w:val="single" w:sz="8" w:space="0" w:color="E6643C" w:themeColor="accent6"/>
        <w:right w:val="single" w:sz="8" w:space="0" w:color="E6643C" w:themeColor="accent6"/>
      </w:tblBorders>
    </w:tblPr>
    <w:tblStylePr w:type="firstRow">
      <w:pPr>
        <w:spacing w:before="0" w:after="0" w:line="240" w:lineRule="auto"/>
      </w:pPr>
      <w:rPr>
        <w:b/>
        <w:bCs/>
        <w:color w:val="FFFFFF" w:themeColor="background1"/>
      </w:rPr>
      <w:tblPr/>
      <w:tcPr>
        <w:shd w:val="clear" w:color="auto" w:fill="E6643C" w:themeFill="accent6"/>
      </w:tcPr>
    </w:tblStylePr>
    <w:tblStylePr w:type="lastRow">
      <w:pPr>
        <w:spacing w:before="0" w:after="0" w:line="240" w:lineRule="auto"/>
      </w:pPr>
      <w:rPr>
        <w:b/>
        <w:bCs/>
      </w:rPr>
      <w:tblPr/>
      <w:tcPr>
        <w:tcBorders>
          <w:top w:val="double" w:sz="6" w:space="0" w:color="E6643C" w:themeColor="accent6"/>
          <w:left w:val="single" w:sz="8" w:space="0" w:color="E6643C" w:themeColor="accent6"/>
          <w:bottom w:val="single" w:sz="8" w:space="0" w:color="E6643C" w:themeColor="accent6"/>
          <w:right w:val="single" w:sz="8" w:space="0" w:color="E6643C" w:themeColor="accent6"/>
        </w:tcBorders>
      </w:tcPr>
    </w:tblStylePr>
    <w:tblStylePr w:type="firstCol">
      <w:rPr>
        <w:b/>
        <w:bCs/>
      </w:rPr>
    </w:tblStylePr>
    <w:tblStylePr w:type="lastCol">
      <w:rPr>
        <w:b/>
        <w:bCs/>
      </w:rPr>
    </w:tblStylePr>
    <w:tblStylePr w:type="band1Vert">
      <w:tblPr/>
      <w:tcPr>
        <w:tcBorders>
          <w:top w:val="single" w:sz="8" w:space="0" w:color="E6643C" w:themeColor="accent6"/>
          <w:left w:val="single" w:sz="8" w:space="0" w:color="E6643C" w:themeColor="accent6"/>
          <w:bottom w:val="single" w:sz="8" w:space="0" w:color="E6643C" w:themeColor="accent6"/>
          <w:right w:val="single" w:sz="8" w:space="0" w:color="E6643C" w:themeColor="accent6"/>
        </w:tcBorders>
      </w:tcPr>
    </w:tblStylePr>
    <w:tblStylePr w:type="band1Horz">
      <w:tblPr/>
      <w:tcPr>
        <w:tcBorders>
          <w:top w:val="single" w:sz="8" w:space="0" w:color="E6643C" w:themeColor="accent6"/>
          <w:left w:val="single" w:sz="8" w:space="0" w:color="E6643C" w:themeColor="accent6"/>
          <w:bottom w:val="single" w:sz="8" w:space="0" w:color="E6643C" w:themeColor="accent6"/>
          <w:right w:val="single" w:sz="8" w:space="0" w:color="E6643C" w:themeColor="accent6"/>
        </w:tcBorders>
      </w:tcPr>
    </w:tblStylePr>
  </w:style>
  <w:style w:type="table" w:styleId="LightShading-Accent1">
    <w:name w:val="Light Shading Accent 1"/>
    <w:basedOn w:val="TableNormal"/>
    <w:uiPriority w:val="60"/>
    <w:semiHidden/>
    <w:rsid w:val="00E45C9C"/>
    <w:pPr>
      <w:spacing w:before="0" w:after="0" w:line="240" w:lineRule="auto"/>
    </w:pPr>
    <w:rPr>
      <w:color w:val="141A1F" w:themeColor="accent1" w:themeShade="BF"/>
    </w:rPr>
    <w:tblPr>
      <w:tblStyleRowBandSize w:val="1"/>
      <w:tblStyleColBandSize w:val="1"/>
      <w:tblBorders>
        <w:top w:val="single" w:sz="8" w:space="0" w:color="1B242A" w:themeColor="accent1"/>
        <w:bottom w:val="single" w:sz="8" w:space="0" w:color="1B242A" w:themeColor="accent1"/>
      </w:tblBorders>
    </w:tblPr>
    <w:tblStylePr w:type="firstRow">
      <w:pPr>
        <w:spacing w:before="0" w:after="0" w:line="240" w:lineRule="auto"/>
      </w:pPr>
      <w:rPr>
        <w:b/>
        <w:bCs/>
      </w:rPr>
      <w:tblPr/>
      <w:tcPr>
        <w:tcBorders>
          <w:top w:val="single" w:sz="8" w:space="0" w:color="1B242A" w:themeColor="accent1"/>
          <w:left w:val="nil"/>
          <w:bottom w:val="single" w:sz="8" w:space="0" w:color="1B242A" w:themeColor="accent1"/>
          <w:right w:val="nil"/>
          <w:insideH w:val="nil"/>
          <w:insideV w:val="nil"/>
        </w:tcBorders>
      </w:tcPr>
    </w:tblStylePr>
    <w:tblStylePr w:type="lastRow">
      <w:pPr>
        <w:spacing w:before="0" w:after="0" w:line="240" w:lineRule="auto"/>
      </w:pPr>
      <w:rPr>
        <w:b/>
        <w:bCs/>
      </w:rPr>
      <w:tblPr/>
      <w:tcPr>
        <w:tcBorders>
          <w:top w:val="single" w:sz="8" w:space="0" w:color="1B242A" w:themeColor="accent1"/>
          <w:left w:val="nil"/>
          <w:bottom w:val="single" w:sz="8" w:space="0" w:color="1B242A"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CCAD4" w:themeFill="accent1" w:themeFillTint="3F"/>
      </w:tcPr>
    </w:tblStylePr>
    <w:tblStylePr w:type="band1Horz">
      <w:tblPr/>
      <w:tcPr>
        <w:tcBorders>
          <w:left w:val="nil"/>
          <w:right w:val="nil"/>
          <w:insideH w:val="nil"/>
          <w:insideV w:val="nil"/>
        </w:tcBorders>
        <w:shd w:val="clear" w:color="auto" w:fill="BCCAD4" w:themeFill="accent1" w:themeFillTint="3F"/>
      </w:tcPr>
    </w:tblStylePr>
  </w:style>
  <w:style w:type="table" w:styleId="LightShading-Accent2">
    <w:name w:val="Light Shading Accent 2"/>
    <w:basedOn w:val="TableNormal"/>
    <w:uiPriority w:val="60"/>
    <w:semiHidden/>
    <w:rsid w:val="00E45C9C"/>
    <w:pPr>
      <w:spacing w:before="0" w:after="0" w:line="240" w:lineRule="auto"/>
    </w:pPr>
    <w:rPr>
      <w:color w:val="005764" w:themeColor="accent2" w:themeShade="BF"/>
    </w:rPr>
    <w:tblPr>
      <w:tblStyleRowBandSize w:val="1"/>
      <w:tblStyleColBandSize w:val="1"/>
      <w:tblBorders>
        <w:top w:val="single" w:sz="8" w:space="0" w:color="007586" w:themeColor="accent2"/>
        <w:bottom w:val="single" w:sz="8" w:space="0" w:color="007586" w:themeColor="accent2"/>
      </w:tblBorders>
    </w:tblPr>
    <w:tblStylePr w:type="firstRow">
      <w:pPr>
        <w:spacing w:before="0" w:after="0" w:line="240" w:lineRule="auto"/>
      </w:pPr>
      <w:rPr>
        <w:b/>
        <w:bCs/>
      </w:rPr>
      <w:tblPr/>
      <w:tcPr>
        <w:tcBorders>
          <w:top w:val="single" w:sz="8" w:space="0" w:color="007586" w:themeColor="accent2"/>
          <w:left w:val="nil"/>
          <w:bottom w:val="single" w:sz="8" w:space="0" w:color="007586" w:themeColor="accent2"/>
          <w:right w:val="nil"/>
          <w:insideH w:val="nil"/>
          <w:insideV w:val="nil"/>
        </w:tcBorders>
      </w:tcPr>
    </w:tblStylePr>
    <w:tblStylePr w:type="lastRow">
      <w:pPr>
        <w:spacing w:before="0" w:after="0" w:line="240" w:lineRule="auto"/>
      </w:pPr>
      <w:rPr>
        <w:b/>
        <w:bCs/>
      </w:rPr>
      <w:tblPr/>
      <w:tcPr>
        <w:tcBorders>
          <w:top w:val="single" w:sz="8" w:space="0" w:color="007586" w:themeColor="accent2"/>
          <w:left w:val="nil"/>
          <w:bottom w:val="single" w:sz="8" w:space="0" w:color="007586"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2F2FF" w:themeFill="accent2" w:themeFillTint="3F"/>
      </w:tcPr>
    </w:tblStylePr>
    <w:tblStylePr w:type="band1Horz">
      <w:tblPr/>
      <w:tcPr>
        <w:tcBorders>
          <w:left w:val="nil"/>
          <w:right w:val="nil"/>
          <w:insideH w:val="nil"/>
          <w:insideV w:val="nil"/>
        </w:tcBorders>
        <w:shd w:val="clear" w:color="auto" w:fill="A2F2FF" w:themeFill="accent2" w:themeFillTint="3F"/>
      </w:tcPr>
    </w:tblStylePr>
  </w:style>
  <w:style w:type="table" w:styleId="LightShading-Accent3">
    <w:name w:val="Light Shading Accent 3"/>
    <w:basedOn w:val="TableNormal"/>
    <w:uiPriority w:val="60"/>
    <w:semiHidden/>
    <w:rsid w:val="00E45C9C"/>
    <w:pPr>
      <w:spacing w:before="0" w:after="0" w:line="240" w:lineRule="auto"/>
    </w:pPr>
    <w:rPr>
      <w:color w:val="1A97D9" w:themeColor="accent3" w:themeShade="BF"/>
    </w:rPr>
    <w:tblPr>
      <w:tblStyleRowBandSize w:val="1"/>
      <w:tblStyleColBandSize w:val="1"/>
      <w:tblBorders>
        <w:top w:val="single" w:sz="8" w:space="0" w:color="5AB9EB" w:themeColor="accent3"/>
        <w:bottom w:val="single" w:sz="8" w:space="0" w:color="5AB9EB" w:themeColor="accent3"/>
      </w:tblBorders>
    </w:tblPr>
    <w:tblStylePr w:type="firstRow">
      <w:pPr>
        <w:spacing w:before="0" w:after="0" w:line="240" w:lineRule="auto"/>
      </w:pPr>
      <w:rPr>
        <w:b/>
        <w:bCs/>
      </w:rPr>
      <w:tblPr/>
      <w:tcPr>
        <w:tcBorders>
          <w:top w:val="single" w:sz="8" w:space="0" w:color="5AB9EB" w:themeColor="accent3"/>
          <w:left w:val="nil"/>
          <w:bottom w:val="single" w:sz="8" w:space="0" w:color="5AB9EB" w:themeColor="accent3"/>
          <w:right w:val="nil"/>
          <w:insideH w:val="nil"/>
          <w:insideV w:val="nil"/>
        </w:tcBorders>
      </w:tcPr>
    </w:tblStylePr>
    <w:tblStylePr w:type="lastRow">
      <w:pPr>
        <w:spacing w:before="0" w:after="0" w:line="240" w:lineRule="auto"/>
      </w:pPr>
      <w:rPr>
        <w:b/>
        <w:bCs/>
      </w:rPr>
      <w:tblPr/>
      <w:tcPr>
        <w:tcBorders>
          <w:top w:val="single" w:sz="8" w:space="0" w:color="5AB9EB" w:themeColor="accent3"/>
          <w:left w:val="nil"/>
          <w:bottom w:val="single" w:sz="8" w:space="0" w:color="5AB9EB"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EDFA" w:themeFill="accent3" w:themeFillTint="3F"/>
      </w:tcPr>
    </w:tblStylePr>
    <w:tblStylePr w:type="band1Horz">
      <w:tblPr/>
      <w:tcPr>
        <w:tcBorders>
          <w:left w:val="nil"/>
          <w:right w:val="nil"/>
          <w:insideH w:val="nil"/>
          <w:insideV w:val="nil"/>
        </w:tcBorders>
        <w:shd w:val="clear" w:color="auto" w:fill="D5EDFA" w:themeFill="accent3" w:themeFillTint="3F"/>
      </w:tcPr>
    </w:tblStylePr>
  </w:style>
  <w:style w:type="table" w:styleId="LightShading-Accent4">
    <w:name w:val="Light Shading Accent 4"/>
    <w:basedOn w:val="TableNormal"/>
    <w:uiPriority w:val="60"/>
    <w:semiHidden/>
    <w:rsid w:val="00E45C9C"/>
    <w:pPr>
      <w:spacing w:before="0" w:after="0" w:line="240" w:lineRule="auto"/>
    </w:pPr>
    <w:rPr>
      <w:color w:val="003871" w:themeColor="accent4" w:themeShade="BF"/>
    </w:rPr>
    <w:tblPr>
      <w:tblStyleRowBandSize w:val="1"/>
      <w:tblStyleColBandSize w:val="1"/>
      <w:tblBorders>
        <w:top w:val="single" w:sz="8" w:space="0" w:color="004C97" w:themeColor="accent4"/>
        <w:bottom w:val="single" w:sz="8" w:space="0" w:color="004C97" w:themeColor="accent4"/>
      </w:tblBorders>
    </w:tblPr>
    <w:tblStylePr w:type="firstRow">
      <w:pPr>
        <w:spacing w:before="0" w:after="0" w:line="240" w:lineRule="auto"/>
      </w:pPr>
      <w:rPr>
        <w:b/>
        <w:bCs/>
      </w:rPr>
      <w:tblPr/>
      <w:tcPr>
        <w:tcBorders>
          <w:top w:val="single" w:sz="8" w:space="0" w:color="004C97" w:themeColor="accent4"/>
          <w:left w:val="nil"/>
          <w:bottom w:val="single" w:sz="8" w:space="0" w:color="004C97" w:themeColor="accent4"/>
          <w:right w:val="nil"/>
          <w:insideH w:val="nil"/>
          <w:insideV w:val="nil"/>
        </w:tcBorders>
      </w:tcPr>
    </w:tblStylePr>
    <w:tblStylePr w:type="lastRow">
      <w:pPr>
        <w:spacing w:before="0" w:after="0" w:line="240" w:lineRule="auto"/>
      </w:pPr>
      <w:rPr>
        <w:b/>
        <w:bCs/>
      </w:rPr>
      <w:tblPr/>
      <w:tcPr>
        <w:tcBorders>
          <w:top w:val="single" w:sz="8" w:space="0" w:color="004C97" w:themeColor="accent4"/>
          <w:left w:val="nil"/>
          <w:bottom w:val="single" w:sz="8" w:space="0" w:color="004C9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4" w:themeFillTint="3F"/>
      </w:tcPr>
    </w:tblStylePr>
    <w:tblStylePr w:type="band1Horz">
      <w:tblPr/>
      <w:tcPr>
        <w:tcBorders>
          <w:left w:val="nil"/>
          <w:right w:val="nil"/>
          <w:insideH w:val="nil"/>
          <w:insideV w:val="nil"/>
        </w:tcBorders>
        <w:shd w:val="clear" w:color="auto" w:fill="A6D2FF" w:themeFill="accent4" w:themeFillTint="3F"/>
      </w:tcPr>
    </w:tblStylePr>
  </w:style>
  <w:style w:type="table" w:styleId="LightShading-Accent5">
    <w:name w:val="Light Shading Accent 5"/>
    <w:basedOn w:val="TableNormal"/>
    <w:uiPriority w:val="60"/>
    <w:semiHidden/>
    <w:rsid w:val="00E45C9C"/>
    <w:pPr>
      <w:spacing w:before="0" w:after="0" w:line="240" w:lineRule="auto"/>
    </w:pPr>
    <w:rPr>
      <w:color w:val="428049" w:themeColor="accent5" w:themeShade="BF"/>
    </w:rPr>
    <w:tblPr>
      <w:tblStyleRowBandSize w:val="1"/>
      <w:tblStyleColBandSize w:val="1"/>
      <w:tblBorders>
        <w:top w:val="single" w:sz="8" w:space="0" w:color="5AAA64" w:themeColor="accent5"/>
        <w:bottom w:val="single" w:sz="8" w:space="0" w:color="5AAA64" w:themeColor="accent5"/>
      </w:tblBorders>
    </w:tblPr>
    <w:tblStylePr w:type="firstRow">
      <w:pPr>
        <w:spacing w:before="0" w:after="0" w:line="240" w:lineRule="auto"/>
      </w:pPr>
      <w:rPr>
        <w:b/>
        <w:bCs/>
      </w:rPr>
      <w:tblPr/>
      <w:tcPr>
        <w:tcBorders>
          <w:top w:val="single" w:sz="8" w:space="0" w:color="5AAA64" w:themeColor="accent5"/>
          <w:left w:val="nil"/>
          <w:bottom w:val="single" w:sz="8" w:space="0" w:color="5AAA64" w:themeColor="accent5"/>
          <w:right w:val="nil"/>
          <w:insideH w:val="nil"/>
          <w:insideV w:val="nil"/>
        </w:tcBorders>
      </w:tcPr>
    </w:tblStylePr>
    <w:tblStylePr w:type="lastRow">
      <w:pPr>
        <w:spacing w:before="0" w:after="0" w:line="240" w:lineRule="auto"/>
      </w:pPr>
      <w:rPr>
        <w:b/>
        <w:bCs/>
      </w:rPr>
      <w:tblPr/>
      <w:tcPr>
        <w:tcBorders>
          <w:top w:val="single" w:sz="8" w:space="0" w:color="5AAA64" w:themeColor="accent5"/>
          <w:left w:val="nil"/>
          <w:bottom w:val="single" w:sz="8" w:space="0" w:color="5AAA6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AD8" w:themeFill="accent5" w:themeFillTint="3F"/>
      </w:tcPr>
    </w:tblStylePr>
    <w:tblStylePr w:type="band1Horz">
      <w:tblPr/>
      <w:tcPr>
        <w:tcBorders>
          <w:left w:val="nil"/>
          <w:right w:val="nil"/>
          <w:insideH w:val="nil"/>
          <w:insideV w:val="nil"/>
        </w:tcBorders>
        <w:shd w:val="clear" w:color="auto" w:fill="D6EAD8" w:themeFill="accent5" w:themeFillTint="3F"/>
      </w:tcPr>
    </w:tblStylePr>
  </w:style>
  <w:style w:type="table" w:styleId="LightShading-Accent6">
    <w:name w:val="Light Shading Accent 6"/>
    <w:basedOn w:val="TableNormal"/>
    <w:uiPriority w:val="60"/>
    <w:semiHidden/>
    <w:rsid w:val="00E45C9C"/>
    <w:pPr>
      <w:spacing w:before="0" w:after="0" w:line="240" w:lineRule="auto"/>
    </w:pPr>
    <w:rPr>
      <w:color w:val="C04018" w:themeColor="accent6" w:themeShade="BF"/>
    </w:rPr>
    <w:tblPr>
      <w:tblStyleRowBandSize w:val="1"/>
      <w:tblStyleColBandSize w:val="1"/>
      <w:tblBorders>
        <w:top w:val="single" w:sz="8" w:space="0" w:color="E6643C" w:themeColor="accent6"/>
        <w:bottom w:val="single" w:sz="8" w:space="0" w:color="E6643C" w:themeColor="accent6"/>
      </w:tblBorders>
    </w:tblPr>
    <w:tblStylePr w:type="firstRow">
      <w:pPr>
        <w:spacing w:before="0" w:after="0" w:line="240" w:lineRule="auto"/>
      </w:pPr>
      <w:rPr>
        <w:b/>
        <w:bCs/>
      </w:rPr>
      <w:tblPr/>
      <w:tcPr>
        <w:tcBorders>
          <w:top w:val="single" w:sz="8" w:space="0" w:color="E6643C" w:themeColor="accent6"/>
          <w:left w:val="nil"/>
          <w:bottom w:val="single" w:sz="8" w:space="0" w:color="E6643C" w:themeColor="accent6"/>
          <w:right w:val="nil"/>
          <w:insideH w:val="nil"/>
          <w:insideV w:val="nil"/>
        </w:tcBorders>
      </w:tcPr>
    </w:tblStylePr>
    <w:tblStylePr w:type="lastRow">
      <w:pPr>
        <w:spacing w:before="0" w:after="0" w:line="240" w:lineRule="auto"/>
      </w:pPr>
      <w:rPr>
        <w:b/>
        <w:bCs/>
      </w:rPr>
      <w:tblPr/>
      <w:tcPr>
        <w:tcBorders>
          <w:top w:val="single" w:sz="8" w:space="0" w:color="E6643C" w:themeColor="accent6"/>
          <w:left w:val="nil"/>
          <w:bottom w:val="single" w:sz="8" w:space="0" w:color="E6643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D8CE" w:themeFill="accent6" w:themeFillTint="3F"/>
      </w:tcPr>
    </w:tblStylePr>
    <w:tblStylePr w:type="band1Horz">
      <w:tblPr/>
      <w:tcPr>
        <w:tcBorders>
          <w:left w:val="nil"/>
          <w:right w:val="nil"/>
          <w:insideH w:val="nil"/>
          <w:insideV w:val="nil"/>
        </w:tcBorders>
        <w:shd w:val="clear" w:color="auto" w:fill="F8D8CE" w:themeFill="accent6" w:themeFillTint="3F"/>
      </w:tcPr>
    </w:tblStylePr>
  </w:style>
  <w:style w:type="table" w:styleId="ListTable1Light">
    <w:name w:val="List Table 1 Light"/>
    <w:basedOn w:val="TableNormal"/>
    <w:uiPriority w:val="46"/>
    <w:semiHidden/>
    <w:rsid w:val="00E45C9C"/>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E45C9C"/>
    <w:pPr>
      <w:spacing w:after="0" w:line="240" w:lineRule="auto"/>
    </w:pPr>
    <w:tblPr>
      <w:tblStyleRowBandSize w:val="1"/>
      <w:tblStyleColBandSize w:val="1"/>
    </w:tblPr>
    <w:tblStylePr w:type="firstRow">
      <w:rPr>
        <w:b/>
        <w:bCs/>
      </w:rPr>
      <w:tblPr/>
      <w:tcPr>
        <w:tcBorders>
          <w:bottom w:val="single" w:sz="4" w:space="0" w:color="607F95" w:themeColor="accent1" w:themeTint="99"/>
        </w:tcBorders>
      </w:tcPr>
    </w:tblStylePr>
    <w:tblStylePr w:type="lastRow">
      <w:rPr>
        <w:b/>
        <w:bCs/>
      </w:rPr>
      <w:tblPr/>
      <w:tcPr>
        <w:tcBorders>
          <w:top w:val="single" w:sz="4" w:space="0" w:color="607F95" w:themeColor="accent1" w:themeTint="99"/>
        </w:tcBorders>
      </w:tcPr>
    </w:tblStylePr>
    <w:tblStylePr w:type="firstCol">
      <w:rPr>
        <w:b/>
        <w:bCs/>
      </w:rPr>
    </w:tblStylePr>
    <w:tblStylePr w:type="lastCol">
      <w:rPr>
        <w:b/>
        <w:bCs/>
      </w:rPr>
    </w:tblStylePr>
    <w:tblStylePr w:type="band1Vert">
      <w:tblPr/>
      <w:tcPr>
        <w:shd w:val="clear" w:color="auto" w:fill="C9D4DC" w:themeFill="accent1" w:themeFillTint="33"/>
      </w:tcPr>
    </w:tblStylePr>
    <w:tblStylePr w:type="band1Horz">
      <w:tblPr/>
      <w:tcPr>
        <w:shd w:val="clear" w:color="auto" w:fill="C9D4DC" w:themeFill="accent1" w:themeFillTint="33"/>
      </w:tcPr>
    </w:tblStylePr>
  </w:style>
  <w:style w:type="table" w:styleId="ListTable1Light-Accent2">
    <w:name w:val="List Table 1 Light Accent 2"/>
    <w:basedOn w:val="TableNormal"/>
    <w:uiPriority w:val="46"/>
    <w:semiHidden/>
    <w:rsid w:val="00E45C9C"/>
    <w:pPr>
      <w:spacing w:after="0" w:line="240" w:lineRule="auto"/>
    </w:pPr>
    <w:tblPr>
      <w:tblStyleRowBandSize w:val="1"/>
      <w:tblStyleColBandSize w:val="1"/>
    </w:tblPr>
    <w:tblStylePr w:type="firstRow">
      <w:rPr>
        <w:b/>
        <w:bCs/>
      </w:rPr>
      <w:tblPr/>
      <w:tcPr>
        <w:tcBorders>
          <w:bottom w:val="single" w:sz="4" w:space="0" w:color="1DE1FF" w:themeColor="accent2" w:themeTint="99"/>
        </w:tcBorders>
      </w:tcPr>
    </w:tblStylePr>
    <w:tblStylePr w:type="lastRow">
      <w:rPr>
        <w:b/>
        <w:bCs/>
      </w:rPr>
      <w:tblPr/>
      <w:tcPr>
        <w:tcBorders>
          <w:top w:val="single" w:sz="4" w:space="0" w:color="1DE1FF" w:themeColor="accent2" w:themeTint="99"/>
        </w:tcBorders>
      </w:tcPr>
    </w:tblStylePr>
    <w:tblStylePr w:type="firstCol">
      <w:rPr>
        <w:b/>
        <w:bCs/>
      </w:rPr>
    </w:tblStylePr>
    <w:tblStylePr w:type="lastCol">
      <w:rPr>
        <w:b/>
        <w:bCs/>
      </w:rPr>
    </w:tblStylePr>
    <w:tblStylePr w:type="band1Vert">
      <w:tblPr/>
      <w:tcPr>
        <w:shd w:val="clear" w:color="auto" w:fill="B3F5FF" w:themeFill="accent2" w:themeFillTint="33"/>
      </w:tcPr>
    </w:tblStylePr>
    <w:tblStylePr w:type="band1Horz">
      <w:tblPr/>
      <w:tcPr>
        <w:shd w:val="clear" w:color="auto" w:fill="B3F5FF" w:themeFill="accent2" w:themeFillTint="33"/>
      </w:tcPr>
    </w:tblStylePr>
  </w:style>
  <w:style w:type="table" w:styleId="ListTable1Light-Accent3">
    <w:name w:val="List Table 1 Light Accent 3"/>
    <w:basedOn w:val="TableNormal"/>
    <w:uiPriority w:val="46"/>
    <w:semiHidden/>
    <w:rsid w:val="00E45C9C"/>
    <w:pPr>
      <w:spacing w:after="0" w:line="240" w:lineRule="auto"/>
    </w:pPr>
    <w:tblPr>
      <w:tblStyleRowBandSize w:val="1"/>
      <w:tblStyleColBandSize w:val="1"/>
    </w:tblPr>
    <w:tblStylePr w:type="firstRow">
      <w:rPr>
        <w:b/>
        <w:bCs/>
      </w:rPr>
      <w:tblPr/>
      <w:tcPr>
        <w:tcBorders>
          <w:bottom w:val="single" w:sz="4" w:space="0" w:color="9CD4F3" w:themeColor="accent3" w:themeTint="99"/>
        </w:tcBorders>
      </w:tcPr>
    </w:tblStylePr>
    <w:tblStylePr w:type="lastRow">
      <w:rPr>
        <w:b/>
        <w:bCs/>
      </w:rPr>
      <w:tblPr/>
      <w:tcPr>
        <w:tcBorders>
          <w:top w:val="single" w:sz="4" w:space="0" w:color="9CD4F3" w:themeColor="accent3" w:themeTint="99"/>
        </w:tcBorders>
      </w:tcPr>
    </w:tblStylePr>
    <w:tblStylePr w:type="firstCol">
      <w:rPr>
        <w:b/>
        <w:bCs/>
      </w:rPr>
    </w:tblStylePr>
    <w:tblStylePr w:type="lastCol">
      <w:rPr>
        <w:b/>
        <w:bCs/>
      </w:rPr>
    </w:tblStylePr>
    <w:tblStylePr w:type="band1Vert">
      <w:tblPr/>
      <w:tcPr>
        <w:shd w:val="clear" w:color="auto" w:fill="DEF0FB" w:themeFill="accent3" w:themeFillTint="33"/>
      </w:tcPr>
    </w:tblStylePr>
    <w:tblStylePr w:type="band1Horz">
      <w:tblPr/>
      <w:tcPr>
        <w:shd w:val="clear" w:color="auto" w:fill="DEF0FB" w:themeFill="accent3" w:themeFillTint="33"/>
      </w:tcPr>
    </w:tblStylePr>
  </w:style>
  <w:style w:type="table" w:styleId="ListTable1Light-Accent4">
    <w:name w:val="List Table 1 Light Accent 4"/>
    <w:basedOn w:val="TableNormal"/>
    <w:uiPriority w:val="46"/>
    <w:semiHidden/>
    <w:rsid w:val="00E45C9C"/>
    <w:pPr>
      <w:spacing w:after="0" w:line="240" w:lineRule="auto"/>
    </w:pPr>
    <w:tblPr>
      <w:tblStyleRowBandSize w:val="1"/>
      <w:tblStyleColBandSize w:val="1"/>
    </w:tblPr>
    <w:tblStylePr w:type="firstRow">
      <w:rPr>
        <w:b/>
        <w:bCs/>
      </w:rPr>
      <w:tblPr/>
      <w:tcPr>
        <w:tcBorders>
          <w:bottom w:val="single" w:sz="4" w:space="0" w:color="2793FF" w:themeColor="accent4" w:themeTint="99"/>
        </w:tcBorders>
      </w:tcPr>
    </w:tblStylePr>
    <w:tblStylePr w:type="lastRow">
      <w:rPr>
        <w:b/>
        <w:bCs/>
      </w:rPr>
      <w:tblPr/>
      <w:tcPr>
        <w:tcBorders>
          <w:top w:val="single" w:sz="4" w:space="0" w:color="2793FF" w:themeColor="accent4" w:themeTint="99"/>
        </w:tcBorders>
      </w:tcPr>
    </w:tblStylePr>
    <w:tblStylePr w:type="firstCol">
      <w:rPr>
        <w:b/>
        <w:bCs/>
      </w:rPr>
    </w:tblStylePr>
    <w:tblStylePr w:type="lastCol">
      <w:rPr>
        <w:b/>
        <w:bCs/>
      </w:rPr>
    </w:tblStylePr>
    <w:tblStylePr w:type="band1Vert">
      <w:tblPr/>
      <w:tcPr>
        <w:shd w:val="clear" w:color="auto" w:fill="B7DBFF" w:themeFill="accent4" w:themeFillTint="33"/>
      </w:tcPr>
    </w:tblStylePr>
    <w:tblStylePr w:type="band1Horz">
      <w:tblPr/>
      <w:tcPr>
        <w:shd w:val="clear" w:color="auto" w:fill="B7DBFF" w:themeFill="accent4" w:themeFillTint="33"/>
      </w:tcPr>
    </w:tblStylePr>
  </w:style>
  <w:style w:type="table" w:styleId="ListTable1Light-Accent5">
    <w:name w:val="List Table 1 Light Accent 5"/>
    <w:basedOn w:val="TableNormal"/>
    <w:uiPriority w:val="46"/>
    <w:semiHidden/>
    <w:rsid w:val="00E45C9C"/>
    <w:pPr>
      <w:spacing w:after="0" w:line="240" w:lineRule="auto"/>
    </w:pPr>
    <w:tblPr>
      <w:tblStyleRowBandSize w:val="1"/>
      <w:tblStyleColBandSize w:val="1"/>
    </w:tblPr>
    <w:tblStylePr w:type="firstRow">
      <w:rPr>
        <w:b/>
        <w:bCs/>
      </w:rPr>
      <w:tblPr/>
      <w:tcPr>
        <w:tcBorders>
          <w:bottom w:val="single" w:sz="4" w:space="0" w:color="9CCCA1" w:themeColor="accent5" w:themeTint="99"/>
        </w:tcBorders>
      </w:tcPr>
    </w:tblStylePr>
    <w:tblStylePr w:type="lastRow">
      <w:rPr>
        <w:b/>
        <w:bCs/>
      </w:rPr>
      <w:tblPr/>
      <w:tcPr>
        <w:tcBorders>
          <w:top w:val="single" w:sz="4" w:space="0" w:color="9CCCA1" w:themeColor="accent5" w:themeTint="99"/>
        </w:tcBorders>
      </w:tcPr>
    </w:tblStylePr>
    <w:tblStylePr w:type="firstCol">
      <w:rPr>
        <w:b/>
        <w:bCs/>
      </w:rPr>
    </w:tblStylePr>
    <w:tblStylePr w:type="lastCol">
      <w:rPr>
        <w:b/>
        <w:bCs/>
      </w:rPr>
    </w:tblStylePr>
    <w:tblStylePr w:type="band1Vert">
      <w:tblPr/>
      <w:tcPr>
        <w:shd w:val="clear" w:color="auto" w:fill="DEEEDF" w:themeFill="accent5" w:themeFillTint="33"/>
      </w:tcPr>
    </w:tblStylePr>
    <w:tblStylePr w:type="band1Horz">
      <w:tblPr/>
      <w:tcPr>
        <w:shd w:val="clear" w:color="auto" w:fill="DEEEDF" w:themeFill="accent5" w:themeFillTint="33"/>
      </w:tcPr>
    </w:tblStylePr>
  </w:style>
  <w:style w:type="table" w:styleId="ListTable1Light-Accent6">
    <w:name w:val="List Table 1 Light Accent 6"/>
    <w:basedOn w:val="TableNormal"/>
    <w:uiPriority w:val="46"/>
    <w:semiHidden/>
    <w:rsid w:val="00E45C9C"/>
    <w:pPr>
      <w:spacing w:after="0" w:line="240" w:lineRule="auto"/>
    </w:pPr>
    <w:tblPr>
      <w:tblStyleRowBandSize w:val="1"/>
      <w:tblStyleColBandSize w:val="1"/>
    </w:tblPr>
    <w:tblStylePr w:type="firstRow">
      <w:rPr>
        <w:b/>
        <w:bCs/>
      </w:rPr>
      <w:tblPr/>
      <w:tcPr>
        <w:tcBorders>
          <w:bottom w:val="single" w:sz="4" w:space="0" w:color="F0A28A" w:themeColor="accent6" w:themeTint="99"/>
        </w:tcBorders>
      </w:tcPr>
    </w:tblStylePr>
    <w:tblStylePr w:type="lastRow">
      <w:rPr>
        <w:b/>
        <w:bCs/>
      </w:rPr>
      <w:tblPr/>
      <w:tcPr>
        <w:tcBorders>
          <w:top w:val="single" w:sz="4" w:space="0" w:color="F0A28A" w:themeColor="accent6" w:themeTint="99"/>
        </w:tcBorders>
      </w:tcPr>
    </w:tblStylePr>
    <w:tblStylePr w:type="firstCol">
      <w:rPr>
        <w:b/>
        <w:bCs/>
      </w:rPr>
    </w:tblStylePr>
    <w:tblStylePr w:type="lastCol">
      <w:rPr>
        <w:b/>
        <w:bCs/>
      </w:rPr>
    </w:tblStylePr>
    <w:tblStylePr w:type="band1Vert">
      <w:tblPr/>
      <w:tcPr>
        <w:shd w:val="clear" w:color="auto" w:fill="FAE0D8" w:themeFill="accent6" w:themeFillTint="33"/>
      </w:tcPr>
    </w:tblStylePr>
    <w:tblStylePr w:type="band1Horz">
      <w:tblPr/>
      <w:tcPr>
        <w:shd w:val="clear" w:color="auto" w:fill="FAE0D8" w:themeFill="accent6" w:themeFillTint="33"/>
      </w:tcPr>
    </w:tblStylePr>
  </w:style>
  <w:style w:type="table" w:styleId="ListTable2">
    <w:name w:val="List Table 2"/>
    <w:basedOn w:val="TableNormal"/>
    <w:uiPriority w:val="47"/>
    <w:semiHidden/>
    <w:rsid w:val="00E45C9C"/>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E45C9C"/>
    <w:pPr>
      <w:spacing w:after="0" w:line="240" w:lineRule="auto"/>
    </w:pPr>
    <w:tblPr>
      <w:tblStyleRowBandSize w:val="1"/>
      <w:tblStyleColBandSize w:val="1"/>
      <w:tblBorders>
        <w:top w:val="single" w:sz="4" w:space="0" w:color="607F95" w:themeColor="accent1" w:themeTint="99"/>
        <w:bottom w:val="single" w:sz="4" w:space="0" w:color="607F95" w:themeColor="accent1" w:themeTint="99"/>
        <w:insideH w:val="single" w:sz="4" w:space="0" w:color="607F9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9D4DC" w:themeFill="accent1" w:themeFillTint="33"/>
      </w:tcPr>
    </w:tblStylePr>
    <w:tblStylePr w:type="band1Horz">
      <w:tblPr/>
      <w:tcPr>
        <w:shd w:val="clear" w:color="auto" w:fill="C9D4DC" w:themeFill="accent1" w:themeFillTint="33"/>
      </w:tcPr>
    </w:tblStylePr>
  </w:style>
  <w:style w:type="table" w:styleId="ListTable2-Accent2">
    <w:name w:val="List Table 2 Accent 2"/>
    <w:basedOn w:val="TableNormal"/>
    <w:uiPriority w:val="47"/>
    <w:semiHidden/>
    <w:rsid w:val="00E45C9C"/>
    <w:pPr>
      <w:spacing w:after="0" w:line="240" w:lineRule="auto"/>
    </w:pPr>
    <w:tblPr>
      <w:tblStyleRowBandSize w:val="1"/>
      <w:tblStyleColBandSize w:val="1"/>
      <w:tblBorders>
        <w:top w:val="single" w:sz="4" w:space="0" w:color="1DE1FF" w:themeColor="accent2" w:themeTint="99"/>
        <w:bottom w:val="single" w:sz="4" w:space="0" w:color="1DE1FF" w:themeColor="accent2" w:themeTint="99"/>
        <w:insideH w:val="single" w:sz="4" w:space="0" w:color="1DE1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3F5FF" w:themeFill="accent2" w:themeFillTint="33"/>
      </w:tcPr>
    </w:tblStylePr>
    <w:tblStylePr w:type="band1Horz">
      <w:tblPr/>
      <w:tcPr>
        <w:shd w:val="clear" w:color="auto" w:fill="B3F5FF" w:themeFill="accent2" w:themeFillTint="33"/>
      </w:tcPr>
    </w:tblStylePr>
  </w:style>
  <w:style w:type="table" w:styleId="ListTable2-Accent3">
    <w:name w:val="List Table 2 Accent 3"/>
    <w:basedOn w:val="TableNormal"/>
    <w:uiPriority w:val="47"/>
    <w:semiHidden/>
    <w:rsid w:val="00E45C9C"/>
    <w:pPr>
      <w:spacing w:after="0" w:line="240" w:lineRule="auto"/>
    </w:pPr>
    <w:tblPr>
      <w:tblStyleRowBandSize w:val="1"/>
      <w:tblStyleColBandSize w:val="1"/>
      <w:tblBorders>
        <w:top w:val="single" w:sz="4" w:space="0" w:color="9CD4F3" w:themeColor="accent3" w:themeTint="99"/>
        <w:bottom w:val="single" w:sz="4" w:space="0" w:color="9CD4F3" w:themeColor="accent3" w:themeTint="99"/>
        <w:insideH w:val="single" w:sz="4" w:space="0" w:color="9CD4F3"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F0FB" w:themeFill="accent3" w:themeFillTint="33"/>
      </w:tcPr>
    </w:tblStylePr>
    <w:tblStylePr w:type="band1Horz">
      <w:tblPr/>
      <w:tcPr>
        <w:shd w:val="clear" w:color="auto" w:fill="DEF0FB" w:themeFill="accent3" w:themeFillTint="33"/>
      </w:tcPr>
    </w:tblStylePr>
  </w:style>
  <w:style w:type="table" w:styleId="ListTable2-Accent4">
    <w:name w:val="List Table 2 Accent 4"/>
    <w:basedOn w:val="TableNormal"/>
    <w:uiPriority w:val="47"/>
    <w:semiHidden/>
    <w:rsid w:val="00E45C9C"/>
    <w:pPr>
      <w:spacing w:after="0" w:line="240" w:lineRule="auto"/>
    </w:pPr>
    <w:tblPr>
      <w:tblStyleRowBandSize w:val="1"/>
      <w:tblStyleColBandSize w:val="1"/>
      <w:tblBorders>
        <w:top w:val="single" w:sz="4" w:space="0" w:color="2793FF" w:themeColor="accent4" w:themeTint="99"/>
        <w:bottom w:val="single" w:sz="4" w:space="0" w:color="2793FF" w:themeColor="accent4" w:themeTint="99"/>
        <w:insideH w:val="single" w:sz="4" w:space="0" w:color="2793FF"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4" w:themeFillTint="33"/>
      </w:tcPr>
    </w:tblStylePr>
    <w:tblStylePr w:type="band1Horz">
      <w:tblPr/>
      <w:tcPr>
        <w:shd w:val="clear" w:color="auto" w:fill="B7DBFF" w:themeFill="accent4" w:themeFillTint="33"/>
      </w:tcPr>
    </w:tblStylePr>
  </w:style>
  <w:style w:type="table" w:styleId="ListTable2-Accent5">
    <w:name w:val="List Table 2 Accent 5"/>
    <w:basedOn w:val="TableNormal"/>
    <w:uiPriority w:val="47"/>
    <w:semiHidden/>
    <w:rsid w:val="00E45C9C"/>
    <w:pPr>
      <w:spacing w:after="0" w:line="240" w:lineRule="auto"/>
    </w:pPr>
    <w:tblPr>
      <w:tblStyleRowBandSize w:val="1"/>
      <w:tblStyleColBandSize w:val="1"/>
      <w:tblBorders>
        <w:top w:val="single" w:sz="4" w:space="0" w:color="9CCCA1" w:themeColor="accent5" w:themeTint="99"/>
        <w:bottom w:val="single" w:sz="4" w:space="0" w:color="9CCCA1" w:themeColor="accent5" w:themeTint="99"/>
        <w:insideH w:val="single" w:sz="4" w:space="0" w:color="9CCCA1"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EDF" w:themeFill="accent5" w:themeFillTint="33"/>
      </w:tcPr>
    </w:tblStylePr>
    <w:tblStylePr w:type="band1Horz">
      <w:tblPr/>
      <w:tcPr>
        <w:shd w:val="clear" w:color="auto" w:fill="DEEEDF" w:themeFill="accent5" w:themeFillTint="33"/>
      </w:tcPr>
    </w:tblStylePr>
  </w:style>
  <w:style w:type="table" w:styleId="ListTable2-Accent6">
    <w:name w:val="List Table 2 Accent 6"/>
    <w:basedOn w:val="TableNormal"/>
    <w:uiPriority w:val="47"/>
    <w:semiHidden/>
    <w:rsid w:val="00E45C9C"/>
    <w:pPr>
      <w:spacing w:after="0" w:line="240" w:lineRule="auto"/>
    </w:pPr>
    <w:tblPr>
      <w:tblStyleRowBandSize w:val="1"/>
      <w:tblStyleColBandSize w:val="1"/>
      <w:tblBorders>
        <w:top w:val="single" w:sz="4" w:space="0" w:color="F0A28A" w:themeColor="accent6" w:themeTint="99"/>
        <w:bottom w:val="single" w:sz="4" w:space="0" w:color="F0A28A" w:themeColor="accent6" w:themeTint="99"/>
        <w:insideH w:val="single" w:sz="4" w:space="0" w:color="F0A28A"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0D8" w:themeFill="accent6" w:themeFillTint="33"/>
      </w:tcPr>
    </w:tblStylePr>
    <w:tblStylePr w:type="band1Horz">
      <w:tblPr/>
      <w:tcPr>
        <w:shd w:val="clear" w:color="auto" w:fill="FAE0D8" w:themeFill="accent6" w:themeFillTint="33"/>
      </w:tcPr>
    </w:tblStylePr>
  </w:style>
  <w:style w:type="table" w:styleId="ListTable3">
    <w:name w:val="List Table 3"/>
    <w:basedOn w:val="TableNormal"/>
    <w:uiPriority w:val="48"/>
    <w:semiHidden/>
    <w:rsid w:val="00E45C9C"/>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E45C9C"/>
    <w:pPr>
      <w:spacing w:after="0" w:line="240" w:lineRule="auto"/>
    </w:pPr>
    <w:tblPr>
      <w:tblStyleRowBandSize w:val="1"/>
      <w:tblStyleColBandSize w:val="1"/>
      <w:tblBorders>
        <w:top w:val="single" w:sz="4" w:space="0" w:color="1B242A" w:themeColor="accent1"/>
        <w:left w:val="single" w:sz="4" w:space="0" w:color="1B242A" w:themeColor="accent1"/>
        <w:bottom w:val="single" w:sz="4" w:space="0" w:color="1B242A" w:themeColor="accent1"/>
        <w:right w:val="single" w:sz="4" w:space="0" w:color="1B242A" w:themeColor="accent1"/>
      </w:tblBorders>
    </w:tblPr>
    <w:tblStylePr w:type="firstRow">
      <w:rPr>
        <w:b/>
        <w:bCs/>
        <w:color w:val="FFFFFF" w:themeColor="background1"/>
      </w:rPr>
      <w:tblPr/>
      <w:tcPr>
        <w:shd w:val="clear" w:color="auto" w:fill="1B242A" w:themeFill="accent1"/>
      </w:tcPr>
    </w:tblStylePr>
    <w:tblStylePr w:type="lastRow">
      <w:rPr>
        <w:b/>
        <w:bCs/>
      </w:rPr>
      <w:tblPr/>
      <w:tcPr>
        <w:tcBorders>
          <w:top w:val="double" w:sz="4" w:space="0" w:color="1B242A"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B242A" w:themeColor="accent1"/>
          <w:right w:val="single" w:sz="4" w:space="0" w:color="1B242A" w:themeColor="accent1"/>
        </w:tcBorders>
      </w:tcPr>
    </w:tblStylePr>
    <w:tblStylePr w:type="band1Horz">
      <w:tblPr/>
      <w:tcPr>
        <w:tcBorders>
          <w:top w:val="single" w:sz="4" w:space="0" w:color="1B242A" w:themeColor="accent1"/>
          <w:bottom w:val="single" w:sz="4" w:space="0" w:color="1B242A"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B242A" w:themeColor="accent1"/>
          <w:left w:val="nil"/>
        </w:tcBorders>
      </w:tcPr>
    </w:tblStylePr>
    <w:tblStylePr w:type="swCell">
      <w:tblPr/>
      <w:tcPr>
        <w:tcBorders>
          <w:top w:val="double" w:sz="4" w:space="0" w:color="1B242A" w:themeColor="accent1"/>
          <w:right w:val="nil"/>
        </w:tcBorders>
      </w:tcPr>
    </w:tblStylePr>
  </w:style>
  <w:style w:type="table" w:styleId="ListTable3-Accent2">
    <w:name w:val="List Table 3 Accent 2"/>
    <w:basedOn w:val="TableNormal"/>
    <w:uiPriority w:val="48"/>
    <w:semiHidden/>
    <w:rsid w:val="00E45C9C"/>
    <w:pPr>
      <w:spacing w:after="0" w:line="240" w:lineRule="auto"/>
    </w:pPr>
    <w:tblPr>
      <w:tblStyleRowBandSize w:val="1"/>
      <w:tblStyleColBandSize w:val="1"/>
      <w:tblBorders>
        <w:top w:val="single" w:sz="4" w:space="0" w:color="007586" w:themeColor="accent2"/>
        <w:left w:val="single" w:sz="4" w:space="0" w:color="007586" w:themeColor="accent2"/>
        <w:bottom w:val="single" w:sz="4" w:space="0" w:color="007586" w:themeColor="accent2"/>
        <w:right w:val="single" w:sz="4" w:space="0" w:color="007586" w:themeColor="accent2"/>
      </w:tblBorders>
    </w:tblPr>
    <w:tblStylePr w:type="firstRow">
      <w:rPr>
        <w:b/>
        <w:bCs/>
        <w:color w:val="FFFFFF" w:themeColor="background1"/>
      </w:rPr>
      <w:tblPr/>
      <w:tcPr>
        <w:shd w:val="clear" w:color="auto" w:fill="007586" w:themeFill="accent2"/>
      </w:tcPr>
    </w:tblStylePr>
    <w:tblStylePr w:type="lastRow">
      <w:rPr>
        <w:b/>
        <w:bCs/>
      </w:rPr>
      <w:tblPr/>
      <w:tcPr>
        <w:tcBorders>
          <w:top w:val="double" w:sz="4" w:space="0" w:color="007586"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586" w:themeColor="accent2"/>
          <w:right w:val="single" w:sz="4" w:space="0" w:color="007586" w:themeColor="accent2"/>
        </w:tcBorders>
      </w:tcPr>
    </w:tblStylePr>
    <w:tblStylePr w:type="band1Horz">
      <w:tblPr/>
      <w:tcPr>
        <w:tcBorders>
          <w:top w:val="single" w:sz="4" w:space="0" w:color="007586" w:themeColor="accent2"/>
          <w:bottom w:val="single" w:sz="4" w:space="0" w:color="007586"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586" w:themeColor="accent2"/>
          <w:left w:val="nil"/>
        </w:tcBorders>
      </w:tcPr>
    </w:tblStylePr>
    <w:tblStylePr w:type="swCell">
      <w:tblPr/>
      <w:tcPr>
        <w:tcBorders>
          <w:top w:val="double" w:sz="4" w:space="0" w:color="007586" w:themeColor="accent2"/>
          <w:right w:val="nil"/>
        </w:tcBorders>
      </w:tcPr>
    </w:tblStylePr>
  </w:style>
  <w:style w:type="table" w:styleId="ListTable3-Accent3">
    <w:name w:val="List Table 3 Accent 3"/>
    <w:basedOn w:val="TableNormal"/>
    <w:uiPriority w:val="48"/>
    <w:semiHidden/>
    <w:rsid w:val="00E45C9C"/>
    <w:pPr>
      <w:spacing w:after="0" w:line="240" w:lineRule="auto"/>
    </w:pPr>
    <w:tblPr>
      <w:tblStyleRowBandSize w:val="1"/>
      <w:tblStyleColBandSize w:val="1"/>
      <w:tblBorders>
        <w:top w:val="single" w:sz="4" w:space="0" w:color="5AB9EB" w:themeColor="accent3"/>
        <w:left w:val="single" w:sz="4" w:space="0" w:color="5AB9EB" w:themeColor="accent3"/>
        <w:bottom w:val="single" w:sz="4" w:space="0" w:color="5AB9EB" w:themeColor="accent3"/>
        <w:right w:val="single" w:sz="4" w:space="0" w:color="5AB9EB" w:themeColor="accent3"/>
      </w:tblBorders>
    </w:tblPr>
    <w:tblStylePr w:type="firstRow">
      <w:rPr>
        <w:b/>
        <w:bCs/>
        <w:color w:val="FFFFFF" w:themeColor="background1"/>
      </w:rPr>
      <w:tblPr/>
      <w:tcPr>
        <w:shd w:val="clear" w:color="auto" w:fill="5AB9EB" w:themeFill="accent3"/>
      </w:tcPr>
    </w:tblStylePr>
    <w:tblStylePr w:type="lastRow">
      <w:rPr>
        <w:b/>
        <w:bCs/>
      </w:rPr>
      <w:tblPr/>
      <w:tcPr>
        <w:tcBorders>
          <w:top w:val="double" w:sz="4" w:space="0" w:color="5AB9EB"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AB9EB" w:themeColor="accent3"/>
          <w:right w:val="single" w:sz="4" w:space="0" w:color="5AB9EB" w:themeColor="accent3"/>
        </w:tcBorders>
      </w:tcPr>
    </w:tblStylePr>
    <w:tblStylePr w:type="band1Horz">
      <w:tblPr/>
      <w:tcPr>
        <w:tcBorders>
          <w:top w:val="single" w:sz="4" w:space="0" w:color="5AB9EB" w:themeColor="accent3"/>
          <w:bottom w:val="single" w:sz="4" w:space="0" w:color="5AB9EB"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AB9EB" w:themeColor="accent3"/>
          <w:left w:val="nil"/>
        </w:tcBorders>
      </w:tcPr>
    </w:tblStylePr>
    <w:tblStylePr w:type="swCell">
      <w:tblPr/>
      <w:tcPr>
        <w:tcBorders>
          <w:top w:val="double" w:sz="4" w:space="0" w:color="5AB9EB" w:themeColor="accent3"/>
          <w:right w:val="nil"/>
        </w:tcBorders>
      </w:tcPr>
    </w:tblStylePr>
  </w:style>
  <w:style w:type="table" w:styleId="ListTable3-Accent4">
    <w:name w:val="List Table 3 Accent 4"/>
    <w:basedOn w:val="TableNormal"/>
    <w:uiPriority w:val="48"/>
    <w:semiHidden/>
    <w:rsid w:val="00E45C9C"/>
    <w:pPr>
      <w:spacing w:after="0" w:line="240" w:lineRule="auto"/>
    </w:pPr>
    <w:tblPr>
      <w:tblStyleRowBandSize w:val="1"/>
      <w:tblStyleColBandSize w:val="1"/>
      <w:tblBorders>
        <w:top w:val="single" w:sz="4" w:space="0" w:color="004C97" w:themeColor="accent4"/>
        <w:left w:val="single" w:sz="4" w:space="0" w:color="004C97" w:themeColor="accent4"/>
        <w:bottom w:val="single" w:sz="4" w:space="0" w:color="004C97" w:themeColor="accent4"/>
        <w:right w:val="single" w:sz="4" w:space="0" w:color="004C97" w:themeColor="accent4"/>
      </w:tblBorders>
    </w:tblPr>
    <w:tblStylePr w:type="firstRow">
      <w:rPr>
        <w:b/>
        <w:bCs/>
        <w:color w:val="FFFFFF" w:themeColor="background1"/>
      </w:rPr>
      <w:tblPr/>
      <w:tcPr>
        <w:shd w:val="clear" w:color="auto" w:fill="004C97" w:themeFill="accent4"/>
      </w:tcPr>
    </w:tblStylePr>
    <w:tblStylePr w:type="lastRow">
      <w:rPr>
        <w:b/>
        <w:bCs/>
      </w:rPr>
      <w:tblPr/>
      <w:tcPr>
        <w:tcBorders>
          <w:top w:val="double" w:sz="4" w:space="0" w:color="004C9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4"/>
          <w:right w:val="single" w:sz="4" w:space="0" w:color="004C97" w:themeColor="accent4"/>
        </w:tcBorders>
      </w:tcPr>
    </w:tblStylePr>
    <w:tblStylePr w:type="band1Horz">
      <w:tblPr/>
      <w:tcPr>
        <w:tcBorders>
          <w:top w:val="single" w:sz="4" w:space="0" w:color="004C97" w:themeColor="accent4"/>
          <w:bottom w:val="single" w:sz="4" w:space="0" w:color="004C9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4"/>
          <w:left w:val="nil"/>
        </w:tcBorders>
      </w:tcPr>
    </w:tblStylePr>
    <w:tblStylePr w:type="swCell">
      <w:tblPr/>
      <w:tcPr>
        <w:tcBorders>
          <w:top w:val="double" w:sz="4" w:space="0" w:color="004C97" w:themeColor="accent4"/>
          <w:right w:val="nil"/>
        </w:tcBorders>
      </w:tcPr>
    </w:tblStylePr>
  </w:style>
  <w:style w:type="table" w:styleId="ListTable3-Accent5">
    <w:name w:val="List Table 3 Accent 5"/>
    <w:basedOn w:val="TableNormal"/>
    <w:uiPriority w:val="48"/>
    <w:semiHidden/>
    <w:rsid w:val="00E45C9C"/>
    <w:pPr>
      <w:spacing w:after="0" w:line="240" w:lineRule="auto"/>
    </w:pPr>
    <w:tblPr>
      <w:tblStyleRowBandSize w:val="1"/>
      <w:tblStyleColBandSize w:val="1"/>
      <w:tblBorders>
        <w:top w:val="single" w:sz="4" w:space="0" w:color="5AAA64" w:themeColor="accent5"/>
        <w:left w:val="single" w:sz="4" w:space="0" w:color="5AAA64" w:themeColor="accent5"/>
        <w:bottom w:val="single" w:sz="4" w:space="0" w:color="5AAA64" w:themeColor="accent5"/>
        <w:right w:val="single" w:sz="4" w:space="0" w:color="5AAA64" w:themeColor="accent5"/>
      </w:tblBorders>
    </w:tblPr>
    <w:tblStylePr w:type="firstRow">
      <w:rPr>
        <w:b/>
        <w:bCs/>
        <w:color w:val="FFFFFF" w:themeColor="background1"/>
      </w:rPr>
      <w:tblPr/>
      <w:tcPr>
        <w:shd w:val="clear" w:color="auto" w:fill="5AAA64" w:themeFill="accent5"/>
      </w:tcPr>
    </w:tblStylePr>
    <w:tblStylePr w:type="lastRow">
      <w:rPr>
        <w:b/>
        <w:bCs/>
      </w:rPr>
      <w:tblPr/>
      <w:tcPr>
        <w:tcBorders>
          <w:top w:val="double" w:sz="4" w:space="0" w:color="5AAA6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AAA64" w:themeColor="accent5"/>
          <w:right w:val="single" w:sz="4" w:space="0" w:color="5AAA64" w:themeColor="accent5"/>
        </w:tcBorders>
      </w:tcPr>
    </w:tblStylePr>
    <w:tblStylePr w:type="band1Horz">
      <w:tblPr/>
      <w:tcPr>
        <w:tcBorders>
          <w:top w:val="single" w:sz="4" w:space="0" w:color="5AAA64" w:themeColor="accent5"/>
          <w:bottom w:val="single" w:sz="4" w:space="0" w:color="5AAA6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AAA64" w:themeColor="accent5"/>
          <w:left w:val="nil"/>
        </w:tcBorders>
      </w:tcPr>
    </w:tblStylePr>
    <w:tblStylePr w:type="swCell">
      <w:tblPr/>
      <w:tcPr>
        <w:tcBorders>
          <w:top w:val="double" w:sz="4" w:space="0" w:color="5AAA64" w:themeColor="accent5"/>
          <w:right w:val="nil"/>
        </w:tcBorders>
      </w:tcPr>
    </w:tblStylePr>
  </w:style>
  <w:style w:type="table" w:styleId="ListTable3-Accent6">
    <w:name w:val="List Table 3 Accent 6"/>
    <w:basedOn w:val="TableNormal"/>
    <w:uiPriority w:val="48"/>
    <w:semiHidden/>
    <w:rsid w:val="00E45C9C"/>
    <w:pPr>
      <w:spacing w:after="0" w:line="240" w:lineRule="auto"/>
    </w:pPr>
    <w:tblPr>
      <w:tblStyleRowBandSize w:val="1"/>
      <w:tblStyleColBandSize w:val="1"/>
      <w:tblBorders>
        <w:top w:val="single" w:sz="4" w:space="0" w:color="E6643C" w:themeColor="accent6"/>
        <w:left w:val="single" w:sz="4" w:space="0" w:color="E6643C" w:themeColor="accent6"/>
        <w:bottom w:val="single" w:sz="4" w:space="0" w:color="E6643C" w:themeColor="accent6"/>
        <w:right w:val="single" w:sz="4" w:space="0" w:color="E6643C" w:themeColor="accent6"/>
      </w:tblBorders>
    </w:tblPr>
    <w:tblStylePr w:type="firstRow">
      <w:rPr>
        <w:b/>
        <w:bCs/>
        <w:color w:val="FFFFFF" w:themeColor="background1"/>
      </w:rPr>
      <w:tblPr/>
      <w:tcPr>
        <w:shd w:val="clear" w:color="auto" w:fill="E6643C" w:themeFill="accent6"/>
      </w:tcPr>
    </w:tblStylePr>
    <w:tblStylePr w:type="lastRow">
      <w:rPr>
        <w:b/>
        <w:bCs/>
      </w:rPr>
      <w:tblPr/>
      <w:tcPr>
        <w:tcBorders>
          <w:top w:val="double" w:sz="4" w:space="0" w:color="E6643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6643C" w:themeColor="accent6"/>
          <w:right w:val="single" w:sz="4" w:space="0" w:color="E6643C" w:themeColor="accent6"/>
        </w:tcBorders>
      </w:tcPr>
    </w:tblStylePr>
    <w:tblStylePr w:type="band1Horz">
      <w:tblPr/>
      <w:tcPr>
        <w:tcBorders>
          <w:top w:val="single" w:sz="4" w:space="0" w:color="E6643C" w:themeColor="accent6"/>
          <w:bottom w:val="single" w:sz="4" w:space="0" w:color="E6643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6643C" w:themeColor="accent6"/>
          <w:left w:val="nil"/>
        </w:tcBorders>
      </w:tcPr>
    </w:tblStylePr>
    <w:tblStylePr w:type="swCell">
      <w:tblPr/>
      <w:tcPr>
        <w:tcBorders>
          <w:top w:val="double" w:sz="4" w:space="0" w:color="E6643C" w:themeColor="accent6"/>
          <w:right w:val="nil"/>
        </w:tcBorders>
      </w:tcPr>
    </w:tblStylePr>
  </w:style>
  <w:style w:type="table" w:styleId="ListTable4">
    <w:name w:val="List Table 4"/>
    <w:basedOn w:val="TableNormal"/>
    <w:uiPriority w:val="49"/>
    <w:semiHidden/>
    <w:rsid w:val="00E45C9C"/>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E45C9C"/>
    <w:pPr>
      <w:spacing w:after="0" w:line="240" w:lineRule="auto"/>
    </w:pPr>
    <w:tblPr>
      <w:tblStyleRowBandSize w:val="1"/>
      <w:tblStyleColBandSize w:val="1"/>
      <w:tblBorders>
        <w:top w:val="single" w:sz="4" w:space="0" w:color="607F95" w:themeColor="accent1" w:themeTint="99"/>
        <w:left w:val="single" w:sz="4" w:space="0" w:color="607F95" w:themeColor="accent1" w:themeTint="99"/>
        <w:bottom w:val="single" w:sz="4" w:space="0" w:color="607F95" w:themeColor="accent1" w:themeTint="99"/>
        <w:right w:val="single" w:sz="4" w:space="0" w:color="607F95" w:themeColor="accent1" w:themeTint="99"/>
        <w:insideH w:val="single" w:sz="4" w:space="0" w:color="607F95" w:themeColor="accent1" w:themeTint="99"/>
      </w:tblBorders>
    </w:tblPr>
    <w:tblStylePr w:type="firstRow">
      <w:rPr>
        <w:b/>
        <w:bCs/>
        <w:color w:val="FFFFFF" w:themeColor="background1"/>
      </w:rPr>
      <w:tblPr/>
      <w:tcPr>
        <w:tcBorders>
          <w:top w:val="single" w:sz="4" w:space="0" w:color="1B242A" w:themeColor="accent1"/>
          <w:left w:val="single" w:sz="4" w:space="0" w:color="1B242A" w:themeColor="accent1"/>
          <w:bottom w:val="single" w:sz="4" w:space="0" w:color="1B242A" w:themeColor="accent1"/>
          <w:right w:val="single" w:sz="4" w:space="0" w:color="1B242A" w:themeColor="accent1"/>
          <w:insideH w:val="nil"/>
        </w:tcBorders>
        <w:shd w:val="clear" w:color="auto" w:fill="1B242A" w:themeFill="accent1"/>
      </w:tcPr>
    </w:tblStylePr>
    <w:tblStylePr w:type="lastRow">
      <w:rPr>
        <w:b/>
        <w:bCs/>
      </w:rPr>
      <w:tblPr/>
      <w:tcPr>
        <w:tcBorders>
          <w:top w:val="double" w:sz="4" w:space="0" w:color="607F95" w:themeColor="accent1" w:themeTint="99"/>
        </w:tcBorders>
      </w:tcPr>
    </w:tblStylePr>
    <w:tblStylePr w:type="firstCol">
      <w:rPr>
        <w:b/>
        <w:bCs/>
      </w:rPr>
    </w:tblStylePr>
    <w:tblStylePr w:type="lastCol">
      <w:rPr>
        <w:b/>
        <w:bCs/>
      </w:rPr>
    </w:tblStylePr>
    <w:tblStylePr w:type="band1Vert">
      <w:tblPr/>
      <w:tcPr>
        <w:shd w:val="clear" w:color="auto" w:fill="C9D4DC" w:themeFill="accent1" w:themeFillTint="33"/>
      </w:tcPr>
    </w:tblStylePr>
    <w:tblStylePr w:type="band1Horz">
      <w:tblPr/>
      <w:tcPr>
        <w:shd w:val="clear" w:color="auto" w:fill="C9D4DC" w:themeFill="accent1" w:themeFillTint="33"/>
      </w:tcPr>
    </w:tblStylePr>
  </w:style>
  <w:style w:type="table" w:styleId="ListTable4-Accent2">
    <w:name w:val="List Table 4 Accent 2"/>
    <w:basedOn w:val="TableNormal"/>
    <w:uiPriority w:val="49"/>
    <w:semiHidden/>
    <w:rsid w:val="00E45C9C"/>
    <w:pPr>
      <w:spacing w:after="0" w:line="240" w:lineRule="auto"/>
    </w:pPr>
    <w:tblPr>
      <w:tblStyleRowBandSize w:val="1"/>
      <w:tblStyleColBandSize w:val="1"/>
      <w:tblBorders>
        <w:top w:val="single" w:sz="4" w:space="0" w:color="1DE1FF" w:themeColor="accent2" w:themeTint="99"/>
        <w:left w:val="single" w:sz="4" w:space="0" w:color="1DE1FF" w:themeColor="accent2" w:themeTint="99"/>
        <w:bottom w:val="single" w:sz="4" w:space="0" w:color="1DE1FF" w:themeColor="accent2" w:themeTint="99"/>
        <w:right w:val="single" w:sz="4" w:space="0" w:color="1DE1FF" w:themeColor="accent2" w:themeTint="99"/>
        <w:insideH w:val="single" w:sz="4" w:space="0" w:color="1DE1FF" w:themeColor="accent2" w:themeTint="99"/>
      </w:tblBorders>
    </w:tblPr>
    <w:tblStylePr w:type="firstRow">
      <w:rPr>
        <w:b/>
        <w:bCs/>
        <w:color w:val="FFFFFF" w:themeColor="background1"/>
      </w:rPr>
      <w:tblPr/>
      <w:tcPr>
        <w:tcBorders>
          <w:top w:val="single" w:sz="4" w:space="0" w:color="007586" w:themeColor="accent2"/>
          <w:left w:val="single" w:sz="4" w:space="0" w:color="007586" w:themeColor="accent2"/>
          <w:bottom w:val="single" w:sz="4" w:space="0" w:color="007586" w:themeColor="accent2"/>
          <w:right w:val="single" w:sz="4" w:space="0" w:color="007586" w:themeColor="accent2"/>
          <w:insideH w:val="nil"/>
        </w:tcBorders>
        <w:shd w:val="clear" w:color="auto" w:fill="007586" w:themeFill="accent2"/>
      </w:tcPr>
    </w:tblStylePr>
    <w:tblStylePr w:type="lastRow">
      <w:rPr>
        <w:b/>
        <w:bCs/>
      </w:rPr>
      <w:tblPr/>
      <w:tcPr>
        <w:tcBorders>
          <w:top w:val="double" w:sz="4" w:space="0" w:color="1DE1FF" w:themeColor="accent2" w:themeTint="99"/>
        </w:tcBorders>
      </w:tcPr>
    </w:tblStylePr>
    <w:tblStylePr w:type="firstCol">
      <w:rPr>
        <w:b/>
        <w:bCs/>
      </w:rPr>
    </w:tblStylePr>
    <w:tblStylePr w:type="lastCol">
      <w:rPr>
        <w:b/>
        <w:bCs/>
      </w:rPr>
    </w:tblStylePr>
    <w:tblStylePr w:type="band1Vert">
      <w:tblPr/>
      <w:tcPr>
        <w:shd w:val="clear" w:color="auto" w:fill="B3F5FF" w:themeFill="accent2" w:themeFillTint="33"/>
      </w:tcPr>
    </w:tblStylePr>
    <w:tblStylePr w:type="band1Horz">
      <w:tblPr/>
      <w:tcPr>
        <w:shd w:val="clear" w:color="auto" w:fill="B3F5FF" w:themeFill="accent2" w:themeFillTint="33"/>
      </w:tcPr>
    </w:tblStylePr>
  </w:style>
  <w:style w:type="table" w:styleId="ListTable4-Accent3">
    <w:name w:val="List Table 4 Accent 3"/>
    <w:basedOn w:val="TableNormal"/>
    <w:uiPriority w:val="49"/>
    <w:semiHidden/>
    <w:rsid w:val="00E45C9C"/>
    <w:pPr>
      <w:spacing w:after="0" w:line="240" w:lineRule="auto"/>
    </w:pPr>
    <w:tblPr>
      <w:tblStyleRowBandSize w:val="1"/>
      <w:tblStyleColBandSize w:val="1"/>
      <w:tblBorders>
        <w:top w:val="single" w:sz="4" w:space="0" w:color="9CD4F3" w:themeColor="accent3" w:themeTint="99"/>
        <w:left w:val="single" w:sz="4" w:space="0" w:color="9CD4F3" w:themeColor="accent3" w:themeTint="99"/>
        <w:bottom w:val="single" w:sz="4" w:space="0" w:color="9CD4F3" w:themeColor="accent3" w:themeTint="99"/>
        <w:right w:val="single" w:sz="4" w:space="0" w:color="9CD4F3" w:themeColor="accent3" w:themeTint="99"/>
        <w:insideH w:val="single" w:sz="4" w:space="0" w:color="9CD4F3" w:themeColor="accent3" w:themeTint="99"/>
      </w:tblBorders>
    </w:tblPr>
    <w:tblStylePr w:type="firstRow">
      <w:rPr>
        <w:b/>
        <w:bCs/>
        <w:color w:val="FFFFFF" w:themeColor="background1"/>
      </w:rPr>
      <w:tblPr/>
      <w:tcPr>
        <w:tcBorders>
          <w:top w:val="single" w:sz="4" w:space="0" w:color="5AB9EB" w:themeColor="accent3"/>
          <w:left w:val="single" w:sz="4" w:space="0" w:color="5AB9EB" w:themeColor="accent3"/>
          <w:bottom w:val="single" w:sz="4" w:space="0" w:color="5AB9EB" w:themeColor="accent3"/>
          <w:right w:val="single" w:sz="4" w:space="0" w:color="5AB9EB" w:themeColor="accent3"/>
          <w:insideH w:val="nil"/>
        </w:tcBorders>
        <w:shd w:val="clear" w:color="auto" w:fill="5AB9EB" w:themeFill="accent3"/>
      </w:tcPr>
    </w:tblStylePr>
    <w:tblStylePr w:type="lastRow">
      <w:rPr>
        <w:b/>
        <w:bCs/>
      </w:rPr>
      <w:tblPr/>
      <w:tcPr>
        <w:tcBorders>
          <w:top w:val="double" w:sz="4" w:space="0" w:color="9CD4F3" w:themeColor="accent3" w:themeTint="99"/>
        </w:tcBorders>
      </w:tcPr>
    </w:tblStylePr>
    <w:tblStylePr w:type="firstCol">
      <w:rPr>
        <w:b/>
        <w:bCs/>
      </w:rPr>
    </w:tblStylePr>
    <w:tblStylePr w:type="lastCol">
      <w:rPr>
        <w:b/>
        <w:bCs/>
      </w:rPr>
    </w:tblStylePr>
    <w:tblStylePr w:type="band1Vert">
      <w:tblPr/>
      <w:tcPr>
        <w:shd w:val="clear" w:color="auto" w:fill="DEF0FB" w:themeFill="accent3" w:themeFillTint="33"/>
      </w:tcPr>
    </w:tblStylePr>
    <w:tblStylePr w:type="band1Horz">
      <w:tblPr/>
      <w:tcPr>
        <w:shd w:val="clear" w:color="auto" w:fill="DEF0FB" w:themeFill="accent3" w:themeFillTint="33"/>
      </w:tcPr>
    </w:tblStylePr>
  </w:style>
  <w:style w:type="table" w:styleId="ListTable4-Accent4">
    <w:name w:val="List Table 4 Accent 4"/>
    <w:basedOn w:val="TableNormal"/>
    <w:uiPriority w:val="49"/>
    <w:semiHidden/>
    <w:rsid w:val="00E45C9C"/>
    <w:pPr>
      <w:spacing w:after="0" w:line="240" w:lineRule="auto"/>
    </w:pPr>
    <w:tblPr>
      <w:tblStyleRowBandSize w:val="1"/>
      <w:tblStyleColBandSize w:val="1"/>
      <w:tblBorders>
        <w:top w:val="single" w:sz="4" w:space="0" w:color="2793FF" w:themeColor="accent4" w:themeTint="99"/>
        <w:left w:val="single" w:sz="4" w:space="0" w:color="2793FF" w:themeColor="accent4" w:themeTint="99"/>
        <w:bottom w:val="single" w:sz="4" w:space="0" w:color="2793FF" w:themeColor="accent4" w:themeTint="99"/>
        <w:right w:val="single" w:sz="4" w:space="0" w:color="2793FF" w:themeColor="accent4" w:themeTint="99"/>
        <w:insideH w:val="single" w:sz="4" w:space="0" w:color="2793FF" w:themeColor="accent4" w:themeTint="99"/>
      </w:tblBorders>
    </w:tblPr>
    <w:tblStylePr w:type="firstRow">
      <w:rPr>
        <w:b/>
        <w:bCs/>
        <w:color w:val="FFFFFF" w:themeColor="background1"/>
      </w:rPr>
      <w:tblPr/>
      <w:tcPr>
        <w:tcBorders>
          <w:top w:val="single" w:sz="4" w:space="0" w:color="004C97" w:themeColor="accent4"/>
          <w:left w:val="single" w:sz="4" w:space="0" w:color="004C97" w:themeColor="accent4"/>
          <w:bottom w:val="single" w:sz="4" w:space="0" w:color="004C97" w:themeColor="accent4"/>
          <w:right w:val="single" w:sz="4" w:space="0" w:color="004C97" w:themeColor="accent4"/>
          <w:insideH w:val="nil"/>
        </w:tcBorders>
        <w:shd w:val="clear" w:color="auto" w:fill="004C97" w:themeFill="accent4"/>
      </w:tcPr>
    </w:tblStylePr>
    <w:tblStylePr w:type="lastRow">
      <w:rPr>
        <w:b/>
        <w:bCs/>
      </w:rPr>
      <w:tblPr/>
      <w:tcPr>
        <w:tcBorders>
          <w:top w:val="double" w:sz="4" w:space="0" w:color="2793FF" w:themeColor="accent4" w:themeTint="99"/>
        </w:tcBorders>
      </w:tcPr>
    </w:tblStylePr>
    <w:tblStylePr w:type="firstCol">
      <w:rPr>
        <w:b/>
        <w:bCs/>
      </w:rPr>
    </w:tblStylePr>
    <w:tblStylePr w:type="lastCol">
      <w:rPr>
        <w:b/>
        <w:bCs/>
      </w:rPr>
    </w:tblStylePr>
    <w:tblStylePr w:type="band1Vert">
      <w:tblPr/>
      <w:tcPr>
        <w:shd w:val="clear" w:color="auto" w:fill="B7DBFF" w:themeFill="accent4" w:themeFillTint="33"/>
      </w:tcPr>
    </w:tblStylePr>
    <w:tblStylePr w:type="band1Horz">
      <w:tblPr/>
      <w:tcPr>
        <w:shd w:val="clear" w:color="auto" w:fill="B7DBFF" w:themeFill="accent4" w:themeFillTint="33"/>
      </w:tcPr>
    </w:tblStylePr>
  </w:style>
  <w:style w:type="table" w:styleId="ListTable4-Accent5">
    <w:name w:val="List Table 4 Accent 5"/>
    <w:basedOn w:val="TableNormal"/>
    <w:uiPriority w:val="49"/>
    <w:semiHidden/>
    <w:rsid w:val="00E45C9C"/>
    <w:pPr>
      <w:spacing w:after="0" w:line="240" w:lineRule="auto"/>
    </w:pPr>
    <w:tblPr>
      <w:tblStyleRowBandSize w:val="1"/>
      <w:tblStyleColBandSize w:val="1"/>
      <w:tblBorders>
        <w:top w:val="single" w:sz="4" w:space="0" w:color="9CCCA1" w:themeColor="accent5" w:themeTint="99"/>
        <w:left w:val="single" w:sz="4" w:space="0" w:color="9CCCA1" w:themeColor="accent5" w:themeTint="99"/>
        <w:bottom w:val="single" w:sz="4" w:space="0" w:color="9CCCA1" w:themeColor="accent5" w:themeTint="99"/>
        <w:right w:val="single" w:sz="4" w:space="0" w:color="9CCCA1" w:themeColor="accent5" w:themeTint="99"/>
        <w:insideH w:val="single" w:sz="4" w:space="0" w:color="9CCCA1" w:themeColor="accent5" w:themeTint="99"/>
      </w:tblBorders>
    </w:tblPr>
    <w:tblStylePr w:type="firstRow">
      <w:rPr>
        <w:b/>
        <w:bCs/>
        <w:color w:val="FFFFFF" w:themeColor="background1"/>
      </w:rPr>
      <w:tblPr/>
      <w:tcPr>
        <w:tcBorders>
          <w:top w:val="single" w:sz="4" w:space="0" w:color="5AAA64" w:themeColor="accent5"/>
          <w:left w:val="single" w:sz="4" w:space="0" w:color="5AAA64" w:themeColor="accent5"/>
          <w:bottom w:val="single" w:sz="4" w:space="0" w:color="5AAA64" w:themeColor="accent5"/>
          <w:right w:val="single" w:sz="4" w:space="0" w:color="5AAA64" w:themeColor="accent5"/>
          <w:insideH w:val="nil"/>
        </w:tcBorders>
        <w:shd w:val="clear" w:color="auto" w:fill="5AAA64" w:themeFill="accent5"/>
      </w:tcPr>
    </w:tblStylePr>
    <w:tblStylePr w:type="lastRow">
      <w:rPr>
        <w:b/>
        <w:bCs/>
      </w:rPr>
      <w:tblPr/>
      <w:tcPr>
        <w:tcBorders>
          <w:top w:val="double" w:sz="4" w:space="0" w:color="9CCCA1" w:themeColor="accent5" w:themeTint="99"/>
        </w:tcBorders>
      </w:tcPr>
    </w:tblStylePr>
    <w:tblStylePr w:type="firstCol">
      <w:rPr>
        <w:b/>
        <w:bCs/>
      </w:rPr>
    </w:tblStylePr>
    <w:tblStylePr w:type="lastCol">
      <w:rPr>
        <w:b/>
        <w:bCs/>
      </w:rPr>
    </w:tblStylePr>
    <w:tblStylePr w:type="band1Vert">
      <w:tblPr/>
      <w:tcPr>
        <w:shd w:val="clear" w:color="auto" w:fill="DEEEDF" w:themeFill="accent5" w:themeFillTint="33"/>
      </w:tcPr>
    </w:tblStylePr>
    <w:tblStylePr w:type="band1Horz">
      <w:tblPr/>
      <w:tcPr>
        <w:shd w:val="clear" w:color="auto" w:fill="DEEEDF" w:themeFill="accent5" w:themeFillTint="33"/>
      </w:tcPr>
    </w:tblStylePr>
  </w:style>
  <w:style w:type="table" w:styleId="ListTable4-Accent6">
    <w:name w:val="List Table 4 Accent 6"/>
    <w:basedOn w:val="TableNormal"/>
    <w:uiPriority w:val="49"/>
    <w:semiHidden/>
    <w:rsid w:val="00E45C9C"/>
    <w:pPr>
      <w:spacing w:after="0" w:line="240" w:lineRule="auto"/>
    </w:pPr>
    <w:tblPr>
      <w:tblStyleRowBandSize w:val="1"/>
      <w:tblStyleColBandSize w:val="1"/>
      <w:tblBorders>
        <w:top w:val="single" w:sz="4" w:space="0" w:color="F0A28A" w:themeColor="accent6" w:themeTint="99"/>
        <w:left w:val="single" w:sz="4" w:space="0" w:color="F0A28A" w:themeColor="accent6" w:themeTint="99"/>
        <w:bottom w:val="single" w:sz="4" w:space="0" w:color="F0A28A" w:themeColor="accent6" w:themeTint="99"/>
        <w:right w:val="single" w:sz="4" w:space="0" w:color="F0A28A" w:themeColor="accent6" w:themeTint="99"/>
        <w:insideH w:val="single" w:sz="4" w:space="0" w:color="F0A28A" w:themeColor="accent6" w:themeTint="99"/>
      </w:tblBorders>
    </w:tblPr>
    <w:tblStylePr w:type="firstRow">
      <w:rPr>
        <w:b/>
        <w:bCs/>
        <w:color w:val="FFFFFF" w:themeColor="background1"/>
      </w:rPr>
      <w:tblPr/>
      <w:tcPr>
        <w:tcBorders>
          <w:top w:val="single" w:sz="4" w:space="0" w:color="E6643C" w:themeColor="accent6"/>
          <w:left w:val="single" w:sz="4" w:space="0" w:color="E6643C" w:themeColor="accent6"/>
          <w:bottom w:val="single" w:sz="4" w:space="0" w:color="E6643C" w:themeColor="accent6"/>
          <w:right w:val="single" w:sz="4" w:space="0" w:color="E6643C" w:themeColor="accent6"/>
          <w:insideH w:val="nil"/>
        </w:tcBorders>
        <w:shd w:val="clear" w:color="auto" w:fill="E6643C" w:themeFill="accent6"/>
      </w:tcPr>
    </w:tblStylePr>
    <w:tblStylePr w:type="lastRow">
      <w:rPr>
        <w:b/>
        <w:bCs/>
      </w:rPr>
      <w:tblPr/>
      <w:tcPr>
        <w:tcBorders>
          <w:top w:val="double" w:sz="4" w:space="0" w:color="F0A28A" w:themeColor="accent6" w:themeTint="99"/>
        </w:tcBorders>
      </w:tcPr>
    </w:tblStylePr>
    <w:tblStylePr w:type="firstCol">
      <w:rPr>
        <w:b/>
        <w:bCs/>
      </w:rPr>
    </w:tblStylePr>
    <w:tblStylePr w:type="lastCol">
      <w:rPr>
        <w:b/>
        <w:bCs/>
      </w:rPr>
    </w:tblStylePr>
    <w:tblStylePr w:type="band1Vert">
      <w:tblPr/>
      <w:tcPr>
        <w:shd w:val="clear" w:color="auto" w:fill="FAE0D8" w:themeFill="accent6" w:themeFillTint="33"/>
      </w:tcPr>
    </w:tblStylePr>
    <w:tblStylePr w:type="band1Horz">
      <w:tblPr/>
      <w:tcPr>
        <w:shd w:val="clear" w:color="auto" w:fill="FAE0D8" w:themeFill="accent6" w:themeFillTint="33"/>
      </w:tcPr>
    </w:tblStylePr>
  </w:style>
  <w:style w:type="table" w:styleId="ListTable5Dark">
    <w:name w:val="List Table 5 Dark"/>
    <w:basedOn w:val="TableNormal"/>
    <w:uiPriority w:val="50"/>
    <w:semiHidden/>
    <w:rsid w:val="00E45C9C"/>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E45C9C"/>
    <w:pPr>
      <w:spacing w:after="0" w:line="240" w:lineRule="auto"/>
    </w:pPr>
    <w:rPr>
      <w:color w:val="FFFFFF" w:themeColor="background1"/>
    </w:rPr>
    <w:tblPr>
      <w:tblStyleRowBandSize w:val="1"/>
      <w:tblStyleColBandSize w:val="1"/>
      <w:tblBorders>
        <w:top w:val="single" w:sz="24" w:space="0" w:color="1B242A" w:themeColor="accent1"/>
        <w:left w:val="single" w:sz="24" w:space="0" w:color="1B242A" w:themeColor="accent1"/>
        <w:bottom w:val="single" w:sz="24" w:space="0" w:color="1B242A" w:themeColor="accent1"/>
        <w:right w:val="single" w:sz="24" w:space="0" w:color="1B242A" w:themeColor="accent1"/>
      </w:tblBorders>
    </w:tblPr>
    <w:tcPr>
      <w:shd w:val="clear" w:color="auto" w:fill="1B242A"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E45C9C"/>
    <w:pPr>
      <w:spacing w:after="0" w:line="240" w:lineRule="auto"/>
    </w:pPr>
    <w:rPr>
      <w:color w:val="FFFFFF" w:themeColor="background1"/>
    </w:rPr>
    <w:tblPr>
      <w:tblStyleRowBandSize w:val="1"/>
      <w:tblStyleColBandSize w:val="1"/>
      <w:tblBorders>
        <w:top w:val="single" w:sz="24" w:space="0" w:color="007586" w:themeColor="accent2"/>
        <w:left w:val="single" w:sz="24" w:space="0" w:color="007586" w:themeColor="accent2"/>
        <w:bottom w:val="single" w:sz="24" w:space="0" w:color="007586" w:themeColor="accent2"/>
        <w:right w:val="single" w:sz="24" w:space="0" w:color="007586" w:themeColor="accent2"/>
      </w:tblBorders>
    </w:tblPr>
    <w:tcPr>
      <w:shd w:val="clear" w:color="auto" w:fill="007586"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E45C9C"/>
    <w:pPr>
      <w:spacing w:after="0" w:line="240" w:lineRule="auto"/>
    </w:pPr>
    <w:rPr>
      <w:color w:val="FFFFFF" w:themeColor="background1"/>
    </w:rPr>
    <w:tblPr>
      <w:tblStyleRowBandSize w:val="1"/>
      <w:tblStyleColBandSize w:val="1"/>
      <w:tblBorders>
        <w:top w:val="single" w:sz="24" w:space="0" w:color="5AB9EB" w:themeColor="accent3"/>
        <w:left w:val="single" w:sz="24" w:space="0" w:color="5AB9EB" w:themeColor="accent3"/>
        <w:bottom w:val="single" w:sz="24" w:space="0" w:color="5AB9EB" w:themeColor="accent3"/>
        <w:right w:val="single" w:sz="24" w:space="0" w:color="5AB9EB" w:themeColor="accent3"/>
      </w:tblBorders>
    </w:tblPr>
    <w:tcPr>
      <w:shd w:val="clear" w:color="auto" w:fill="5AB9EB"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E45C9C"/>
    <w:pPr>
      <w:spacing w:after="0" w:line="240" w:lineRule="auto"/>
    </w:pPr>
    <w:rPr>
      <w:color w:val="FFFFFF" w:themeColor="background1"/>
    </w:rPr>
    <w:tblPr>
      <w:tblStyleRowBandSize w:val="1"/>
      <w:tblStyleColBandSize w:val="1"/>
      <w:tblBorders>
        <w:top w:val="single" w:sz="24" w:space="0" w:color="004C97" w:themeColor="accent4"/>
        <w:left w:val="single" w:sz="24" w:space="0" w:color="004C97" w:themeColor="accent4"/>
        <w:bottom w:val="single" w:sz="24" w:space="0" w:color="004C97" w:themeColor="accent4"/>
        <w:right w:val="single" w:sz="24" w:space="0" w:color="004C97" w:themeColor="accent4"/>
      </w:tblBorders>
    </w:tblPr>
    <w:tcPr>
      <w:shd w:val="clear" w:color="auto" w:fill="004C9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E45C9C"/>
    <w:pPr>
      <w:spacing w:after="0" w:line="240" w:lineRule="auto"/>
    </w:pPr>
    <w:rPr>
      <w:color w:val="FFFFFF" w:themeColor="background1"/>
    </w:rPr>
    <w:tblPr>
      <w:tblStyleRowBandSize w:val="1"/>
      <w:tblStyleColBandSize w:val="1"/>
      <w:tblBorders>
        <w:top w:val="single" w:sz="24" w:space="0" w:color="5AAA64" w:themeColor="accent5"/>
        <w:left w:val="single" w:sz="24" w:space="0" w:color="5AAA64" w:themeColor="accent5"/>
        <w:bottom w:val="single" w:sz="24" w:space="0" w:color="5AAA64" w:themeColor="accent5"/>
        <w:right w:val="single" w:sz="24" w:space="0" w:color="5AAA64" w:themeColor="accent5"/>
      </w:tblBorders>
    </w:tblPr>
    <w:tcPr>
      <w:shd w:val="clear" w:color="auto" w:fill="5AAA6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E45C9C"/>
    <w:pPr>
      <w:spacing w:after="0" w:line="240" w:lineRule="auto"/>
    </w:pPr>
    <w:rPr>
      <w:color w:val="FFFFFF" w:themeColor="background1"/>
    </w:rPr>
    <w:tblPr>
      <w:tblStyleRowBandSize w:val="1"/>
      <w:tblStyleColBandSize w:val="1"/>
      <w:tblBorders>
        <w:top w:val="single" w:sz="24" w:space="0" w:color="E6643C" w:themeColor="accent6"/>
        <w:left w:val="single" w:sz="24" w:space="0" w:color="E6643C" w:themeColor="accent6"/>
        <w:bottom w:val="single" w:sz="24" w:space="0" w:color="E6643C" w:themeColor="accent6"/>
        <w:right w:val="single" w:sz="24" w:space="0" w:color="E6643C" w:themeColor="accent6"/>
      </w:tblBorders>
    </w:tblPr>
    <w:tcPr>
      <w:shd w:val="clear" w:color="auto" w:fill="E6643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urful">
    <w:name w:val="List Table 6 Colorful"/>
    <w:basedOn w:val="TableNormal"/>
    <w:uiPriority w:val="51"/>
    <w:semiHidden/>
    <w:rsid w:val="00E45C9C"/>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urfulAccent1">
    <w:name w:val="List Table 6 Colorful Accent 1"/>
    <w:basedOn w:val="TableNormal"/>
    <w:uiPriority w:val="51"/>
    <w:semiHidden/>
    <w:rsid w:val="00E45C9C"/>
    <w:pPr>
      <w:spacing w:after="0" w:line="240" w:lineRule="auto"/>
    </w:pPr>
    <w:rPr>
      <w:color w:val="141A1F" w:themeColor="accent1" w:themeShade="BF"/>
    </w:rPr>
    <w:tblPr>
      <w:tblStyleRowBandSize w:val="1"/>
      <w:tblStyleColBandSize w:val="1"/>
      <w:tblBorders>
        <w:top w:val="single" w:sz="4" w:space="0" w:color="1B242A" w:themeColor="accent1"/>
        <w:bottom w:val="single" w:sz="4" w:space="0" w:color="1B242A" w:themeColor="accent1"/>
      </w:tblBorders>
    </w:tblPr>
    <w:tblStylePr w:type="firstRow">
      <w:rPr>
        <w:b/>
        <w:bCs/>
      </w:rPr>
      <w:tblPr/>
      <w:tcPr>
        <w:tcBorders>
          <w:bottom w:val="single" w:sz="4" w:space="0" w:color="1B242A" w:themeColor="accent1"/>
        </w:tcBorders>
      </w:tcPr>
    </w:tblStylePr>
    <w:tblStylePr w:type="lastRow">
      <w:rPr>
        <w:b/>
        <w:bCs/>
      </w:rPr>
      <w:tblPr/>
      <w:tcPr>
        <w:tcBorders>
          <w:top w:val="double" w:sz="4" w:space="0" w:color="1B242A" w:themeColor="accent1"/>
        </w:tcBorders>
      </w:tcPr>
    </w:tblStylePr>
    <w:tblStylePr w:type="firstCol">
      <w:rPr>
        <w:b/>
        <w:bCs/>
      </w:rPr>
    </w:tblStylePr>
    <w:tblStylePr w:type="lastCol">
      <w:rPr>
        <w:b/>
        <w:bCs/>
      </w:rPr>
    </w:tblStylePr>
    <w:tblStylePr w:type="band1Vert">
      <w:tblPr/>
      <w:tcPr>
        <w:shd w:val="clear" w:color="auto" w:fill="C9D4DC" w:themeFill="accent1" w:themeFillTint="33"/>
      </w:tcPr>
    </w:tblStylePr>
    <w:tblStylePr w:type="band1Horz">
      <w:tblPr/>
      <w:tcPr>
        <w:shd w:val="clear" w:color="auto" w:fill="C9D4DC" w:themeFill="accent1" w:themeFillTint="33"/>
      </w:tcPr>
    </w:tblStylePr>
  </w:style>
  <w:style w:type="table" w:styleId="ListTable6ColourfulAccent2">
    <w:name w:val="List Table 6 Colorful Accent 2"/>
    <w:basedOn w:val="TableNormal"/>
    <w:uiPriority w:val="51"/>
    <w:semiHidden/>
    <w:rsid w:val="00E45C9C"/>
    <w:pPr>
      <w:spacing w:after="0" w:line="240" w:lineRule="auto"/>
    </w:pPr>
    <w:rPr>
      <w:color w:val="005764" w:themeColor="accent2" w:themeShade="BF"/>
    </w:rPr>
    <w:tblPr>
      <w:tblStyleRowBandSize w:val="1"/>
      <w:tblStyleColBandSize w:val="1"/>
      <w:tblBorders>
        <w:top w:val="single" w:sz="4" w:space="0" w:color="007586" w:themeColor="accent2"/>
        <w:bottom w:val="single" w:sz="4" w:space="0" w:color="007586" w:themeColor="accent2"/>
      </w:tblBorders>
    </w:tblPr>
    <w:tblStylePr w:type="firstRow">
      <w:rPr>
        <w:b/>
        <w:bCs/>
      </w:rPr>
      <w:tblPr/>
      <w:tcPr>
        <w:tcBorders>
          <w:bottom w:val="single" w:sz="4" w:space="0" w:color="007586" w:themeColor="accent2"/>
        </w:tcBorders>
      </w:tcPr>
    </w:tblStylePr>
    <w:tblStylePr w:type="lastRow">
      <w:rPr>
        <w:b/>
        <w:bCs/>
      </w:rPr>
      <w:tblPr/>
      <w:tcPr>
        <w:tcBorders>
          <w:top w:val="double" w:sz="4" w:space="0" w:color="007586" w:themeColor="accent2"/>
        </w:tcBorders>
      </w:tcPr>
    </w:tblStylePr>
    <w:tblStylePr w:type="firstCol">
      <w:rPr>
        <w:b/>
        <w:bCs/>
      </w:rPr>
    </w:tblStylePr>
    <w:tblStylePr w:type="lastCol">
      <w:rPr>
        <w:b/>
        <w:bCs/>
      </w:rPr>
    </w:tblStylePr>
    <w:tblStylePr w:type="band1Vert">
      <w:tblPr/>
      <w:tcPr>
        <w:shd w:val="clear" w:color="auto" w:fill="B3F5FF" w:themeFill="accent2" w:themeFillTint="33"/>
      </w:tcPr>
    </w:tblStylePr>
    <w:tblStylePr w:type="band1Horz">
      <w:tblPr/>
      <w:tcPr>
        <w:shd w:val="clear" w:color="auto" w:fill="B3F5FF" w:themeFill="accent2" w:themeFillTint="33"/>
      </w:tcPr>
    </w:tblStylePr>
  </w:style>
  <w:style w:type="table" w:styleId="ListTable6ColourfulAccent3">
    <w:name w:val="List Table 6 Colorful Accent 3"/>
    <w:basedOn w:val="TableNormal"/>
    <w:uiPriority w:val="51"/>
    <w:semiHidden/>
    <w:rsid w:val="00E45C9C"/>
    <w:pPr>
      <w:spacing w:after="0" w:line="240" w:lineRule="auto"/>
    </w:pPr>
    <w:rPr>
      <w:color w:val="1A97D9" w:themeColor="accent3" w:themeShade="BF"/>
    </w:rPr>
    <w:tblPr>
      <w:tblStyleRowBandSize w:val="1"/>
      <w:tblStyleColBandSize w:val="1"/>
      <w:tblBorders>
        <w:top w:val="single" w:sz="4" w:space="0" w:color="5AB9EB" w:themeColor="accent3"/>
        <w:bottom w:val="single" w:sz="4" w:space="0" w:color="5AB9EB" w:themeColor="accent3"/>
      </w:tblBorders>
    </w:tblPr>
    <w:tblStylePr w:type="firstRow">
      <w:rPr>
        <w:b/>
        <w:bCs/>
      </w:rPr>
      <w:tblPr/>
      <w:tcPr>
        <w:tcBorders>
          <w:bottom w:val="single" w:sz="4" w:space="0" w:color="5AB9EB" w:themeColor="accent3"/>
        </w:tcBorders>
      </w:tcPr>
    </w:tblStylePr>
    <w:tblStylePr w:type="lastRow">
      <w:rPr>
        <w:b/>
        <w:bCs/>
      </w:rPr>
      <w:tblPr/>
      <w:tcPr>
        <w:tcBorders>
          <w:top w:val="double" w:sz="4" w:space="0" w:color="5AB9EB" w:themeColor="accent3"/>
        </w:tcBorders>
      </w:tcPr>
    </w:tblStylePr>
    <w:tblStylePr w:type="firstCol">
      <w:rPr>
        <w:b/>
        <w:bCs/>
      </w:rPr>
    </w:tblStylePr>
    <w:tblStylePr w:type="lastCol">
      <w:rPr>
        <w:b/>
        <w:bCs/>
      </w:rPr>
    </w:tblStylePr>
    <w:tblStylePr w:type="band1Vert">
      <w:tblPr/>
      <w:tcPr>
        <w:shd w:val="clear" w:color="auto" w:fill="DEF0FB" w:themeFill="accent3" w:themeFillTint="33"/>
      </w:tcPr>
    </w:tblStylePr>
    <w:tblStylePr w:type="band1Horz">
      <w:tblPr/>
      <w:tcPr>
        <w:shd w:val="clear" w:color="auto" w:fill="DEF0FB" w:themeFill="accent3" w:themeFillTint="33"/>
      </w:tcPr>
    </w:tblStylePr>
  </w:style>
  <w:style w:type="table" w:styleId="ListTable6ColourfulAccent4">
    <w:name w:val="List Table 6 Colorful Accent 4"/>
    <w:basedOn w:val="TableNormal"/>
    <w:uiPriority w:val="51"/>
    <w:semiHidden/>
    <w:rsid w:val="00E45C9C"/>
    <w:pPr>
      <w:spacing w:after="0" w:line="240" w:lineRule="auto"/>
    </w:pPr>
    <w:rPr>
      <w:color w:val="003871" w:themeColor="accent4" w:themeShade="BF"/>
    </w:rPr>
    <w:tblPr>
      <w:tblStyleRowBandSize w:val="1"/>
      <w:tblStyleColBandSize w:val="1"/>
      <w:tblBorders>
        <w:top w:val="single" w:sz="4" w:space="0" w:color="004C97" w:themeColor="accent4"/>
        <w:bottom w:val="single" w:sz="4" w:space="0" w:color="004C97" w:themeColor="accent4"/>
      </w:tblBorders>
    </w:tblPr>
    <w:tblStylePr w:type="firstRow">
      <w:rPr>
        <w:b/>
        <w:bCs/>
      </w:rPr>
      <w:tblPr/>
      <w:tcPr>
        <w:tcBorders>
          <w:bottom w:val="single" w:sz="4" w:space="0" w:color="004C97" w:themeColor="accent4"/>
        </w:tcBorders>
      </w:tcPr>
    </w:tblStylePr>
    <w:tblStylePr w:type="lastRow">
      <w:rPr>
        <w:b/>
        <w:bCs/>
      </w:rPr>
      <w:tblPr/>
      <w:tcPr>
        <w:tcBorders>
          <w:top w:val="double" w:sz="4" w:space="0" w:color="004C97" w:themeColor="accent4"/>
        </w:tcBorders>
      </w:tcPr>
    </w:tblStylePr>
    <w:tblStylePr w:type="firstCol">
      <w:rPr>
        <w:b/>
        <w:bCs/>
      </w:rPr>
    </w:tblStylePr>
    <w:tblStylePr w:type="lastCol">
      <w:rPr>
        <w:b/>
        <w:bCs/>
      </w:rPr>
    </w:tblStylePr>
    <w:tblStylePr w:type="band1Vert">
      <w:tblPr/>
      <w:tcPr>
        <w:shd w:val="clear" w:color="auto" w:fill="B7DBFF" w:themeFill="accent4" w:themeFillTint="33"/>
      </w:tcPr>
    </w:tblStylePr>
    <w:tblStylePr w:type="band1Horz">
      <w:tblPr/>
      <w:tcPr>
        <w:shd w:val="clear" w:color="auto" w:fill="B7DBFF" w:themeFill="accent4" w:themeFillTint="33"/>
      </w:tcPr>
    </w:tblStylePr>
  </w:style>
  <w:style w:type="table" w:styleId="ListTable6ColourfulAccent5">
    <w:name w:val="List Table 6 Colorful Accent 5"/>
    <w:basedOn w:val="TableNormal"/>
    <w:uiPriority w:val="51"/>
    <w:semiHidden/>
    <w:rsid w:val="00E45C9C"/>
    <w:pPr>
      <w:spacing w:after="0" w:line="240" w:lineRule="auto"/>
    </w:pPr>
    <w:rPr>
      <w:color w:val="428049" w:themeColor="accent5" w:themeShade="BF"/>
    </w:rPr>
    <w:tblPr>
      <w:tblStyleRowBandSize w:val="1"/>
      <w:tblStyleColBandSize w:val="1"/>
      <w:tblBorders>
        <w:top w:val="single" w:sz="4" w:space="0" w:color="5AAA64" w:themeColor="accent5"/>
        <w:bottom w:val="single" w:sz="4" w:space="0" w:color="5AAA64" w:themeColor="accent5"/>
      </w:tblBorders>
    </w:tblPr>
    <w:tblStylePr w:type="firstRow">
      <w:rPr>
        <w:b/>
        <w:bCs/>
      </w:rPr>
      <w:tblPr/>
      <w:tcPr>
        <w:tcBorders>
          <w:bottom w:val="single" w:sz="4" w:space="0" w:color="5AAA64" w:themeColor="accent5"/>
        </w:tcBorders>
      </w:tcPr>
    </w:tblStylePr>
    <w:tblStylePr w:type="lastRow">
      <w:rPr>
        <w:b/>
        <w:bCs/>
      </w:rPr>
      <w:tblPr/>
      <w:tcPr>
        <w:tcBorders>
          <w:top w:val="double" w:sz="4" w:space="0" w:color="5AAA64" w:themeColor="accent5"/>
        </w:tcBorders>
      </w:tcPr>
    </w:tblStylePr>
    <w:tblStylePr w:type="firstCol">
      <w:rPr>
        <w:b/>
        <w:bCs/>
      </w:rPr>
    </w:tblStylePr>
    <w:tblStylePr w:type="lastCol">
      <w:rPr>
        <w:b/>
        <w:bCs/>
      </w:rPr>
    </w:tblStylePr>
    <w:tblStylePr w:type="band1Vert">
      <w:tblPr/>
      <w:tcPr>
        <w:shd w:val="clear" w:color="auto" w:fill="DEEEDF" w:themeFill="accent5" w:themeFillTint="33"/>
      </w:tcPr>
    </w:tblStylePr>
    <w:tblStylePr w:type="band1Horz">
      <w:tblPr/>
      <w:tcPr>
        <w:shd w:val="clear" w:color="auto" w:fill="DEEEDF" w:themeFill="accent5" w:themeFillTint="33"/>
      </w:tcPr>
    </w:tblStylePr>
  </w:style>
  <w:style w:type="table" w:styleId="ListTable6ColourfulAccent6">
    <w:name w:val="List Table 6 Colorful Accent 6"/>
    <w:basedOn w:val="TableNormal"/>
    <w:uiPriority w:val="51"/>
    <w:semiHidden/>
    <w:rsid w:val="00E45C9C"/>
    <w:pPr>
      <w:spacing w:after="0" w:line="240" w:lineRule="auto"/>
    </w:pPr>
    <w:rPr>
      <w:color w:val="C04018" w:themeColor="accent6" w:themeShade="BF"/>
    </w:rPr>
    <w:tblPr>
      <w:tblStyleRowBandSize w:val="1"/>
      <w:tblStyleColBandSize w:val="1"/>
      <w:tblBorders>
        <w:top w:val="single" w:sz="4" w:space="0" w:color="E6643C" w:themeColor="accent6"/>
        <w:bottom w:val="single" w:sz="4" w:space="0" w:color="E6643C" w:themeColor="accent6"/>
      </w:tblBorders>
    </w:tblPr>
    <w:tblStylePr w:type="firstRow">
      <w:rPr>
        <w:b/>
        <w:bCs/>
      </w:rPr>
      <w:tblPr/>
      <w:tcPr>
        <w:tcBorders>
          <w:bottom w:val="single" w:sz="4" w:space="0" w:color="E6643C" w:themeColor="accent6"/>
        </w:tcBorders>
      </w:tcPr>
    </w:tblStylePr>
    <w:tblStylePr w:type="lastRow">
      <w:rPr>
        <w:b/>
        <w:bCs/>
      </w:rPr>
      <w:tblPr/>
      <w:tcPr>
        <w:tcBorders>
          <w:top w:val="double" w:sz="4" w:space="0" w:color="E6643C" w:themeColor="accent6"/>
        </w:tcBorders>
      </w:tcPr>
    </w:tblStylePr>
    <w:tblStylePr w:type="firstCol">
      <w:rPr>
        <w:b/>
        <w:bCs/>
      </w:rPr>
    </w:tblStylePr>
    <w:tblStylePr w:type="lastCol">
      <w:rPr>
        <w:b/>
        <w:bCs/>
      </w:rPr>
    </w:tblStylePr>
    <w:tblStylePr w:type="band1Vert">
      <w:tblPr/>
      <w:tcPr>
        <w:shd w:val="clear" w:color="auto" w:fill="FAE0D8" w:themeFill="accent6" w:themeFillTint="33"/>
      </w:tcPr>
    </w:tblStylePr>
    <w:tblStylePr w:type="band1Horz">
      <w:tblPr/>
      <w:tcPr>
        <w:shd w:val="clear" w:color="auto" w:fill="FAE0D8" w:themeFill="accent6" w:themeFillTint="33"/>
      </w:tcPr>
    </w:tblStylePr>
  </w:style>
  <w:style w:type="table" w:styleId="ListTable7Colourful">
    <w:name w:val="List Table 7 Colorful"/>
    <w:basedOn w:val="TableNormal"/>
    <w:uiPriority w:val="52"/>
    <w:semiHidden/>
    <w:rsid w:val="00E45C9C"/>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1">
    <w:name w:val="List Table 7 Colorful Accent 1"/>
    <w:basedOn w:val="TableNormal"/>
    <w:uiPriority w:val="52"/>
    <w:semiHidden/>
    <w:rsid w:val="00E45C9C"/>
    <w:pPr>
      <w:spacing w:after="0" w:line="240" w:lineRule="auto"/>
    </w:pPr>
    <w:rPr>
      <w:color w:val="141A1F"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B242A"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B242A"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B242A"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B242A" w:themeColor="accent1"/>
        </w:tcBorders>
        <w:shd w:val="clear" w:color="auto" w:fill="FFFFFF" w:themeFill="background1"/>
      </w:tcPr>
    </w:tblStylePr>
    <w:tblStylePr w:type="band1Vert">
      <w:tblPr/>
      <w:tcPr>
        <w:shd w:val="clear" w:color="auto" w:fill="C9D4DC" w:themeFill="accent1" w:themeFillTint="33"/>
      </w:tcPr>
    </w:tblStylePr>
    <w:tblStylePr w:type="band1Horz">
      <w:tblPr/>
      <w:tcPr>
        <w:shd w:val="clear" w:color="auto" w:fill="C9D4DC"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2">
    <w:name w:val="List Table 7 Colorful Accent 2"/>
    <w:basedOn w:val="TableNormal"/>
    <w:uiPriority w:val="52"/>
    <w:semiHidden/>
    <w:rsid w:val="00E45C9C"/>
    <w:pPr>
      <w:spacing w:after="0" w:line="240" w:lineRule="auto"/>
    </w:pPr>
    <w:rPr>
      <w:color w:val="00576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586"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586"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586"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586" w:themeColor="accent2"/>
        </w:tcBorders>
        <w:shd w:val="clear" w:color="auto" w:fill="FFFFFF" w:themeFill="background1"/>
      </w:tcPr>
    </w:tblStylePr>
    <w:tblStylePr w:type="band1Vert">
      <w:tblPr/>
      <w:tcPr>
        <w:shd w:val="clear" w:color="auto" w:fill="B3F5FF" w:themeFill="accent2" w:themeFillTint="33"/>
      </w:tcPr>
    </w:tblStylePr>
    <w:tblStylePr w:type="band1Horz">
      <w:tblPr/>
      <w:tcPr>
        <w:shd w:val="clear" w:color="auto" w:fill="B3F5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3">
    <w:name w:val="List Table 7 Colorful Accent 3"/>
    <w:basedOn w:val="TableNormal"/>
    <w:uiPriority w:val="52"/>
    <w:semiHidden/>
    <w:rsid w:val="00E45C9C"/>
    <w:pPr>
      <w:spacing w:after="0" w:line="240" w:lineRule="auto"/>
    </w:pPr>
    <w:rPr>
      <w:color w:val="1A97D9"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AB9EB"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AB9EB"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AB9EB"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AB9EB" w:themeColor="accent3"/>
        </w:tcBorders>
        <w:shd w:val="clear" w:color="auto" w:fill="FFFFFF" w:themeFill="background1"/>
      </w:tcPr>
    </w:tblStylePr>
    <w:tblStylePr w:type="band1Vert">
      <w:tblPr/>
      <w:tcPr>
        <w:shd w:val="clear" w:color="auto" w:fill="DEF0FB" w:themeFill="accent3" w:themeFillTint="33"/>
      </w:tcPr>
    </w:tblStylePr>
    <w:tblStylePr w:type="band1Horz">
      <w:tblPr/>
      <w:tcPr>
        <w:shd w:val="clear" w:color="auto" w:fill="DEF0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4">
    <w:name w:val="List Table 7 Colorful Accent 4"/>
    <w:basedOn w:val="TableNormal"/>
    <w:uiPriority w:val="52"/>
    <w:semiHidden/>
    <w:rsid w:val="00E45C9C"/>
    <w:pPr>
      <w:spacing w:after="0" w:line="240" w:lineRule="auto"/>
    </w:pPr>
    <w:rPr>
      <w:color w:val="003871"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4"/>
        </w:tcBorders>
        <w:shd w:val="clear" w:color="auto" w:fill="FFFFFF" w:themeFill="background1"/>
      </w:tcPr>
    </w:tblStylePr>
    <w:tblStylePr w:type="band1Vert">
      <w:tblPr/>
      <w:tcPr>
        <w:shd w:val="clear" w:color="auto" w:fill="B7DBFF" w:themeFill="accent4" w:themeFillTint="33"/>
      </w:tcPr>
    </w:tblStylePr>
    <w:tblStylePr w:type="band1Horz">
      <w:tblPr/>
      <w:tcPr>
        <w:shd w:val="clear" w:color="auto" w:fill="B7DBFF"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5">
    <w:name w:val="List Table 7 Colorful Accent 5"/>
    <w:basedOn w:val="TableNormal"/>
    <w:uiPriority w:val="52"/>
    <w:semiHidden/>
    <w:rsid w:val="00E45C9C"/>
    <w:pPr>
      <w:spacing w:after="0" w:line="240" w:lineRule="auto"/>
    </w:pPr>
    <w:rPr>
      <w:color w:val="428049"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AAA6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AAA6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AAA6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AAA64" w:themeColor="accent5"/>
        </w:tcBorders>
        <w:shd w:val="clear" w:color="auto" w:fill="FFFFFF" w:themeFill="background1"/>
      </w:tcPr>
    </w:tblStylePr>
    <w:tblStylePr w:type="band1Vert">
      <w:tblPr/>
      <w:tcPr>
        <w:shd w:val="clear" w:color="auto" w:fill="DEEEDF" w:themeFill="accent5" w:themeFillTint="33"/>
      </w:tcPr>
    </w:tblStylePr>
    <w:tblStylePr w:type="band1Horz">
      <w:tblPr/>
      <w:tcPr>
        <w:shd w:val="clear" w:color="auto" w:fill="DEEE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6">
    <w:name w:val="List Table 7 Colorful Accent 6"/>
    <w:basedOn w:val="TableNormal"/>
    <w:uiPriority w:val="52"/>
    <w:semiHidden/>
    <w:rsid w:val="00E45C9C"/>
    <w:pPr>
      <w:spacing w:after="0" w:line="240" w:lineRule="auto"/>
    </w:pPr>
    <w:rPr>
      <w:color w:val="C04018"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6643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6643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6643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6643C" w:themeColor="accent6"/>
        </w:tcBorders>
        <w:shd w:val="clear" w:color="auto" w:fill="FFFFFF" w:themeFill="background1"/>
      </w:tcPr>
    </w:tblStylePr>
    <w:tblStylePr w:type="band1Vert">
      <w:tblPr/>
      <w:tcPr>
        <w:shd w:val="clear" w:color="auto" w:fill="FAE0D8" w:themeFill="accent6" w:themeFillTint="33"/>
      </w:tcPr>
    </w:tblStylePr>
    <w:tblStylePr w:type="band1Horz">
      <w:tblPr/>
      <w:tcPr>
        <w:shd w:val="clear" w:color="auto" w:fill="FAE0D8"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E45C9C"/>
    <w:pPr>
      <w:spacing w:before="0"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E45C9C"/>
    <w:pPr>
      <w:spacing w:before="0" w:after="0" w:line="240" w:lineRule="auto"/>
    </w:pPr>
    <w:tblPr>
      <w:tblStyleRowBandSize w:val="1"/>
      <w:tblStyleColBandSize w:val="1"/>
      <w:tblBorders>
        <w:top w:val="single" w:sz="8" w:space="0" w:color="465D6D" w:themeColor="accent1" w:themeTint="BF"/>
        <w:left w:val="single" w:sz="8" w:space="0" w:color="465D6D" w:themeColor="accent1" w:themeTint="BF"/>
        <w:bottom w:val="single" w:sz="8" w:space="0" w:color="465D6D" w:themeColor="accent1" w:themeTint="BF"/>
        <w:right w:val="single" w:sz="8" w:space="0" w:color="465D6D" w:themeColor="accent1" w:themeTint="BF"/>
        <w:insideH w:val="single" w:sz="8" w:space="0" w:color="465D6D" w:themeColor="accent1" w:themeTint="BF"/>
        <w:insideV w:val="single" w:sz="8" w:space="0" w:color="465D6D" w:themeColor="accent1" w:themeTint="BF"/>
      </w:tblBorders>
    </w:tblPr>
    <w:tcPr>
      <w:shd w:val="clear" w:color="auto" w:fill="BCCAD4" w:themeFill="accent1" w:themeFillTint="3F"/>
    </w:tcPr>
    <w:tblStylePr w:type="firstRow">
      <w:rPr>
        <w:b/>
        <w:bCs/>
      </w:rPr>
    </w:tblStylePr>
    <w:tblStylePr w:type="lastRow">
      <w:rPr>
        <w:b/>
        <w:bCs/>
      </w:rPr>
      <w:tblPr/>
      <w:tcPr>
        <w:tcBorders>
          <w:top w:val="single" w:sz="18" w:space="0" w:color="465D6D" w:themeColor="accent1" w:themeTint="BF"/>
        </w:tcBorders>
      </w:tcPr>
    </w:tblStylePr>
    <w:tblStylePr w:type="firstCol">
      <w:rPr>
        <w:b/>
        <w:bCs/>
      </w:rPr>
    </w:tblStylePr>
    <w:tblStylePr w:type="lastCol">
      <w:rPr>
        <w:b/>
        <w:bCs/>
      </w:rPr>
    </w:tblStylePr>
    <w:tblStylePr w:type="band1Vert">
      <w:tblPr/>
      <w:tcPr>
        <w:shd w:val="clear" w:color="auto" w:fill="7995A9" w:themeFill="accent1" w:themeFillTint="7F"/>
      </w:tcPr>
    </w:tblStylePr>
    <w:tblStylePr w:type="band1Horz">
      <w:tblPr/>
      <w:tcPr>
        <w:shd w:val="clear" w:color="auto" w:fill="7995A9" w:themeFill="accent1" w:themeFillTint="7F"/>
      </w:tcPr>
    </w:tblStylePr>
  </w:style>
  <w:style w:type="table" w:styleId="MediumGrid1-Accent2">
    <w:name w:val="Medium Grid 1 Accent 2"/>
    <w:basedOn w:val="TableNormal"/>
    <w:uiPriority w:val="67"/>
    <w:semiHidden/>
    <w:rsid w:val="00E45C9C"/>
    <w:pPr>
      <w:spacing w:before="0" w:after="0" w:line="240" w:lineRule="auto"/>
    </w:pPr>
    <w:tblPr>
      <w:tblStyleRowBandSize w:val="1"/>
      <w:tblStyleColBandSize w:val="1"/>
      <w:tblBorders>
        <w:top w:val="single" w:sz="8" w:space="0" w:color="00C6E4" w:themeColor="accent2" w:themeTint="BF"/>
        <w:left w:val="single" w:sz="8" w:space="0" w:color="00C6E4" w:themeColor="accent2" w:themeTint="BF"/>
        <w:bottom w:val="single" w:sz="8" w:space="0" w:color="00C6E4" w:themeColor="accent2" w:themeTint="BF"/>
        <w:right w:val="single" w:sz="8" w:space="0" w:color="00C6E4" w:themeColor="accent2" w:themeTint="BF"/>
        <w:insideH w:val="single" w:sz="8" w:space="0" w:color="00C6E4" w:themeColor="accent2" w:themeTint="BF"/>
        <w:insideV w:val="single" w:sz="8" w:space="0" w:color="00C6E4" w:themeColor="accent2" w:themeTint="BF"/>
      </w:tblBorders>
    </w:tblPr>
    <w:tcPr>
      <w:shd w:val="clear" w:color="auto" w:fill="A2F2FF" w:themeFill="accent2" w:themeFillTint="3F"/>
    </w:tcPr>
    <w:tblStylePr w:type="firstRow">
      <w:rPr>
        <w:b/>
        <w:bCs/>
      </w:rPr>
    </w:tblStylePr>
    <w:tblStylePr w:type="lastRow">
      <w:rPr>
        <w:b/>
        <w:bCs/>
      </w:rPr>
      <w:tblPr/>
      <w:tcPr>
        <w:tcBorders>
          <w:top w:val="single" w:sz="18" w:space="0" w:color="00C6E4" w:themeColor="accent2" w:themeTint="BF"/>
        </w:tcBorders>
      </w:tcPr>
    </w:tblStylePr>
    <w:tblStylePr w:type="firstCol">
      <w:rPr>
        <w:b/>
        <w:bCs/>
      </w:rPr>
    </w:tblStylePr>
    <w:tblStylePr w:type="lastCol">
      <w:rPr>
        <w:b/>
        <w:bCs/>
      </w:rPr>
    </w:tblStylePr>
    <w:tblStylePr w:type="band1Vert">
      <w:tblPr/>
      <w:tcPr>
        <w:shd w:val="clear" w:color="auto" w:fill="43E6FF" w:themeFill="accent2" w:themeFillTint="7F"/>
      </w:tcPr>
    </w:tblStylePr>
    <w:tblStylePr w:type="band1Horz">
      <w:tblPr/>
      <w:tcPr>
        <w:shd w:val="clear" w:color="auto" w:fill="43E6FF" w:themeFill="accent2" w:themeFillTint="7F"/>
      </w:tcPr>
    </w:tblStylePr>
  </w:style>
  <w:style w:type="table" w:styleId="MediumGrid1-Accent3">
    <w:name w:val="Medium Grid 1 Accent 3"/>
    <w:basedOn w:val="TableNormal"/>
    <w:uiPriority w:val="67"/>
    <w:semiHidden/>
    <w:rsid w:val="00E45C9C"/>
    <w:pPr>
      <w:spacing w:before="0" w:after="0" w:line="240" w:lineRule="auto"/>
    </w:pPr>
    <w:tblPr>
      <w:tblStyleRowBandSize w:val="1"/>
      <w:tblStyleColBandSize w:val="1"/>
      <w:tblBorders>
        <w:top w:val="single" w:sz="8" w:space="0" w:color="83CAF0" w:themeColor="accent3" w:themeTint="BF"/>
        <w:left w:val="single" w:sz="8" w:space="0" w:color="83CAF0" w:themeColor="accent3" w:themeTint="BF"/>
        <w:bottom w:val="single" w:sz="8" w:space="0" w:color="83CAF0" w:themeColor="accent3" w:themeTint="BF"/>
        <w:right w:val="single" w:sz="8" w:space="0" w:color="83CAF0" w:themeColor="accent3" w:themeTint="BF"/>
        <w:insideH w:val="single" w:sz="8" w:space="0" w:color="83CAF0" w:themeColor="accent3" w:themeTint="BF"/>
        <w:insideV w:val="single" w:sz="8" w:space="0" w:color="83CAF0" w:themeColor="accent3" w:themeTint="BF"/>
      </w:tblBorders>
    </w:tblPr>
    <w:tcPr>
      <w:shd w:val="clear" w:color="auto" w:fill="D5EDFA" w:themeFill="accent3" w:themeFillTint="3F"/>
    </w:tcPr>
    <w:tblStylePr w:type="firstRow">
      <w:rPr>
        <w:b/>
        <w:bCs/>
      </w:rPr>
    </w:tblStylePr>
    <w:tblStylePr w:type="lastRow">
      <w:rPr>
        <w:b/>
        <w:bCs/>
      </w:rPr>
      <w:tblPr/>
      <w:tcPr>
        <w:tcBorders>
          <w:top w:val="single" w:sz="18" w:space="0" w:color="83CAF0" w:themeColor="accent3" w:themeTint="BF"/>
        </w:tcBorders>
      </w:tcPr>
    </w:tblStylePr>
    <w:tblStylePr w:type="firstCol">
      <w:rPr>
        <w:b/>
        <w:bCs/>
      </w:rPr>
    </w:tblStylePr>
    <w:tblStylePr w:type="lastCol">
      <w:rPr>
        <w:b/>
        <w:bCs/>
      </w:rPr>
    </w:tblStylePr>
    <w:tblStylePr w:type="band1Vert">
      <w:tblPr/>
      <w:tcPr>
        <w:shd w:val="clear" w:color="auto" w:fill="ACDCF5" w:themeFill="accent3" w:themeFillTint="7F"/>
      </w:tcPr>
    </w:tblStylePr>
    <w:tblStylePr w:type="band1Horz">
      <w:tblPr/>
      <w:tcPr>
        <w:shd w:val="clear" w:color="auto" w:fill="ACDCF5" w:themeFill="accent3" w:themeFillTint="7F"/>
      </w:tcPr>
    </w:tblStylePr>
  </w:style>
  <w:style w:type="table" w:styleId="MediumGrid1-Accent4">
    <w:name w:val="Medium Grid 1 Accent 4"/>
    <w:basedOn w:val="TableNormal"/>
    <w:uiPriority w:val="67"/>
    <w:semiHidden/>
    <w:rsid w:val="00E45C9C"/>
    <w:pPr>
      <w:spacing w:before="0" w:after="0" w:line="240" w:lineRule="auto"/>
    </w:pPr>
    <w:tblPr>
      <w:tblStyleRowBandSize w:val="1"/>
      <w:tblStyleColBandSize w:val="1"/>
      <w:tblBorders>
        <w:top w:val="single" w:sz="8" w:space="0" w:color="0078F1" w:themeColor="accent4" w:themeTint="BF"/>
        <w:left w:val="single" w:sz="8" w:space="0" w:color="0078F1" w:themeColor="accent4" w:themeTint="BF"/>
        <w:bottom w:val="single" w:sz="8" w:space="0" w:color="0078F1" w:themeColor="accent4" w:themeTint="BF"/>
        <w:right w:val="single" w:sz="8" w:space="0" w:color="0078F1" w:themeColor="accent4" w:themeTint="BF"/>
        <w:insideH w:val="single" w:sz="8" w:space="0" w:color="0078F1" w:themeColor="accent4" w:themeTint="BF"/>
        <w:insideV w:val="single" w:sz="8" w:space="0" w:color="0078F1" w:themeColor="accent4" w:themeTint="BF"/>
      </w:tblBorders>
    </w:tblPr>
    <w:tcPr>
      <w:shd w:val="clear" w:color="auto" w:fill="A6D2FF" w:themeFill="accent4" w:themeFillTint="3F"/>
    </w:tcPr>
    <w:tblStylePr w:type="firstRow">
      <w:rPr>
        <w:b/>
        <w:bCs/>
      </w:rPr>
    </w:tblStylePr>
    <w:tblStylePr w:type="lastRow">
      <w:rPr>
        <w:b/>
        <w:bCs/>
      </w:rPr>
      <w:tblPr/>
      <w:tcPr>
        <w:tcBorders>
          <w:top w:val="single" w:sz="18" w:space="0" w:color="0078F1" w:themeColor="accent4" w:themeTint="BF"/>
        </w:tcBorders>
      </w:tcPr>
    </w:tblStylePr>
    <w:tblStylePr w:type="firstCol">
      <w:rPr>
        <w:b/>
        <w:bCs/>
      </w:rPr>
    </w:tblStylePr>
    <w:tblStylePr w:type="lastCol">
      <w:rPr>
        <w:b/>
        <w:bCs/>
      </w:rPr>
    </w:tblStylePr>
    <w:tblStylePr w:type="band1Vert">
      <w:tblPr/>
      <w:tcPr>
        <w:shd w:val="clear" w:color="auto" w:fill="4CA5FF" w:themeFill="accent4" w:themeFillTint="7F"/>
      </w:tcPr>
    </w:tblStylePr>
    <w:tblStylePr w:type="band1Horz">
      <w:tblPr/>
      <w:tcPr>
        <w:shd w:val="clear" w:color="auto" w:fill="4CA5FF" w:themeFill="accent4" w:themeFillTint="7F"/>
      </w:tcPr>
    </w:tblStylePr>
  </w:style>
  <w:style w:type="table" w:styleId="MediumGrid1-Accent5">
    <w:name w:val="Medium Grid 1 Accent 5"/>
    <w:basedOn w:val="TableNormal"/>
    <w:uiPriority w:val="67"/>
    <w:semiHidden/>
    <w:rsid w:val="00E45C9C"/>
    <w:pPr>
      <w:spacing w:before="0" w:after="0" w:line="240" w:lineRule="auto"/>
    </w:pPr>
    <w:tblPr>
      <w:tblStyleRowBandSize w:val="1"/>
      <w:tblStyleColBandSize w:val="1"/>
      <w:tblBorders>
        <w:top w:val="single" w:sz="8" w:space="0" w:color="83BF8A" w:themeColor="accent5" w:themeTint="BF"/>
        <w:left w:val="single" w:sz="8" w:space="0" w:color="83BF8A" w:themeColor="accent5" w:themeTint="BF"/>
        <w:bottom w:val="single" w:sz="8" w:space="0" w:color="83BF8A" w:themeColor="accent5" w:themeTint="BF"/>
        <w:right w:val="single" w:sz="8" w:space="0" w:color="83BF8A" w:themeColor="accent5" w:themeTint="BF"/>
        <w:insideH w:val="single" w:sz="8" w:space="0" w:color="83BF8A" w:themeColor="accent5" w:themeTint="BF"/>
        <w:insideV w:val="single" w:sz="8" w:space="0" w:color="83BF8A" w:themeColor="accent5" w:themeTint="BF"/>
      </w:tblBorders>
    </w:tblPr>
    <w:tcPr>
      <w:shd w:val="clear" w:color="auto" w:fill="D6EAD8" w:themeFill="accent5" w:themeFillTint="3F"/>
    </w:tcPr>
    <w:tblStylePr w:type="firstRow">
      <w:rPr>
        <w:b/>
        <w:bCs/>
      </w:rPr>
    </w:tblStylePr>
    <w:tblStylePr w:type="lastRow">
      <w:rPr>
        <w:b/>
        <w:bCs/>
      </w:rPr>
      <w:tblPr/>
      <w:tcPr>
        <w:tcBorders>
          <w:top w:val="single" w:sz="18" w:space="0" w:color="83BF8A" w:themeColor="accent5" w:themeTint="BF"/>
        </w:tcBorders>
      </w:tcPr>
    </w:tblStylePr>
    <w:tblStylePr w:type="firstCol">
      <w:rPr>
        <w:b/>
        <w:bCs/>
      </w:rPr>
    </w:tblStylePr>
    <w:tblStylePr w:type="lastCol">
      <w:rPr>
        <w:b/>
        <w:bCs/>
      </w:rPr>
    </w:tblStylePr>
    <w:tblStylePr w:type="band1Vert">
      <w:tblPr/>
      <w:tcPr>
        <w:shd w:val="clear" w:color="auto" w:fill="ACD4B1" w:themeFill="accent5" w:themeFillTint="7F"/>
      </w:tcPr>
    </w:tblStylePr>
    <w:tblStylePr w:type="band1Horz">
      <w:tblPr/>
      <w:tcPr>
        <w:shd w:val="clear" w:color="auto" w:fill="ACD4B1" w:themeFill="accent5" w:themeFillTint="7F"/>
      </w:tcPr>
    </w:tblStylePr>
  </w:style>
  <w:style w:type="table" w:styleId="MediumGrid1-Accent6">
    <w:name w:val="Medium Grid 1 Accent 6"/>
    <w:basedOn w:val="TableNormal"/>
    <w:uiPriority w:val="67"/>
    <w:semiHidden/>
    <w:rsid w:val="00E45C9C"/>
    <w:pPr>
      <w:spacing w:before="0" w:after="0" w:line="240" w:lineRule="auto"/>
    </w:pPr>
    <w:tblPr>
      <w:tblStyleRowBandSize w:val="1"/>
      <w:tblStyleColBandSize w:val="1"/>
      <w:tblBorders>
        <w:top w:val="single" w:sz="8" w:space="0" w:color="EC8A6C" w:themeColor="accent6" w:themeTint="BF"/>
        <w:left w:val="single" w:sz="8" w:space="0" w:color="EC8A6C" w:themeColor="accent6" w:themeTint="BF"/>
        <w:bottom w:val="single" w:sz="8" w:space="0" w:color="EC8A6C" w:themeColor="accent6" w:themeTint="BF"/>
        <w:right w:val="single" w:sz="8" w:space="0" w:color="EC8A6C" w:themeColor="accent6" w:themeTint="BF"/>
        <w:insideH w:val="single" w:sz="8" w:space="0" w:color="EC8A6C" w:themeColor="accent6" w:themeTint="BF"/>
        <w:insideV w:val="single" w:sz="8" w:space="0" w:color="EC8A6C" w:themeColor="accent6" w:themeTint="BF"/>
      </w:tblBorders>
    </w:tblPr>
    <w:tcPr>
      <w:shd w:val="clear" w:color="auto" w:fill="F8D8CE" w:themeFill="accent6" w:themeFillTint="3F"/>
    </w:tcPr>
    <w:tblStylePr w:type="firstRow">
      <w:rPr>
        <w:b/>
        <w:bCs/>
      </w:rPr>
    </w:tblStylePr>
    <w:tblStylePr w:type="lastRow">
      <w:rPr>
        <w:b/>
        <w:bCs/>
      </w:rPr>
      <w:tblPr/>
      <w:tcPr>
        <w:tcBorders>
          <w:top w:val="single" w:sz="18" w:space="0" w:color="EC8A6C" w:themeColor="accent6" w:themeTint="BF"/>
        </w:tcBorders>
      </w:tcPr>
    </w:tblStylePr>
    <w:tblStylePr w:type="firstCol">
      <w:rPr>
        <w:b/>
        <w:bCs/>
      </w:rPr>
    </w:tblStylePr>
    <w:tblStylePr w:type="lastCol">
      <w:rPr>
        <w:b/>
        <w:bCs/>
      </w:rPr>
    </w:tblStylePr>
    <w:tblStylePr w:type="band1Vert">
      <w:tblPr/>
      <w:tcPr>
        <w:shd w:val="clear" w:color="auto" w:fill="F2B19D" w:themeFill="accent6" w:themeFillTint="7F"/>
      </w:tcPr>
    </w:tblStylePr>
    <w:tblStylePr w:type="band1Horz">
      <w:tblPr/>
      <w:tcPr>
        <w:shd w:val="clear" w:color="auto" w:fill="F2B19D" w:themeFill="accent6" w:themeFillTint="7F"/>
      </w:tcPr>
    </w:tblStylePr>
  </w:style>
  <w:style w:type="table" w:styleId="MediumGrid2">
    <w:name w:val="Medium Grid 2"/>
    <w:basedOn w:val="TableNormal"/>
    <w:uiPriority w:val="68"/>
    <w:semiHidden/>
    <w:rsid w:val="00E45C9C"/>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E45C9C"/>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B242A" w:themeColor="accent1"/>
        <w:left w:val="single" w:sz="8" w:space="0" w:color="1B242A" w:themeColor="accent1"/>
        <w:bottom w:val="single" w:sz="8" w:space="0" w:color="1B242A" w:themeColor="accent1"/>
        <w:right w:val="single" w:sz="8" w:space="0" w:color="1B242A" w:themeColor="accent1"/>
        <w:insideH w:val="single" w:sz="8" w:space="0" w:color="1B242A" w:themeColor="accent1"/>
        <w:insideV w:val="single" w:sz="8" w:space="0" w:color="1B242A" w:themeColor="accent1"/>
      </w:tblBorders>
    </w:tblPr>
    <w:tcPr>
      <w:shd w:val="clear" w:color="auto" w:fill="BCCAD4" w:themeFill="accent1" w:themeFillTint="3F"/>
    </w:tcPr>
    <w:tblStylePr w:type="firstRow">
      <w:rPr>
        <w:b/>
        <w:bCs/>
        <w:color w:val="000000" w:themeColor="text1"/>
      </w:rPr>
      <w:tblPr/>
      <w:tcPr>
        <w:shd w:val="clear" w:color="auto" w:fill="E4EAEE"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9D4DC" w:themeFill="accent1" w:themeFillTint="33"/>
      </w:tcPr>
    </w:tblStylePr>
    <w:tblStylePr w:type="band1Vert">
      <w:tblPr/>
      <w:tcPr>
        <w:shd w:val="clear" w:color="auto" w:fill="7995A9" w:themeFill="accent1" w:themeFillTint="7F"/>
      </w:tcPr>
    </w:tblStylePr>
    <w:tblStylePr w:type="band1Horz">
      <w:tblPr/>
      <w:tcPr>
        <w:tcBorders>
          <w:insideH w:val="single" w:sz="6" w:space="0" w:color="1B242A" w:themeColor="accent1"/>
          <w:insideV w:val="single" w:sz="6" w:space="0" w:color="1B242A" w:themeColor="accent1"/>
        </w:tcBorders>
        <w:shd w:val="clear" w:color="auto" w:fill="7995A9"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E45C9C"/>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7586" w:themeColor="accent2"/>
        <w:left w:val="single" w:sz="8" w:space="0" w:color="007586" w:themeColor="accent2"/>
        <w:bottom w:val="single" w:sz="8" w:space="0" w:color="007586" w:themeColor="accent2"/>
        <w:right w:val="single" w:sz="8" w:space="0" w:color="007586" w:themeColor="accent2"/>
        <w:insideH w:val="single" w:sz="8" w:space="0" w:color="007586" w:themeColor="accent2"/>
        <w:insideV w:val="single" w:sz="8" w:space="0" w:color="007586" w:themeColor="accent2"/>
      </w:tblBorders>
    </w:tblPr>
    <w:tcPr>
      <w:shd w:val="clear" w:color="auto" w:fill="A2F2FF" w:themeFill="accent2" w:themeFillTint="3F"/>
    </w:tcPr>
    <w:tblStylePr w:type="firstRow">
      <w:rPr>
        <w:b/>
        <w:bCs/>
        <w:color w:val="000000" w:themeColor="text1"/>
      </w:rPr>
      <w:tblPr/>
      <w:tcPr>
        <w:shd w:val="clear" w:color="auto" w:fill="DAFA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3F5FF" w:themeFill="accent2" w:themeFillTint="33"/>
      </w:tcPr>
    </w:tblStylePr>
    <w:tblStylePr w:type="band1Vert">
      <w:tblPr/>
      <w:tcPr>
        <w:shd w:val="clear" w:color="auto" w:fill="43E6FF" w:themeFill="accent2" w:themeFillTint="7F"/>
      </w:tcPr>
    </w:tblStylePr>
    <w:tblStylePr w:type="band1Horz">
      <w:tblPr/>
      <w:tcPr>
        <w:tcBorders>
          <w:insideH w:val="single" w:sz="6" w:space="0" w:color="007586" w:themeColor="accent2"/>
          <w:insideV w:val="single" w:sz="6" w:space="0" w:color="007586" w:themeColor="accent2"/>
        </w:tcBorders>
        <w:shd w:val="clear" w:color="auto" w:fill="43E6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E45C9C"/>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AB9EB" w:themeColor="accent3"/>
        <w:left w:val="single" w:sz="8" w:space="0" w:color="5AB9EB" w:themeColor="accent3"/>
        <w:bottom w:val="single" w:sz="8" w:space="0" w:color="5AB9EB" w:themeColor="accent3"/>
        <w:right w:val="single" w:sz="8" w:space="0" w:color="5AB9EB" w:themeColor="accent3"/>
        <w:insideH w:val="single" w:sz="8" w:space="0" w:color="5AB9EB" w:themeColor="accent3"/>
        <w:insideV w:val="single" w:sz="8" w:space="0" w:color="5AB9EB" w:themeColor="accent3"/>
      </w:tblBorders>
    </w:tblPr>
    <w:tcPr>
      <w:shd w:val="clear" w:color="auto" w:fill="D5EDFA" w:themeFill="accent3" w:themeFillTint="3F"/>
    </w:tcPr>
    <w:tblStylePr w:type="firstRow">
      <w:rPr>
        <w:b/>
        <w:bCs/>
        <w:color w:val="000000" w:themeColor="text1"/>
      </w:rPr>
      <w:tblPr/>
      <w:tcPr>
        <w:shd w:val="clear" w:color="auto" w:fill="EEF8FD"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F0FB" w:themeFill="accent3" w:themeFillTint="33"/>
      </w:tcPr>
    </w:tblStylePr>
    <w:tblStylePr w:type="band1Vert">
      <w:tblPr/>
      <w:tcPr>
        <w:shd w:val="clear" w:color="auto" w:fill="ACDCF5" w:themeFill="accent3" w:themeFillTint="7F"/>
      </w:tcPr>
    </w:tblStylePr>
    <w:tblStylePr w:type="band1Horz">
      <w:tblPr/>
      <w:tcPr>
        <w:tcBorders>
          <w:insideH w:val="single" w:sz="6" w:space="0" w:color="5AB9EB" w:themeColor="accent3"/>
          <w:insideV w:val="single" w:sz="6" w:space="0" w:color="5AB9EB" w:themeColor="accent3"/>
        </w:tcBorders>
        <w:shd w:val="clear" w:color="auto" w:fill="ACDCF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E45C9C"/>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4C97" w:themeColor="accent4"/>
        <w:left w:val="single" w:sz="8" w:space="0" w:color="004C97" w:themeColor="accent4"/>
        <w:bottom w:val="single" w:sz="8" w:space="0" w:color="004C97" w:themeColor="accent4"/>
        <w:right w:val="single" w:sz="8" w:space="0" w:color="004C97" w:themeColor="accent4"/>
        <w:insideH w:val="single" w:sz="8" w:space="0" w:color="004C97" w:themeColor="accent4"/>
        <w:insideV w:val="single" w:sz="8" w:space="0" w:color="004C97" w:themeColor="accent4"/>
      </w:tblBorders>
    </w:tblPr>
    <w:tcPr>
      <w:shd w:val="clear" w:color="auto" w:fill="A6D2FF" w:themeFill="accent4" w:themeFillTint="3F"/>
    </w:tcPr>
    <w:tblStylePr w:type="firstRow">
      <w:rPr>
        <w:b/>
        <w:bCs/>
        <w:color w:val="000000" w:themeColor="text1"/>
      </w:rPr>
      <w:tblPr/>
      <w:tcPr>
        <w:shd w:val="clear" w:color="auto" w:fill="DBEDFF"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7DBFF" w:themeFill="accent4" w:themeFillTint="33"/>
      </w:tcPr>
    </w:tblStylePr>
    <w:tblStylePr w:type="band1Vert">
      <w:tblPr/>
      <w:tcPr>
        <w:shd w:val="clear" w:color="auto" w:fill="4CA5FF" w:themeFill="accent4" w:themeFillTint="7F"/>
      </w:tcPr>
    </w:tblStylePr>
    <w:tblStylePr w:type="band1Horz">
      <w:tblPr/>
      <w:tcPr>
        <w:tcBorders>
          <w:insideH w:val="single" w:sz="6" w:space="0" w:color="004C97" w:themeColor="accent4"/>
          <w:insideV w:val="single" w:sz="6" w:space="0" w:color="004C97" w:themeColor="accent4"/>
        </w:tcBorders>
        <w:shd w:val="clear" w:color="auto" w:fill="4CA5F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E45C9C"/>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AAA64" w:themeColor="accent5"/>
        <w:left w:val="single" w:sz="8" w:space="0" w:color="5AAA64" w:themeColor="accent5"/>
        <w:bottom w:val="single" w:sz="8" w:space="0" w:color="5AAA64" w:themeColor="accent5"/>
        <w:right w:val="single" w:sz="8" w:space="0" w:color="5AAA64" w:themeColor="accent5"/>
        <w:insideH w:val="single" w:sz="8" w:space="0" w:color="5AAA64" w:themeColor="accent5"/>
        <w:insideV w:val="single" w:sz="8" w:space="0" w:color="5AAA64" w:themeColor="accent5"/>
      </w:tblBorders>
    </w:tblPr>
    <w:tcPr>
      <w:shd w:val="clear" w:color="auto" w:fill="D6EAD8" w:themeFill="accent5" w:themeFillTint="3F"/>
    </w:tcPr>
    <w:tblStylePr w:type="firstRow">
      <w:rPr>
        <w:b/>
        <w:bCs/>
        <w:color w:val="000000" w:themeColor="text1"/>
      </w:rPr>
      <w:tblPr/>
      <w:tcPr>
        <w:shd w:val="clear" w:color="auto" w:fill="EEF6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EDF" w:themeFill="accent5" w:themeFillTint="33"/>
      </w:tcPr>
    </w:tblStylePr>
    <w:tblStylePr w:type="band1Vert">
      <w:tblPr/>
      <w:tcPr>
        <w:shd w:val="clear" w:color="auto" w:fill="ACD4B1" w:themeFill="accent5" w:themeFillTint="7F"/>
      </w:tcPr>
    </w:tblStylePr>
    <w:tblStylePr w:type="band1Horz">
      <w:tblPr/>
      <w:tcPr>
        <w:tcBorders>
          <w:insideH w:val="single" w:sz="6" w:space="0" w:color="5AAA64" w:themeColor="accent5"/>
          <w:insideV w:val="single" w:sz="6" w:space="0" w:color="5AAA64" w:themeColor="accent5"/>
        </w:tcBorders>
        <w:shd w:val="clear" w:color="auto" w:fill="ACD4B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E45C9C"/>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6643C" w:themeColor="accent6"/>
        <w:left w:val="single" w:sz="8" w:space="0" w:color="E6643C" w:themeColor="accent6"/>
        <w:bottom w:val="single" w:sz="8" w:space="0" w:color="E6643C" w:themeColor="accent6"/>
        <w:right w:val="single" w:sz="8" w:space="0" w:color="E6643C" w:themeColor="accent6"/>
        <w:insideH w:val="single" w:sz="8" w:space="0" w:color="E6643C" w:themeColor="accent6"/>
        <w:insideV w:val="single" w:sz="8" w:space="0" w:color="E6643C" w:themeColor="accent6"/>
      </w:tblBorders>
    </w:tblPr>
    <w:tcPr>
      <w:shd w:val="clear" w:color="auto" w:fill="F8D8CE" w:themeFill="accent6" w:themeFillTint="3F"/>
    </w:tcPr>
    <w:tblStylePr w:type="firstRow">
      <w:rPr>
        <w:b/>
        <w:bCs/>
        <w:color w:val="000000" w:themeColor="text1"/>
      </w:rPr>
      <w:tblPr/>
      <w:tcPr>
        <w:shd w:val="clear" w:color="auto" w:fill="FCEFEB"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0D8" w:themeFill="accent6" w:themeFillTint="33"/>
      </w:tcPr>
    </w:tblStylePr>
    <w:tblStylePr w:type="band1Vert">
      <w:tblPr/>
      <w:tcPr>
        <w:shd w:val="clear" w:color="auto" w:fill="F2B19D" w:themeFill="accent6" w:themeFillTint="7F"/>
      </w:tcPr>
    </w:tblStylePr>
    <w:tblStylePr w:type="band1Horz">
      <w:tblPr/>
      <w:tcPr>
        <w:tcBorders>
          <w:insideH w:val="single" w:sz="6" w:space="0" w:color="E6643C" w:themeColor="accent6"/>
          <w:insideV w:val="single" w:sz="6" w:space="0" w:color="E6643C" w:themeColor="accent6"/>
        </w:tcBorders>
        <w:shd w:val="clear" w:color="auto" w:fill="F2B19D"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E45C9C"/>
    <w:pPr>
      <w:spacing w:before="0"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E45C9C"/>
    <w:pPr>
      <w:spacing w:before="0"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CCAD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B242A"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B242A"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B242A"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B242A"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995A9"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995A9" w:themeFill="accent1" w:themeFillTint="7F"/>
      </w:tcPr>
    </w:tblStylePr>
  </w:style>
  <w:style w:type="table" w:styleId="MediumGrid3-Accent2">
    <w:name w:val="Medium Grid 3 Accent 2"/>
    <w:basedOn w:val="TableNormal"/>
    <w:uiPriority w:val="69"/>
    <w:semiHidden/>
    <w:rsid w:val="00E45C9C"/>
    <w:pPr>
      <w:spacing w:before="0"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2F2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586"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586"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586"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586"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3E6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3E6FF" w:themeFill="accent2" w:themeFillTint="7F"/>
      </w:tcPr>
    </w:tblStylePr>
  </w:style>
  <w:style w:type="table" w:styleId="MediumGrid3-Accent3">
    <w:name w:val="Medium Grid 3 Accent 3"/>
    <w:basedOn w:val="TableNormal"/>
    <w:uiPriority w:val="69"/>
    <w:semiHidden/>
    <w:rsid w:val="00E45C9C"/>
    <w:pPr>
      <w:spacing w:before="0"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ED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AB9EB"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AB9EB"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AB9EB"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AB9EB"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DCF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DCF5" w:themeFill="accent3" w:themeFillTint="7F"/>
      </w:tcPr>
    </w:tblStylePr>
  </w:style>
  <w:style w:type="table" w:styleId="MediumGrid3-Accent4">
    <w:name w:val="Medium Grid 3 Accent 4"/>
    <w:basedOn w:val="TableNormal"/>
    <w:uiPriority w:val="69"/>
    <w:semiHidden/>
    <w:rsid w:val="00E45C9C"/>
    <w:pPr>
      <w:spacing w:before="0"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4" w:themeFillTint="7F"/>
      </w:tcPr>
    </w:tblStylePr>
  </w:style>
  <w:style w:type="table" w:styleId="MediumGrid3-Accent5">
    <w:name w:val="Medium Grid 3 Accent 5"/>
    <w:basedOn w:val="TableNormal"/>
    <w:uiPriority w:val="69"/>
    <w:semiHidden/>
    <w:rsid w:val="00E45C9C"/>
    <w:pPr>
      <w:spacing w:before="0"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AD8"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AAA6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AAA6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AAA6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AAA6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D4B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D4B1" w:themeFill="accent5" w:themeFillTint="7F"/>
      </w:tcPr>
    </w:tblStylePr>
  </w:style>
  <w:style w:type="table" w:styleId="MediumGrid3-Accent6">
    <w:name w:val="Medium Grid 3 Accent 6"/>
    <w:basedOn w:val="TableNormal"/>
    <w:uiPriority w:val="69"/>
    <w:semiHidden/>
    <w:rsid w:val="00E45C9C"/>
    <w:pPr>
      <w:spacing w:before="0"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8D8CE"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6643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6643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6643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6643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2B19D"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2B19D" w:themeFill="accent6" w:themeFillTint="7F"/>
      </w:tcPr>
    </w:tblStylePr>
  </w:style>
  <w:style w:type="table" w:styleId="MediumList1">
    <w:name w:val="Medium List 1"/>
    <w:basedOn w:val="TableNormal"/>
    <w:uiPriority w:val="65"/>
    <w:semiHidden/>
    <w:rsid w:val="00E45C9C"/>
    <w:pPr>
      <w:spacing w:before="0"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758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E45C9C"/>
    <w:pPr>
      <w:spacing w:before="0" w:after="0" w:line="240" w:lineRule="auto"/>
    </w:pPr>
    <w:rPr>
      <w:color w:val="000000" w:themeColor="text1"/>
    </w:rPr>
    <w:tblPr>
      <w:tblStyleRowBandSize w:val="1"/>
      <w:tblStyleColBandSize w:val="1"/>
      <w:tblBorders>
        <w:top w:val="single" w:sz="8" w:space="0" w:color="1B242A" w:themeColor="accent1"/>
        <w:bottom w:val="single" w:sz="8" w:space="0" w:color="1B242A" w:themeColor="accent1"/>
      </w:tblBorders>
    </w:tblPr>
    <w:tblStylePr w:type="firstRow">
      <w:rPr>
        <w:rFonts w:asciiTheme="majorHAnsi" w:eastAsiaTheme="majorEastAsia" w:hAnsiTheme="majorHAnsi" w:cstheme="majorBidi"/>
      </w:rPr>
      <w:tblPr/>
      <w:tcPr>
        <w:tcBorders>
          <w:top w:val="nil"/>
          <w:bottom w:val="single" w:sz="8" w:space="0" w:color="1B242A" w:themeColor="accent1"/>
        </w:tcBorders>
      </w:tcPr>
    </w:tblStylePr>
    <w:tblStylePr w:type="lastRow">
      <w:rPr>
        <w:b/>
        <w:bCs/>
        <w:color w:val="007586" w:themeColor="text2"/>
      </w:rPr>
      <w:tblPr/>
      <w:tcPr>
        <w:tcBorders>
          <w:top w:val="single" w:sz="8" w:space="0" w:color="1B242A" w:themeColor="accent1"/>
          <w:bottom w:val="single" w:sz="8" w:space="0" w:color="1B242A" w:themeColor="accent1"/>
        </w:tcBorders>
      </w:tcPr>
    </w:tblStylePr>
    <w:tblStylePr w:type="firstCol">
      <w:rPr>
        <w:b/>
        <w:bCs/>
      </w:rPr>
    </w:tblStylePr>
    <w:tblStylePr w:type="lastCol">
      <w:rPr>
        <w:b/>
        <w:bCs/>
      </w:rPr>
      <w:tblPr/>
      <w:tcPr>
        <w:tcBorders>
          <w:top w:val="single" w:sz="8" w:space="0" w:color="1B242A" w:themeColor="accent1"/>
          <w:bottom w:val="single" w:sz="8" w:space="0" w:color="1B242A" w:themeColor="accent1"/>
        </w:tcBorders>
      </w:tcPr>
    </w:tblStylePr>
    <w:tblStylePr w:type="band1Vert">
      <w:tblPr/>
      <w:tcPr>
        <w:shd w:val="clear" w:color="auto" w:fill="BCCAD4" w:themeFill="accent1" w:themeFillTint="3F"/>
      </w:tcPr>
    </w:tblStylePr>
    <w:tblStylePr w:type="band1Horz">
      <w:tblPr/>
      <w:tcPr>
        <w:shd w:val="clear" w:color="auto" w:fill="BCCAD4" w:themeFill="accent1" w:themeFillTint="3F"/>
      </w:tcPr>
    </w:tblStylePr>
  </w:style>
  <w:style w:type="table" w:styleId="MediumList1-Accent2">
    <w:name w:val="Medium List 1 Accent 2"/>
    <w:basedOn w:val="TableNormal"/>
    <w:uiPriority w:val="65"/>
    <w:semiHidden/>
    <w:rsid w:val="00E45C9C"/>
    <w:pPr>
      <w:spacing w:before="0" w:after="0" w:line="240" w:lineRule="auto"/>
    </w:pPr>
    <w:rPr>
      <w:color w:val="000000" w:themeColor="text1"/>
    </w:rPr>
    <w:tblPr>
      <w:tblStyleRowBandSize w:val="1"/>
      <w:tblStyleColBandSize w:val="1"/>
      <w:tblBorders>
        <w:top w:val="single" w:sz="8" w:space="0" w:color="007586" w:themeColor="accent2"/>
        <w:bottom w:val="single" w:sz="8" w:space="0" w:color="007586" w:themeColor="accent2"/>
      </w:tblBorders>
    </w:tblPr>
    <w:tblStylePr w:type="firstRow">
      <w:rPr>
        <w:rFonts w:asciiTheme="majorHAnsi" w:eastAsiaTheme="majorEastAsia" w:hAnsiTheme="majorHAnsi" w:cstheme="majorBidi"/>
      </w:rPr>
      <w:tblPr/>
      <w:tcPr>
        <w:tcBorders>
          <w:top w:val="nil"/>
          <w:bottom w:val="single" w:sz="8" w:space="0" w:color="007586" w:themeColor="accent2"/>
        </w:tcBorders>
      </w:tcPr>
    </w:tblStylePr>
    <w:tblStylePr w:type="lastRow">
      <w:rPr>
        <w:b/>
        <w:bCs/>
        <w:color w:val="007586" w:themeColor="text2"/>
      </w:rPr>
      <w:tblPr/>
      <w:tcPr>
        <w:tcBorders>
          <w:top w:val="single" w:sz="8" w:space="0" w:color="007586" w:themeColor="accent2"/>
          <w:bottom w:val="single" w:sz="8" w:space="0" w:color="007586" w:themeColor="accent2"/>
        </w:tcBorders>
      </w:tcPr>
    </w:tblStylePr>
    <w:tblStylePr w:type="firstCol">
      <w:rPr>
        <w:b/>
        <w:bCs/>
      </w:rPr>
    </w:tblStylePr>
    <w:tblStylePr w:type="lastCol">
      <w:rPr>
        <w:b/>
        <w:bCs/>
      </w:rPr>
      <w:tblPr/>
      <w:tcPr>
        <w:tcBorders>
          <w:top w:val="single" w:sz="8" w:space="0" w:color="007586" w:themeColor="accent2"/>
          <w:bottom w:val="single" w:sz="8" w:space="0" w:color="007586" w:themeColor="accent2"/>
        </w:tcBorders>
      </w:tcPr>
    </w:tblStylePr>
    <w:tblStylePr w:type="band1Vert">
      <w:tblPr/>
      <w:tcPr>
        <w:shd w:val="clear" w:color="auto" w:fill="A2F2FF" w:themeFill="accent2" w:themeFillTint="3F"/>
      </w:tcPr>
    </w:tblStylePr>
    <w:tblStylePr w:type="band1Horz">
      <w:tblPr/>
      <w:tcPr>
        <w:shd w:val="clear" w:color="auto" w:fill="A2F2FF" w:themeFill="accent2" w:themeFillTint="3F"/>
      </w:tcPr>
    </w:tblStylePr>
  </w:style>
  <w:style w:type="table" w:styleId="MediumList1-Accent3">
    <w:name w:val="Medium List 1 Accent 3"/>
    <w:basedOn w:val="TableNormal"/>
    <w:uiPriority w:val="65"/>
    <w:semiHidden/>
    <w:rsid w:val="00E45C9C"/>
    <w:pPr>
      <w:spacing w:before="0" w:after="0" w:line="240" w:lineRule="auto"/>
    </w:pPr>
    <w:rPr>
      <w:color w:val="000000" w:themeColor="text1"/>
    </w:rPr>
    <w:tblPr>
      <w:tblStyleRowBandSize w:val="1"/>
      <w:tblStyleColBandSize w:val="1"/>
      <w:tblBorders>
        <w:top w:val="single" w:sz="8" w:space="0" w:color="5AB9EB" w:themeColor="accent3"/>
        <w:bottom w:val="single" w:sz="8" w:space="0" w:color="5AB9EB" w:themeColor="accent3"/>
      </w:tblBorders>
    </w:tblPr>
    <w:tblStylePr w:type="firstRow">
      <w:rPr>
        <w:rFonts w:asciiTheme="majorHAnsi" w:eastAsiaTheme="majorEastAsia" w:hAnsiTheme="majorHAnsi" w:cstheme="majorBidi"/>
      </w:rPr>
      <w:tblPr/>
      <w:tcPr>
        <w:tcBorders>
          <w:top w:val="nil"/>
          <w:bottom w:val="single" w:sz="8" w:space="0" w:color="5AB9EB" w:themeColor="accent3"/>
        </w:tcBorders>
      </w:tcPr>
    </w:tblStylePr>
    <w:tblStylePr w:type="lastRow">
      <w:rPr>
        <w:b/>
        <w:bCs/>
        <w:color w:val="007586" w:themeColor="text2"/>
      </w:rPr>
      <w:tblPr/>
      <w:tcPr>
        <w:tcBorders>
          <w:top w:val="single" w:sz="8" w:space="0" w:color="5AB9EB" w:themeColor="accent3"/>
          <w:bottom w:val="single" w:sz="8" w:space="0" w:color="5AB9EB" w:themeColor="accent3"/>
        </w:tcBorders>
      </w:tcPr>
    </w:tblStylePr>
    <w:tblStylePr w:type="firstCol">
      <w:rPr>
        <w:b/>
        <w:bCs/>
      </w:rPr>
    </w:tblStylePr>
    <w:tblStylePr w:type="lastCol">
      <w:rPr>
        <w:b/>
        <w:bCs/>
      </w:rPr>
      <w:tblPr/>
      <w:tcPr>
        <w:tcBorders>
          <w:top w:val="single" w:sz="8" w:space="0" w:color="5AB9EB" w:themeColor="accent3"/>
          <w:bottom w:val="single" w:sz="8" w:space="0" w:color="5AB9EB" w:themeColor="accent3"/>
        </w:tcBorders>
      </w:tcPr>
    </w:tblStylePr>
    <w:tblStylePr w:type="band1Vert">
      <w:tblPr/>
      <w:tcPr>
        <w:shd w:val="clear" w:color="auto" w:fill="D5EDFA" w:themeFill="accent3" w:themeFillTint="3F"/>
      </w:tcPr>
    </w:tblStylePr>
    <w:tblStylePr w:type="band1Horz">
      <w:tblPr/>
      <w:tcPr>
        <w:shd w:val="clear" w:color="auto" w:fill="D5EDFA" w:themeFill="accent3" w:themeFillTint="3F"/>
      </w:tcPr>
    </w:tblStylePr>
  </w:style>
  <w:style w:type="table" w:styleId="MediumList1-Accent4">
    <w:name w:val="Medium List 1 Accent 4"/>
    <w:basedOn w:val="TableNormal"/>
    <w:uiPriority w:val="65"/>
    <w:semiHidden/>
    <w:rsid w:val="00E45C9C"/>
    <w:pPr>
      <w:spacing w:before="0" w:after="0" w:line="240" w:lineRule="auto"/>
    </w:pPr>
    <w:rPr>
      <w:color w:val="000000" w:themeColor="text1"/>
    </w:rPr>
    <w:tblPr>
      <w:tblStyleRowBandSize w:val="1"/>
      <w:tblStyleColBandSize w:val="1"/>
      <w:tblBorders>
        <w:top w:val="single" w:sz="8" w:space="0" w:color="004C97" w:themeColor="accent4"/>
        <w:bottom w:val="single" w:sz="8" w:space="0" w:color="004C97" w:themeColor="accent4"/>
      </w:tblBorders>
    </w:tblPr>
    <w:tblStylePr w:type="firstRow">
      <w:rPr>
        <w:rFonts w:asciiTheme="majorHAnsi" w:eastAsiaTheme="majorEastAsia" w:hAnsiTheme="majorHAnsi" w:cstheme="majorBidi"/>
      </w:rPr>
      <w:tblPr/>
      <w:tcPr>
        <w:tcBorders>
          <w:top w:val="nil"/>
          <w:bottom w:val="single" w:sz="8" w:space="0" w:color="004C97" w:themeColor="accent4"/>
        </w:tcBorders>
      </w:tcPr>
    </w:tblStylePr>
    <w:tblStylePr w:type="lastRow">
      <w:rPr>
        <w:b/>
        <w:bCs/>
        <w:color w:val="007586" w:themeColor="text2"/>
      </w:rPr>
      <w:tblPr/>
      <w:tcPr>
        <w:tcBorders>
          <w:top w:val="single" w:sz="8" w:space="0" w:color="004C97" w:themeColor="accent4"/>
          <w:bottom w:val="single" w:sz="8" w:space="0" w:color="004C97" w:themeColor="accent4"/>
        </w:tcBorders>
      </w:tcPr>
    </w:tblStylePr>
    <w:tblStylePr w:type="firstCol">
      <w:rPr>
        <w:b/>
        <w:bCs/>
      </w:rPr>
    </w:tblStylePr>
    <w:tblStylePr w:type="lastCol">
      <w:rPr>
        <w:b/>
        <w:bCs/>
      </w:rPr>
      <w:tblPr/>
      <w:tcPr>
        <w:tcBorders>
          <w:top w:val="single" w:sz="8" w:space="0" w:color="004C97" w:themeColor="accent4"/>
          <w:bottom w:val="single" w:sz="8" w:space="0" w:color="004C97" w:themeColor="accent4"/>
        </w:tcBorders>
      </w:tcPr>
    </w:tblStylePr>
    <w:tblStylePr w:type="band1Vert">
      <w:tblPr/>
      <w:tcPr>
        <w:shd w:val="clear" w:color="auto" w:fill="A6D2FF" w:themeFill="accent4" w:themeFillTint="3F"/>
      </w:tcPr>
    </w:tblStylePr>
    <w:tblStylePr w:type="band1Horz">
      <w:tblPr/>
      <w:tcPr>
        <w:shd w:val="clear" w:color="auto" w:fill="A6D2FF" w:themeFill="accent4" w:themeFillTint="3F"/>
      </w:tcPr>
    </w:tblStylePr>
  </w:style>
  <w:style w:type="table" w:styleId="MediumList1-Accent5">
    <w:name w:val="Medium List 1 Accent 5"/>
    <w:basedOn w:val="TableNormal"/>
    <w:uiPriority w:val="65"/>
    <w:semiHidden/>
    <w:rsid w:val="00E45C9C"/>
    <w:pPr>
      <w:spacing w:before="0" w:after="0" w:line="240" w:lineRule="auto"/>
    </w:pPr>
    <w:rPr>
      <w:color w:val="000000" w:themeColor="text1"/>
    </w:rPr>
    <w:tblPr>
      <w:tblStyleRowBandSize w:val="1"/>
      <w:tblStyleColBandSize w:val="1"/>
      <w:tblBorders>
        <w:top w:val="single" w:sz="8" w:space="0" w:color="5AAA64" w:themeColor="accent5"/>
        <w:bottom w:val="single" w:sz="8" w:space="0" w:color="5AAA64" w:themeColor="accent5"/>
      </w:tblBorders>
    </w:tblPr>
    <w:tblStylePr w:type="firstRow">
      <w:rPr>
        <w:rFonts w:asciiTheme="majorHAnsi" w:eastAsiaTheme="majorEastAsia" w:hAnsiTheme="majorHAnsi" w:cstheme="majorBidi"/>
      </w:rPr>
      <w:tblPr/>
      <w:tcPr>
        <w:tcBorders>
          <w:top w:val="nil"/>
          <w:bottom w:val="single" w:sz="8" w:space="0" w:color="5AAA64" w:themeColor="accent5"/>
        </w:tcBorders>
      </w:tcPr>
    </w:tblStylePr>
    <w:tblStylePr w:type="lastRow">
      <w:rPr>
        <w:b/>
        <w:bCs/>
        <w:color w:val="007586" w:themeColor="text2"/>
      </w:rPr>
      <w:tblPr/>
      <w:tcPr>
        <w:tcBorders>
          <w:top w:val="single" w:sz="8" w:space="0" w:color="5AAA64" w:themeColor="accent5"/>
          <w:bottom w:val="single" w:sz="8" w:space="0" w:color="5AAA64" w:themeColor="accent5"/>
        </w:tcBorders>
      </w:tcPr>
    </w:tblStylePr>
    <w:tblStylePr w:type="firstCol">
      <w:rPr>
        <w:b/>
        <w:bCs/>
      </w:rPr>
    </w:tblStylePr>
    <w:tblStylePr w:type="lastCol">
      <w:rPr>
        <w:b/>
        <w:bCs/>
      </w:rPr>
      <w:tblPr/>
      <w:tcPr>
        <w:tcBorders>
          <w:top w:val="single" w:sz="8" w:space="0" w:color="5AAA64" w:themeColor="accent5"/>
          <w:bottom w:val="single" w:sz="8" w:space="0" w:color="5AAA64" w:themeColor="accent5"/>
        </w:tcBorders>
      </w:tcPr>
    </w:tblStylePr>
    <w:tblStylePr w:type="band1Vert">
      <w:tblPr/>
      <w:tcPr>
        <w:shd w:val="clear" w:color="auto" w:fill="D6EAD8" w:themeFill="accent5" w:themeFillTint="3F"/>
      </w:tcPr>
    </w:tblStylePr>
    <w:tblStylePr w:type="band1Horz">
      <w:tblPr/>
      <w:tcPr>
        <w:shd w:val="clear" w:color="auto" w:fill="D6EAD8" w:themeFill="accent5" w:themeFillTint="3F"/>
      </w:tcPr>
    </w:tblStylePr>
  </w:style>
  <w:style w:type="table" w:styleId="MediumList1-Accent6">
    <w:name w:val="Medium List 1 Accent 6"/>
    <w:basedOn w:val="TableNormal"/>
    <w:uiPriority w:val="65"/>
    <w:semiHidden/>
    <w:rsid w:val="00E45C9C"/>
    <w:pPr>
      <w:spacing w:before="0" w:after="0" w:line="240" w:lineRule="auto"/>
    </w:pPr>
    <w:rPr>
      <w:color w:val="000000" w:themeColor="text1"/>
    </w:rPr>
    <w:tblPr>
      <w:tblStyleRowBandSize w:val="1"/>
      <w:tblStyleColBandSize w:val="1"/>
      <w:tblBorders>
        <w:top w:val="single" w:sz="8" w:space="0" w:color="E6643C" w:themeColor="accent6"/>
        <w:bottom w:val="single" w:sz="8" w:space="0" w:color="E6643C" w:themeColor="accent6"/>
      </w:tblBorders>
    </w:tblPr>
    <w:tblStylePr w:type="firstRow">
      <w:rPr>
        <w:rFonts w:asciiTheme="majorHAnsi" w:eastAsiaTheme="majorEastAsia" w:hAnsiTheme="majorHAnsi" w:cstheme="majorBidi"/>
      </w:rPr>
      <w:tblPr/>
      <w:tcPr>
        <w:tcBorders>
          <w:top w:val="nil"/>
          <w:bottom w:val="single" w:sz="8" w:space="0" w:color="E6643C" w:themeColor="accent6"/>
        </w:tcBorders>
      </w:tcPr>
    </w:tblStylePr>
    <w:tblStylePr w:type="lastRow">
      <w:rPr>
        <w:b/>
        <w:bCs/>
        <w:color w:val="007586" w:themeColor="text2"/>
      </w:rPr>
      <w:tblPr/>
      <w:tcPr>
        <w:tcBorders>
          <w:top w:val="single" w:sz="8" w:space="0" w:color="E6643C" w:themeColor="accent6"/>
          <w:bottom w:val="single" w:sz="8" w:space="0" w:color="E6643C" w:themeColor="accent6"/>
        </w:tcBorders>
      </w:tcPr>
    </w:tblStylePr>
    <w:tblStylePr w:type="firstCol">
      <w:rPr>
        <w:b/>
        <w:bCs/>
      </w:rPr>
    </w:tblStylePr>
    <w:tblStylePr w:type="lastCol">
      <w:rPr>
        <w:b/>
        <w:bCs/>
      </w:rPr>
      <w:tblPr/>
      <w:tcPr>
        <w:tcBorders>
          <w:top w:val="single" w:sz="8" w:space="0" w:color="E6643C" w:themeColor="accent6"/>
          <w:bottom w:val="single" w:sz="8" w:space="0" w:color="E6643C" w:themeColor="accent6"/>
        </w:tcBorders>
      </w:tcPr>
    </w:tblStylePr>
    <w:tblStylePr w:type="band1Vert">
      <w:tblPr/>
      <w:tcPr>
        <w:shd w:val="clear" w:color="auto" w:fill="F8D8CE" w:themeFill="accent6" w:themeFillTint="3F"/>
      </w:tcPr>
    </w:tblStylePr>
    <w:tblStylePr w:type="band1Horz">
      <w:tblPr/>
      <w:tcPr>
        <w:shd w:val="clear" w:color="auto" w:fill="F8D8CE" w:themeFill="accent6" w:themeFillTint="3F"/>
      </w:tcPr>
    </w:tblStylePr>
  </w:style>
  <w:style w:type="table" w:styleId="MediumList2">
    <w:name w:val="Medium List 2"/>
    <w:basedOn w:val="TableNormal"/>
    <w:uiPriority w:val="66"/>
    <w:semiHidden/>
    <w:rsid w:val="00E45C9C"/>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E45C9C"/>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B242A" w:themeColor="accent1"/>
        <w:left w:val="single" w:sz="8" w:space="0" w:color="1B242A" w:themeColor="accent1"/>
        <w:bottom w:val="single" w:sz="8" w:space="0" w:color="1B242A" w:themeColor="accent1"/>
        <w:right w:val="single" w:sz="8" w:space="0" w:color="1B242A" w:themeColor="accent1"/>
      </w:tblBorders>
    </w:tblPr>
    <w:tblStylePr w:type="firstRow">
      <w:rPr>
        <w:sz w:val="24"/>
        <w:szCs w:val="24"/>
      </w:rPr>
      <w:tblPr/>
      <w:tcPr>
        <w:tcBorders>
          <w:top w:val="nil"/>
          <w:left w:val="nil"/>
          <w:bottom w:val="single" w:sz="24" w:space="0" w:color="1B242A" w:themeColor="accent1"/>
          <w:right w:val="nil"/>
          <w:insideH w:val="nil"/>
          <w:insideV w:val="nil"/>
        </w:tcBorders>
        <w:shd w:val="clear" w:color="auto" w:fill="FFFFFF" w:themeFill="background1"/>
      </w:tcPr>
    </w:tblStylePr>
    <w:tblStylePr w:type="lastRow">
      <w:tblPr/>
      <w:tcPr>
        <w:tcBorders>
          <w:top w:val="single" w:sz="8" w:space="0" w:color="1B242A"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B242A" w:themeColor="accent1"/>
          <w:insideH w:val="nil"/>
          <w:insideV w:val="nil"/>
        </w:tcBorders>
        <w:shd w:val="clear" w:color="auto" w:fill="FFFFFF" w:themeFill="background1"/>
      </w:tcPr>
    </w:tblStylePr>
    <w:tblStylePr w:type="lastCol">
      <w:tblPr/>
      <w:tcPr>
        <w:tcBorders>
          <w:top w:val="nil"/>
          <w:left w:val="single" w:sz="8" w:space="0" w:color="1B242A"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CCAD4" w:themeFill="accent1" w:themeFillTint="3F"/>
      </w:tcPr>
    </w:tblStylePr>
    <w:tblStylePr w:type="band1Horz">
      <w:tblPr/>
      <w:tcPr>
        <w:tcBorders>
          <w:top w:val="nil"/>
          <w:bottom w:val="nil"/>
          <w:insideH w:val="nil"/>
          <w:insideV w:val="nil"/>
        </w:tcBorders>
        <w:shd w:val="clear" w:color="auto" w:fill="BCCAD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E45C9C"/>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7586" w:themeColor="accent2"/>
        <w:left w:val="single" w:sz="8" w:space="0" w:color="007586" w:themeColor="accent2"/>
        <w:bottom w:val="single" w:sz="8" w:space="0" w:color="007586" w:themeColor="accent2"/>
        <w:right w:val="single" w:sz="8" w:space="0" w:color="007586" w:themeColor="accent2"/>
      </w:tblBorders>
    </w:tblPr>
    <w:tblStylePr w:type="firstRow">
      <w:rPr>
        <w:sz w:val="24"/>
        <w:szCs w:val="24"/>
      </w:rPr>
      <w:tblPr/>
      <w:tcPr>
        <w:tcBorders>
          <w:top w:val="nil"/>
          <w:left w:val="nil"/>
          <w:bottom w:val="single" w:sz="24" w:space="0" w:color="007586" w:themeColor="accent2"/>
          <w:right w:val="nil"/>
          <w:insideH w:val="nil"/>
          <w:insideV w:val="nil"/>
        </w:tcBorders>
        <w:shd w:val="clear" w:color="auto" w:fill="FFFFFF" w:themeFill="background1"/>
      </w:tcPr>
    </w:tblStylePr>
    <w:tblStylePr w:type="lastRow">
      <w:tblPr/>
      <w:tcPr>
        <w:tcBorders>
          <w:top w:val="single" w:sz="8" w:space="0" w:color="007586"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586" w:themeColor="accent2"/>
          <w:insideH w:val="nil"/>
          <w:insideV w:val="nil"/>
        </w:tcBorders>
        <w:shd w:val="clear" w:color="auto" w:fill="FFFFFF" w:themeFill="background1"/>
      </w:tcPr>
    </w:tblStylePr>
    <w:tblStylePr w:type="lastCol">
      <w:tblPr/>
      <w:tcPr>
        <w:tcBorders>
          <w:top w:val="nil"/>
          <w:left w:val="single" w:sz="8" w:space="0" w:color="007586"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2F2FF" w:themeFill="accent2" w:themeFillTint="3F"/>
      </w:tcPr>
    </w:tblStylePr>
    <w:tblStylePr w:type="band1Horz">
      <w:tblPr/>
      <w:tcPr>
        <w:tcBorders>
          <w:top w:val="nil"/>
          <w:bottom w:val="nil"/>
          <w:insideH w:val="nil"/>
          <w:insideV w:val="nil"/>
        </w:tcBorders>
        <w:shd w:val="clear" w:color="auto" w:fill="A2F2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E45C9C"/>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AB9EB" w:themeColor="accent3"/>
        <w:left w:val="single" w:sz="8" w:space="0" w:color="5AB9EB" w:themeColor="accent3"/>
        <w:bottom w:val="single" w:sz="8" w:space="0" w:color="5AB9EB" w:themeColor="accent3"/>
        <w:right w:val="single" w:sz="8" w:space="0" w:color="5AB9EB" w:themeColor="accent3"/>
      </w:tblBorders>
    </w:tblPr>
    <w:tblStylePr w:type="firstRow">
      <w:rPr>
        <w:sz w:val="24"/>
        <w:szCs w:val="24"/>
      </w:rPr>
      <w:tblPr/>
      <w:tcPr>
        <w:tcBorders>
          <w:top w:val="nil"/>
          <w:left w:val="nil"/>
          <w:bottom w:val="single" w:sz="24" w:space="0" w:color="5AB9EB" w:themeColor="accent3"/>
          <w:right w:val="nil"/>
          <w:insideH w:val="nil"/>
          <w:insideV w:val="nil"/>
        </w:tcBorders>
        <w:shd w:val="clear" w:color="auto" w:fill="FFFFFF" w:themeFill="background1"/>
      </w:tcPr>
    </w:tblStylePr>
    <w:tblStylePr w:type="lastRow">
      <w:tblPr/>
      <w:tcPr>
        <w:tcBorders>
          <w:top w:val="single" w:sz="8" w:space="0" w:color="5AB9EB"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AB9EB" w:themeColor="accent3"/>
          <w:insideH w:val="nil"/>
          <w:insideV w:val="nil"/>
        </w:tcBorders>
        <w:shd w:val="clear" w:color="auto" w:fill="FFFFFF" w:themeFill="background1"/>
      </w:tcPr>
    </w:tblStylePr>
    <w:tblStylePr w:type="lastCol">
      <w:tblPr/>
      <w:tcPr>
        <w:tcBorders>
          <w:top w:val="nil"/>
          <w:left w:val="single" w:sz="8" w:space="0" w:color="5AB9EB"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EDFA" w:themeFill="accent3" w:themeFillTint="3F"/>
      </w:tcPr>
    </w:tblStylePr>
    <w:tblStylePr w:type="band1Horz">
      <w:tblPr/>
      <w:tcPr>
        <w:tcBorders>
          <w:top w:val="nil"/>
          <w:bottom w:val="nil"/>
          <w:insideH w:val="nil"/>
          <w:insideV w:val="nil"/>
        </w:tcBorders>
        <w:shd w:val="clear" w:color="auto" w:fill="D5ED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E45C9C"/>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4C97" w:themeColor="accent4"/>
        <w:left w:val="single" w:sz="8" w:space="0" w:color="004C97" w:themeColor="accent4"/>
        <w:bottom w:val="single" w:sz="8" w:space="0" w:color="004C97" w:themeColor="accent4"/>
        <w:right w:val="single" w:sz="8" w:space="0" w:color="004C97" w:themeColor="accent4"/>
      </w:tblBorders>
    </w:tblPr>
    <w:tblStylePr w:type="firstRow">
      <w:rPr>
        <w:sz w:val="24"/>
        <w:szCs w:val="24"/>
      </w:rPr>
      <w:tblPr/>
      <w:tcPr>
        <w:tcBorders>
          <w:top w:val="nil"/>
          <w:left w:val="nil"/>
          <w:bottom w:val="single" w:sz="24" w:space="0" w:color="004C97" w:themeColor="accent4"/>
          <w:right w:val="nil"/>
          <w:insideH w:val="nil"/>
          <w:insideV w:val="nil"/>
        </w:tcBorders>
        <w:shd w:val="clear" w:color="auto" w:fill="FFFFFF" w:themeFill="background1"/>
      </w:tcPr>
    </w:tblStylePr>
    <w:tblStylePr w:type="lastRow">
      <w:tblPr/>
      <w:tcPr>
        <w:tcBorders>
          <w:top w:val="single" w:sz="8" w:space="0" w:color="004C9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4"/>
          <w:insideH w:val="nil"/>
          <w:insideV w:val="nil"/>
        </w:tcBorders>
        <w:shd w:val="clear" w:color="auto" w:fill="FFFFFF" w:themeFill="background1"/>
      </w:tcPr>
    </w:tblStylePr>
    <w:tblStylePr w:type="lastCol">
      <w:tblPr/>
      <w:tcPr>
        <w:tcBorders>
          <w:top w:val="nil"/>
          <w:left w:val="single" w:sz="8" w:space="0" w:color="004C9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4" w:themeFillTint="3F"/>
      </w:tcPr>
    </w:tblStylePr>
    <w:tblStylePr w:type="band1Horz">
      <w:tblPr/>
      <w:tcPr>
        <w:tcBorders>
          <w:top w:val="nil"/>
          <w:bottom w:val="nil"/>
          <w:insideH w:val="nil"/>
          <w:insideV w:val="nil"/>
        </w:tcBorders>
        <w:shd w:val="clear" w:color="auto" w:fill="A6D2F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E45C9C"/>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AAA64" w:themeColor="accent5"/>
        <w:left w:val="single" w:sz="8" w:space="0" w:color="5AAA64" w:themeColor="accent5"/>
        <w:bottom w:val="single" w:sz="8" w:space="0" w:color="5AAA64" w:themeColor="accent5"/>
        <w:right w:val="single" w:sz="8" w:space="0" w:color="5AAA64" w:themeColor="accent5"/>
      </w:tblBorders>
    </w:tblPr>
    <w:tblStylePr w:type="firstRow">
      <w:rPr>
        <w:sz w:val="24"/>
        <w:szCs w:val="24"/>
      </w:rPr>
      <w:tblPr/>
      <w:tcPr>
        <w:tcBorders>
          <w:top w:val="nil"/>
          <w:left w:val="nil"/>
          <w:bottom w:val="single" w:sz="24" w:space="0" w:color="5AAA64" w:themeColor="accent5"/>
          <w:right w:val="nil"/>
          <w:insideH w:val="nil"/>
          <w:insideV w:val="nil"/>
        </w:tcBorders>
        <w:shd w:val="clear" w:color="auto" w:fill="FFFFFF" w:themeFill="background1"/>
      </w:tcPr>
    </w:tblStylePr>
    <w:tblStylePr w:type="lastRow">
      <w:tblPr/>
      <w:tcPr>
        <w:tcBorders>
          <w:top w:val="single" w:sz="8" w:space="0" w:color="5AAA6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AAA64" w:themeColor="accent5"/>
          <w:insideH w:val="nil"/>
          <w:insideV w:val="nil"/>
        </w:tcBorders>
        <w:shd w:val="clear" w:color="auto" w:fill="FFFFFF" w:themeFill="background1"/>
      </w:tcPr>
    </w:tblStylePr>
    <w:tblStylePr w:type="lastCol">
      <w:tblPr/>
      <w:tcPr>
        <w:tcBorders>
          <w:top w:val="nil"/>
          <w:left w:val="single" w:sz="8" w:space="0" w:color="5AAA6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AD8" w:themeFill="accent5" w:themeFillTint="3F"/>
      </w:tcPr>
    </w:tblStylePr>
    <w:tblStylePr w:type="band1Horz">
      <w:tblPr/>
      <w:tcPr>
        <w:tcBorders>
          <w:top w:val="nil"/>
          <w:bottom w:val="nil"/>
          <w:insideH w:val="nil"/>
          <w:insideV w:val="nil"/>
        </w:tcBorders>
        <w:shd w:val="clear" w:color="auto" w:fill="D6EAD8"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E45C9C"/>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6643C" w:themeColor="accent6"/>
        <w:left w:val="single" w:sz="8" w:space="0" w:color="E6643C" w:themeColor="accent6"/>
        <w:bottom w:val="single" w:sz="8" w:space="0" w:color="E6643C" w:themeColor="accent6"/>
        <w:right w:val="single" w:sz="8" w:space="0" w:color="E6643C" w:themeColor="accent6"/>
      </w:tblBorders>
    </w:tblPr>
    <w:tblStylePr w:type="firstRow">
      <w:rPr>
        <w:sz w:val="24"/>
        <w:szCs w:val="24"/>
      </w:rPr>
      <w:tblPr/>
      <w:tcPr>
        <w:tcBorders>
          <w:top w:val="nil"/>
          <w:left w:val="nil"/>
          <w:bottom w:val="single" w:sz="24" w:space="0" w:color="E6643C" w:themeColor="accent6"/>
          <w:right w:val="nil"/>
          <w:insideH w:val="nil"/>
          <w:insideV w:val="nil"/>
        </w:tcBorders>
        <w:shd w:val="clear" w:color="auto" w:fill="FFFFFF" w:themeFill="background1"/>
      </w:tcPr>
    </w:tblStylePr>
    <w:tblStylePr w:type="lastRow">
      <w:tblPr/>
      <w:tcPr>
        <w:tcBorders>
          <w:top w:val="single" w:sz="8" w:space="0" w:color="E6643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6643C" w:themeColor="accent6"/>
          <w:insideH w:val="nil"/>
          <w:insideV w:val="nil"/>
        </w:tcBorders>
        <w:shd w:val="clear" w:color="auto" w:fill="FFFFFF" w:themeFill="background1"/>
      </w:tcPr>
    </w:tblStylePr>
    <w:tblStylePr w:type="lastCol">
      <w:tblPr/>
      <w:tcPr>
        <w:tcBorders>
          <w:top w:val="nil"/>
          <w:left w:val="single" w:sz="8" w:space="0" w:color="E6643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8D8CE" w:themeFill="accent6" w:themeFillTint="3F"/>
      </w:tcPr>
    </w:tblStylePr>
    <w:tblStylePr w:type="band1Horz">
      <w:tblPr/>
      <w:tcPr>
        <w:tcBorders>
          <w:top w:val="nil"/>
          <w:bottom w:val="nil"/>
          <w:insideH w:val="nil"/>
          <w:insideV w:val="nil"/>
        </w:tcBorders>
        <w:shd w:val="clear" w:color="auto" w:fill="F8D8CE"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E45C9C"/>
    <w:pPr>
      <w:spacing w:before="0"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E45C9C"/>
    <w:pPr>
      <w:spacing w:before="0" w:after="0" w:line="240" w:lineRule="auto"/>
    </w:pPr>
    <w:tblPr>
      <w:tblStyleRowBandSize w:val="1"/>
      <w:tblStyleColBandSize w:val="1"/>
      <w:tblBorders>
        <w:top w:val="single" w:sz="8" w:space="0" w:color="465D6D" w:themeColor="accent1" w:themeTint="BF"/>
        <w:left w:val="single" w:sz="8" w:space="0" w:color="465D6D" w:themeColor="accent1" w:themeTint="BF"/>
        <w:bottom w:val="single" w:sz="8" w:space="0" w:color="465D6D" w:themeColor="accent1" w:themeTint="BF"/>
        <w:right w:val="single" w:sz="8" w:space="0" w:color="465D6D" w:themeColor="accent1" w:themeTint="BF"/>
        <w:insideH w:val="single" w:sz="8" w:space="0" w:color="465D6D" w:themeColor="accent1" w:themeTint="BF"/>
      </w:tblBorders>
    </w:tblPr>
    <w:tblStylePr w:type="firstRow">
      <w:pPr>
        <w:spacing w:before="0" w:after="0" w:line="240" w:lineRule="auto"/>
      </w:pPr>
      <w:rPr>
        <w:b/>
        <w:bCs/>
        <w:color w:val="FFFFFF" w:themeColor="background1"/>
      </w:rPr>
      <w:tblPr/>
      <w:tcPr>
        <w:tcBorders>
          <w:top w:val="single" w:sz="8" w:space="0" w:color="465D6D" w:themeColor="accent1" w:themeTint="BF"/>
          <w:left w:val="single" w:sz="8" w:space="0" w:color="465D6D" w:themeColor="accent1" w:themeTint="BF"/>
          <w:bottom w:val="single" w:sz="8" w:space="0" w:color="465D6D" w:themeColor="accent1" w:themeTint="BF"/>
          <w:right w:val="single" w:sz="8" w:space="0" w:color="465D6D" w:themeColor="accent1" w:themeTint="BF"/>
          <w:insideH w:val="nil"/>
          <w:insideV w:val="nil"/>
        </w:tcBorders>
        <w:shd w:val="clear" w:color="auto" w:fill="1B242A" w:themeFill="accent1"/>
      </w:tcPr>
    </w:tblStylePr>
    <w:tblStylePr w:type="lastRow">
      <w:pPr>
        <w:spacing w:before="0" w:after="0" w:line="240" w:lineRule="auto"/>
      </w:pPr>
      <w:rPr>
        <w:b/>
        <w:bCs/>
      </w:rPr>
      <w:tblPr/>
      <w:tcPr>
        <w:tcBorders>
          <w:top w:val="double" w:sz="6" w:space="0" w:color="465D6D" w:themeColor="accent1" w:themeTint="BF"/>
          <w:left w:val="single" w:sz="8" w:space="0" w:color="465D6D" w:themeColor="accent1" w:themeTint="BF"/>
          <w:bottom w:val="single" w:sz="8" w:space="0" w:color="465D6D" w:themeColor="accent1" w:themeTint="BF"/>
          <w:right w:val="single" w:sz="8" w:space="0" w:color="465D6D" w:themeColor="accent1" w:themeTint="BF"/>
          <w:insideH w:val="nil"/>
          <w:insideV w:val="nil"/>
        </w:tcBorders>
      </w:tcPr>
    </w:tblStylePr>
    <w:tblStylePr w:type="firstCol">
      <w:rPr>
        <w:b/>
        <w:bCs/>
      </w:rPr>
    </w:tblStylePr>
    <w:tblStylePr w:type="lastCol">
      <w:rPr>
        <w:b/>
        <w:bCs/>
      </w:rPr>
    </w:tblStylePr>
    <w:tblStylePr w:type="band1Vert">
      <w:tblPr/>
      <w:tcPr>
        <w:shd w:val="clear" w:color="auto" w:fill="BCCAD4" w:themeFill="accent1" w:themeFillTint="3F"/>
      </w:tcPr>
    </w:tblStylePr>
    <w:tblStylePr w:type="band1Horz">
      <w:tblPr/>
      <w:tcPr>
        <w:tcBorders>
          <w:insideH w:val="nil"/>
          <w:insideV w:val="nil"/>
        </w:tcBorders>
        <w:shd w:val="clear" w:color="auto" w:fill="BCCAD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E45C9C"/>
    <w:pPr>
      <w:spacing w:before="0" w:after="0" w:line="240" w:lineRule="auto"/>
    </w:pPr>
    <w:tblPr>
      <w:tblStyleRowBandSize w:val="1"/>
      <w:tblStyleColBandSize w:val="1"/>
      <w:tblBorders>
        <w:top w:val="single" w:sz="8" w:space="0" w:color="00C6E4" w:themeColor="accent2" w:themeTint="BF"/>
        <w:left w:val="single" w:sz="8" w:space="0" w:color="00C6E4" w:themeColor="accent2" w:themeTint="BF"/>
        <w:bottom w:val="single" w:sz="8" w:space="0" w:color="00C6E4" w:themeColor="accent2" w:themeTint="BF"/>
        <w:right w:val="single" w:sz="8" w:space="0" w:color="00C6E4" w:themeColor="accent2" w:themeTint="BF"/>
        <w:insideH w:val="single" w:sz="8" w:space="0" w:color="00C6E4" w:themeColor="accent2" w:themeTint="BF"/>
      </w:tblBorders>
    </w:tblPr>
    <w:tblStylePr w:type="firstRow">
      <w:pPr>
        <w:spacing w:before="0" w:after="0" w:line="240" w:lineRule="auto"/>
      </w:pPr>
      <w:rPr>
        <w:b/>
        <w:bCs/>
        <w:color w:val="FFFFFF" w:themeColor="background1"/>
      </w:rPr>
      <w:tblPr/>
      <w:tcPr>
        <w:tcBorders>
          <w:top w:val="single" w:sz="8" w:space="0" w:color="00C6E4" w:themeColor="accent2" w:themeTint="BF"/>
          <w:left w:val="single" w:sz="8" w:space="0" w:color="00C6E4" w:themeColor="accent2" w:themeTint="BF"/>
          <w:bottom w:val="single" w:sz="8" w:space="0" w:color="00C6E4" w:themeColor="accent2" w:themeTint="BF"/>
          <w:right w:val="single" w:sz="8" w:space="0" w:color="00C6E4" w:themeColor="accent2" w:themeTint="BF"/>
          <w:insideH w:val="nil"/>
          <w:insideV w:val="nil"/>
        </w:tcBorders>
        <w:shd w:val="clear" w:color="auto" w:fill="007586" w:themeFill="accent2"/>
      </w:tcPr>
    </w:tblStylePr>
    <w:tblStylePr w:type="lastRow">
      <w:pPr>
        <w:spacing w:before="0" w:after="0" w:line="240" w:lineRule="auto"/>
      </w:pPr>
      <w:rPr>
        <w:b/>
        <w:bCs/>
      </w:rPr>
      <w:tblPr/>
      <w:tcPr>
        <w:tcBorders>
          <w:top w:val="double" w:sz="6" w:space="0" w:color="00C6E4" w:themeColor="accent2" w:themeTint="BF"/>
          <w:left w:val="single" w:sz="8" w:space="0" w:color="00C6E4" w:themeColor="accent2" w:themeTint="BF"/>
          <w:bottom w:val="single" w:sz="8" w:space="0" w:color="00C6E4" w:themeColor="accent2" w:themeTint="BF"/>
          <w:right w:val="single" w:sz="8" w:space="0" w:color="00C6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A2F2FF" w:themeFill="accent2" w:themeFillTint="3F"/>
      </w:tcPr>
    </w:tblStylePr>
    <w:tblStylePr w:type="band1Horz">
      <w:tblPr/>
      <w:tcPr>
        <w:tcBorders>
          <w:insideH w:val="nil"/>
          <w:insideV w:val="nil"/>
        </w:tcBorders>
        <w:shd w:val="clear" w:color="auto" w:fill="A2F2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E45C9C"/>
    <w:pPr>
      <w:spacing w:before="0" w:after="0" w:line="240" w:lineRule="auto"/>
    </w:pPr>
    <w:tblPr>
      <w:tblStyleRowBandSize w:val="1"/>
      <w:tblStyleColBandSize w:val="1"/>
      <w:tblBorders>
        <w:top w:val="single" w:sz="8" w:space="0" w:color="83CAF0" w:themeColor="accent3" w:themeTint="BF"/>
        <w:left w:val="single" w:sz="8" w:space="0" w:color="83CAF0" w:themeColor="accent3" w:themeTint="BF"/>
        <w:bottom w:val="single" w:sz="8" w:space="0" w:color="83CAF0" w:themeColor="accent3" w:themeTint="BF"/>
        <w:right w:val="single" w:sz="8" w:space="0" w:color="83CAF0" w:themeColor="accent3" w:themeTint="BF"/>
        <w:insideH w:val="single" w:sz="8" w:space="0" w:color="83CAF0" w:themeColor="accent3" w:themeTint="BF"/>
      </w:tblBorders>
    </w:tblPr>
    <w:tblStylePr w:type="firstRow">
      <w:pPr>
        <w:spacing w:before="0" w:after="0" w:line="240" w:lineRule="auto"/>
      </w:pPr>
      <w:rPr>
        <w:b/>
        <w:bCs/>
        <w:color w:val="FFFFFF" w:themeColor="background1"/>
      </w:rPr>
      <w:tblPr/>
      <w:tcPr>
        <w:tcBorders>
          <w:top w:val="single" w:sz="8" w:space="0" w:color="83CAF0" w:themeColor="accent3" w:themeTint="BF"/>
          <w:left w:val="single" w:sz="8" w:space="0" w:color="83CAF0" w:themeColor="accent3" w:themeTint="BF"/>
          <w:bottom w:val="single" w:sz="8" w:space="0" w:color="83CAF0" w:themeColor="accent3" w:themeTint="BF"/>
          <w:right w:val="single" w:sz="8" w:space="0" w:color="83CAF0" w:themeColor="accent3" w:themeTint="BF"/>
          <w:insideH w:val="nil"/>
          <w:insideV w:val="nil"/>
        </w:tcBorders>
        <w:shd w:val="clear" w:color="auto" w:fill="5AB9EB" w:themeFill="accent3"/>
      </w:tcPr>
    </w:tblStylePr>
    <w:tblStylePr w:type="lastRow">
      <w:pPr>
        <w:spacing w:before="0" w:after="0" w:line="240" w:lineRule="auto"/>
      </w:pPr>
      <w:rPr>
        <w:b/>
        <w:bCs/>
      </w:rPr>
      <w:tblPr/>
      <w:tcPr>
        <w:tcBorders>
          <w:top w:val="double" w:sz="6" w:space="0" w:color="83CAF0" w:themeColor="accent3" w:themeTint="BF"/>
          <w:left w:val="single" w:sz="8" w:space="0" w:color="83CAF0" w:themeColor="accent3" w:themeTint="BF"/>
          <w:bottom w:val="single" w:sz="8" w:space="0" w:color="83CAF0" w:themeColor="accent3" w:themeTint="BF"/>
          <w:right w:val="single" w:sz="8" w:space="0" w:color="83CAF0"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EDFA" w:themeFill="accent3" w:themeFillTint="3F"/>
      </w:tcPr>
    </w:tblStylePr>
    <w:tblStylePr w:type="band1Horz">
      <w:tblPr/>
      <w:tcPr>
        <w:tcBorders>
          <w:insideH w:val="nil"/>
          <w:insideV w:val="nil"/>
        </w:tcBorders>
        <w:shd w:val="clear" w:color="auto" w:fill="D5ED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E45C9C"/>
    <w:pPr>
      <w:spacing w:before="0" w:after="0" w:line="240" w:lineRule="auto"/>
    </w:pPr>
    <w:tblPr>
      <w:tblStyleRowBandSize w:val="1"/>
      <w:tblStyleColBandSize w:val="1"/>
      <w:tblBorders>
        <w:top w:val="single" w:sz="8" w:space="0" w:color="0078F1" w:themeColor="accent4" w:themeTint="BF"/>
        <w:left w:val="single" w:sz="8" w:space="0" w:color="0078F1" w:themeColor="accent4" w:themeTint="BF"/>
        <w:bottom w:val="single" w:sz="8" w:space="0" w:color="0078F1" w:themeColor="accent4" w:themeTint="BF"/>
        <w:right w:val="single" w:sz="8" w:space="0" w:color="0078F1" w:themeColor="accent4" w:themeTint="BF"/>
        <w:insideH w:val="single" w:sz="8" w:space="0" w:color="0078F1" w:themeColor="accent4" w:themeTint="BF"/>
      </w:tblBorders>
    </w:tblPr>
    <w:tblStylePr w:type="firstRow">
      <w:pPr>
        <w:spacing w:before="0" w:after="0" w:line="240" w:lineRule="auto"/>
      </w:pPr>
      <w:rPr>
        <w:b/>
        <w:bCs/>
        <w:color w:val="FFFFFF" w:themeColor="background1"/>
      </w:rPr>
      <w:tblPr/>
      <w:tcPr>
        <w:tcBorders>
          <w:top w:val="single" w:sz="8" w:space="0" w:color="0078F1" w:themeColor="accent4" w:themeTint="BF"/>
          <w:left w:val="single" w:sz="8" w:space="0" w:color="0078F1" w:themeColor="accent4" w:themeTint="BF"/>
          <w:bottom w:val="single" w:sz="8" w:space="0" w:color="0078F1" w:themeColor="accent4" w:themeTint="BF"/>
          <w:right w:val="single" w:sz="8" w:space="0" w:color="0078F1" w:themeColor="accent4" w:themeTint="BF"/>
          <w:insideH w:val="nil"/>
          <w:insideV w:val="nil"/>
        </w:tcBorders>
        <w:shd w:val="clear" w:color="auto" w:fill="004C97" w:themeFill="accent4"/>
      </w:tcPr>
    </w:tblStylePr>
    <w:tblStylePr w:type="lastRow">
      <w:pPr>
        <w:spacing w:before="0" w:after="0" w:line="240" w:lineRule="auto"/>
      </w:pPr>
      <w:rPr>
        <w:b/>
        <w:bCs/>
      </w:rPr>
      <w:tblPr/>
      <w:tcPr>
        <w:tcBorders>
          <w:top w:val="double" w:sz="6" w:space="0" w:color="0078F1" w:themeColor="accent4" w:themeTint="BF"/>
          <w:left w:val="single" w:sz="8" w:space="0" w:color="0078F1" w:themeColor="accent4" w:themeTint="BF"/>
          <w:bottom w:val="single" w:sz="8" w:space="0" w:color="0078F1" w:themeColor="accent4" w:themeTint="BF"/>
          <w:right w:val="single" w:sz="8" w:space="0" w:color="0078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4" w:themeFillTint="3F"/>
      </w:tcPr>
    </w:tblStylePr>
    <w:tblStylePr w:type="band1Horz">
      <w:tblPr/>
      <w:tcPr>
        <w:tcBorders>
          <w:insideH w:val="nil"/>
          <w:insideV w:val="nil"/>
        </w:tcBorders>
        <w:shd w:val="clear" w:color="auto" w:fill="A6D2FF"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E45C9C"/>
    <w:pPr>
      <w:spacing w:before="0" w:after="0" w:line="240" w:lineRule="auto"/>
    </w:pPr>
    <w:tblPr>
      <w:tblStyleRowBandSize w:val="1"/>
      <w:tblStyleColBandSize w:val="1"/>
      <w:tblBorders>
        <w:top w:val="single" w:sz="8" w:space="0" w:color="83BF8A" w:themeColor="accent5" w:themeTint="BF"/>
        <w:left w:val="single" w:sz="8" w:space="0" w:color="83BF8A" w:themeColor="accent5" w:themeTint="BF"/>
        <w:bottom w:val="single" w:sz="8" w:space="0" w:color="83BF8A" w:themeColor="accent5" w:themeTint="BF"/>
        <w:right w:val="single" w:sz="8" w:space="0" w:color="83BF8A" w:themeColor="accent5" w:themeTint="BF"/>
        <w:insideH w:val="single" w:sz="8" w:space="0" w:color="83BF8A" w:themeColor="accent5" w:themeTint="BF"/>
      </w:tblBorders>
    </w:tblPr>
    <w:tblStylePr w:type="firstRow">
      <w:pPr>
        <w:spacing w:before="0" w:after="0" w:line="240" w:lineRule="auto"/>
      </w:pPr>
      <w:rPr>
        <w:b/>
        <w:bCs/>
        <w:color w:val="FFFFFF" w:themeColor="background1"/>
      </w:rPr>
      <w:tblPr/>
      <w:tcPr>
        <w:tcBorders>
          <w:top w:val="single" w:sz="8" w:space="0" w:color="83BF8A" w:themeColor="accent5" w:themeTint="BF"/>
          <w:left w:val="single" w:sz="8" w:space="0" w:color="83BF8A" w:themeColor="accent5" w:themeTint="BF"/>
          <w:bottom w:val="single" w:sz="8" w:space="0" w:color="83BF8A" w:themeColor="accent5" w:themeTint="BF"/>
          <w:right w:val="single" w:sz="8" w:space="0" w:color="83BF8A" w:themeColor="accent5" w:themeTint="BF"/>
          <w:insideH w:val="nil"/>
          <w:insideV w:val="nil"/>
        </w:tcBorders>
        <w:shd w:val="clear" w:color="auto" w:fill="5AAA64" w:themeFill="accent5"/>
      </w:tcPr>
    </w:tblStylePr>
    <w:tblStylePr w:type="lastRow">
      <w:pPr>
        <w:spacing w:before="0" w:after="0" w:line="240" w:lineRule="auto"/>
      </w:pPr>
      <w:rPr>
        <w:b/>
        <w:bCs/>
      </w:rPr>
      <w:tblPr/>
      <w:tcPr>
        <w:tcBorders>
          <w:top w:val="double" w:sz="6" w:space="0" w:color="83BF8A" w:themeColor="accent5" w:themeTint="BF"/>
          <w:left w:val="single" w:sz="8" w:space="0" w:color="83BF8A" w:themeColor="accent5" w:themeTint="BF"/>
          <w:bottom w:val="single" w:sz="8" w:space="0" w:color="83BF8A" w:themeColor="accent5" w:themeTint="BF"/>
          <w:right w:val="single" w:sz="8" w:space="0" w:color="83BF8A"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AD8" w:themeFill="accent5" w:themeFillTint="3F"/>
      </w:tcPr>
    </w:tblStylePr>
    <w:tblStylePr w:type="band1Horz">
      <w:tblPr/>
      <w:tcPr>
        <w:tcBorders>
          <w:insideH w:val="nil"/>
          <w:insideV w:val="nil"/>
        </w:tcBorders>
        <w:shd w:val="clear" w:color="auto" w:fill="D6EAD8"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E45C9C"/>
    <w:pPr>
      <w:spacing w:before="0" w:after="0" w:line="240" w:lineRule="auto"/>
    </w:pPr>
    <w:tblPr>
      <w:tblStyleRowBandSize w:val="1"/>
      <w:tblStyleColBandSize w:val="1"/>
      <w:tblBorders>
        <w:top w:val="single" w:sz="8" w:space="0" w:color="EC8A6C" w:themeColor="accent6" w:themeTint="BF"/>
        <w:left w:val="single" w:sz="8" w:space="0" w:color="EC8A6C" w:themeColor="accent6" w:themeTint="BF"/>
        <w:bottom w:val="single" w:sz="8" w:space="0" w:color="EC8A6C" w:themeColor="accent6" w:themeTint="BF"/>
        <w:right w:val="single" w:sz="8" w:space="0" w:color="EC8A6C" w:themeColor="accent6" w:themeTint="BF"/>
        <w:insideH w:val="single" w:sz="8" w:space="0" w:color="EC8A6C" w:themeColor="accent6" w:themeTint="BF"/>
      </w:tblBorders>
    </w:tblPr>
    <w:tblStylePr w:type="firstRow">
      <w:pPr>
        <w:spacing w:before="0" w:after="0" w:line="240" w:lineRule="auto"/>
      </w:pPr>
      <w:rPr>
        <w:b/>
        <w:bCs/>
        <w:color w:val="FFFFFF" w:themeColor="background1"/>
      </w:rPr>
      <w:tblPr/>
      <w:tcPr>
        <w:tcBorders>
          <w:top w:val="single" w:sz="8" w:space="0" w:color="EC8A6C" w:themeColor="accent6" w:themeTint="BF"/>
          <w:left w:val="single" w:sz="8" w:space="0" w:color="EC8A6C" w:themeColor="accent6" w:themeTint="BF"/>
          <w:bottom w:val="single" w:sz="8" w:space="0" w:color="EC8A6C" w:themeColor="accent6" w:themeTint="BF"/>
          <w:right w:val="single" w:sz="8" w:space="0" w:color="EC8A6C" w:themeColor="accent6" w:themeTint="BF"/>
          <w:insideH w:val="nil"/>
          <w:insideV w:val="nil"/>
        </w:tcBorders>
        <w:shd w:val="clear" w:color="auto" w:fill="E6643C" w:themeFill="accent6"/>
      </w:tcPr>
    </w:tblStylePr>
    <w:tblStylePr w:type="lastRow">
      <w:pPr>
        <w:spacing w:before="0" w:after="0" w:line="240" w:lineRule="auto"/>
      </w:pPr>
      <w:rPr>
        <w:b/>
        <w:bCs/>
      </w:rPr>
      <w:tblPr/>
      <w:tcPr>
        <w:tcBorders>
          <w:top w:val="double" w:sz="6" w:space="0" w:color="EC8A6C" w:themeColor="accent6" w:themeTint="BF"/>
          <w:left w:val="single" w:sz="8" w:space="0" w:color="EC8A6C" w:themeColor="accent6" w:themeTint="BF"/>
          <w:bottom w:val="single" w:sz="8" w:space="0" w:color="EC8A6C" w:themeColor="accent6" w:themeTint="BF"/>
          <w:right w:val="single" w:sz="8" w:space="0" w:color="EC8A6C" w:themeColor="accent6" w:themeTint="BF"/>
          <w:insideH w:val="nil"/>
          <w:insideV w:val="nil"/>
        </w:tcBorders>
      </w:tcPr>
    </w:tblStylePr>
    <w:tblStylePr w:type="firstCol">
      <w:rPr>
        <w:b/>
        <w:bCs/>
      </w:rPr>
    </w:tblStylePr>
    <w:tblStylePr w:type="lastCol">
      <w:rPr>
        <w:b/>
        <w:bCs/>
      </w:rPr>
    </w:tblStylePr>
    <w:tblStylePr w:type="band1Vert">
      <w:tblPr/>
      <w:tcPr>
        <w:shd w:val="clear" w:color="auto" w:fill="F8D8CE" w:themeFill="accent6" w:themeFillTint="3F"/>
      </w:tcPr>
    </w:tblStylePr>
    <w:tblStylePr w:type="band1Horz">
      <w:tblPr/>
      <w:tcPr>
        <w:tcBorders>
          <w:insideH w:val="nil"/>
          <w:insideV w:val="nil"/>
        </w:tcBorders>
        <w:shd w:val="clear" w:color="auto" w:fill="F8D8CE"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E45C9C"/>
    <w:pPr>
      <w:spacing w:before="0"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E45C9C"/>
    <w:pPr>
      <w:spacing w:before="0"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B242A"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B242A" w:themeFill="accent1"/>
      </w:tcPr>
    </w:tblStylePr>
    <w:tblStylePr w:type="lastCol">
      <w:rPr>
        <w:b/>
        <w:bCs/>
        <w:color w:val="FFFFFF" w:themeColor="background1"/>
      </w:rPr>
      <w:tblPr/>
      <w:tcPr>
        <w:tcBorders>
          <w:left w:val="nil"/>
          <w:right w:val="nil"/>
          <w:insideH w:val="nil"/>
          <w:insideV w:val="nil"/>
        </w:tcBorders>
        <w:shd w:val="clear" w:color="auto" w:fill="1B242A"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E45C9C"/>
    <w:pPr>
      <w:spacing w:before="0"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586"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586" w:themeFill="accent2"/>
      </w:tcPr>
    </w:tblStylePr>
    <w:tblStylePr w:type="lastCol">
      <w:rPr>
        <w:b/>
        <w:bCs/>
        <w:color w:val="FFFFFF" w:themeColor="background1"/>
      </w:rPr>
      <w:tblPr/>
      <w:tcPr>
        <w:tcBorders>
          <w:left w:val="nil"/>
          <w:right w:val="nil"/>
          <w:insideH w:val="nil"/>
          <w:insideV w:val="nil"/>
        </w:tcBorders>
        <w:shd w:val="clear" w:color="auto" w:fill="007586"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E45C9C"/>
    <w:pPr>
      <w:spacing w:before="0"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AB9EB"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AB9EB" w:themeFill="accent3"/>
      </w:tcPr>
    </w:tblStylePr>
    <w:tblStylePr w:type="lastCol">
      <w:rPr>
        <w:b/>
        <w:bCs/>
        <w:color w:val="FFFFFF" w:themeColor="background1"/>
      </w:rPr>
      <w:tblPr/>
      <w:tcPr>
        <w:tcBorders>
          <w:left w:val="nil"/>
          <w:right w:val="nil"/>
          <w:insideH w:val="nil"/>
          <w:insideV w:val="nil"/>
        </w:tcBorders>
        <w:shd w:val="clear" w:color="auto" w:fill="5AB9EB"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E45C9C"/>
    <w:pPr>
      <w:spacing w:before="0"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4"/>
      </w:tcPr>
    </w:tblStylePr>
    <w:tblStylePr w:type="lastCol">
      <w:rPr>
        <w:b/>
        <w:bCs/>
        <w:color w:val="FFFFFF" w:themeColor="background1"/>
      </w:rPr>
      <w:tblPr/>
      <w:tcPr>
        <w:tcBorders>
          <w:left w:val="nil"/>
          <w:right w:val="nil"/>
          <w:insideH w:val="nil"/>
          <w:insideV w:val="nil"/>
        </w:tcBorders>
        <w:shd w:val="clear" w:color="auto" w:fill="004C9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E45C9C"/>
    <w:pPr>
      <w:spacing w:before="0"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AAA6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AAA64" w:themeFill="accent5"/>
      </w:tcPr>
    </w:tblStylePr>
    <w:tblStylePr w:type="lastCol">
      <w:rPr>
        <w:b/>
        <w:bCs/>
        <w:color w:val="FFFFFF" w:themeColor="background1"/>
      </w:rPr>
      <w:tblPr/>
      <w:tcPr>
        <w:tcBorders>
          <w:left w:val="nil"/>
          <w:right w:val="nil"/>
          <w:insideH w:val="nil"/>
          <w:insideV w:val="nil"/>
        </w:tcBorders>
        <w:shd w:val="clear" w:color="auto" w:fill="5AAA6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E45C9C"/>
    <w:pPr>
      <w:spacing w:before="0"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6643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6643C" w:themeFill="accent6"/>
      </w:tcPr>
    </w:tblStylePr>
    <w:tblStylePr w:type="lastCol">
      <w:rPr>
        <w:b/>
        <w:bCs/>
        <w:color w:val="FFFFFF" w:themeColor="background1"/>
      </w:rPr>
      <w:tblPr/>
      <w:tcPr>
        <w:tcBorders>
          <w:left w:val="nil"/>
          <w:right w:val="nil"/>
          <w:insideH w:val="nil"/>
          <w:insideV w:val="nil"/>
        </w:tcBorders>
        <w:shd w:val="clear" w:color="auto" w:fill="E6643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E45C9C"/>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E45C9C"/>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E45C9C"/>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E45C9C"/>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E45C9C"/>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semiHidden/>
    <w:rsid w:val="00E45C9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SCVpullouttext">
    <w:name w:val="SCV pullout text"/>
    <w:basedOn w:val="SCVbody"/>
    <w:uiPriority w:val="13"/>
    <w:qFormat/>
    <w:rsid w:val="00E45C9C"/>
    <w:pPr>
      <w:spacing w:after="120"/>
    </w:pPr>
    <w:rPr>
      <w:color w:val="007586" w:themeColor="text2"/>
    </w:rPr>
  </w:style>
  <w:style w:type="paragraph" w:customStyle="1" w:styleId="SCVpulloutheading">
    <w:name w:val="SCV pullout heading"/>
    <w:basedOn w:val="SCVpullouttext"/>
    <w:next w:val="SCVpullouttext"/>
    <w:uiPriority w:val="13"/>
    <w:qFormat/>
    <w:rsid w:val="00E45C9C"/>
    <w:pPr>
      <w:keepNext/>
      <w:keepLines/>
      <w:spacing w:line="240" w:lineRule="auto"/>
    </w:pPr>
    <w:rPr>
      <w:rFonts w:asciiTheme="majorHAnsi" w:hAnsiTheme="majorHAnsi"/>
      <w:b/>
      <w:sz w:val="24"/>
    </w:rPr>
  </w:style>
  <w:style w:type="table" w:customStyle="1" w:styleId="SCVInformationTable">
    <w:name w:val="SCV Information Table"/>
    <w:basedOn w:val="TableNormal"/>
    <w:rsid w:val="00E45C9C"/>
    <w:pPr>
      <w:spacing w:before="0" w:line="288" w:lineRule="auto"/>
    </w:pPr>
    <w:tblPr>
      <w:tblCellMar>
        <w:top w:w="284" w:type="dxa"/>
        <w:left w:w="284" w:type="dxa"/>
        <w:bottom w:w="284" w:type="dxa"/>
        <w:right w:w="284" w:type="dxa"/>
      </w:tblCellMar>
    </w:tblPr>
    <w:tcPr>
      <w:shd w:val="clear" w:color="auto" w:fill="F2F2F2" w:themeFill="background1" w:themeFillShade="F2"/>
    </w:tcPr>
  </w:style>
  <w:style w:type="paragraph" w:styleId="NormalWeb">
    <w:name w:val="Normal (Web)"/>
    <w:basedOn w:val="Normal"/>
    <w:uiPriority w:val="99"/>
    <w:semiHidden/>
    <w:rsid w:val="00E45C9C"/>
    <w:pPr>
      <w:spacing w:before="0" w:after="0" w:line="260" w:lineRule="atLeast"/>
    </w:pPr>
    <w:rPr>
      <w:rFonts w:eastAsia="Times New Roman" w:cs="Times New Roman"/>
      <w:color w:val="000000" w:themeColor="text1"/>
      <w:szCs w:val="24"/>
    </w:rPr>
  </w:style>
  <w:style w:type="character" w:customStyle="1" w:styleId="Heading5Char">
    <w:name w:val="Heading 5 Char"/>
    <w:basedOn w:val="DefaultParagraphFont"/>
    <w:link w:val="Heading5"/>
    <w:uiPriority w:val="1"/>
    <w:semiHidden/>
    <w:rsid w:val="00E45C9C"/>
    <w:rPr>
      <w:rFonts w:asciiTheme="majorHAnsi" w:eastAsiaTheme="majorEastAsia" w:hAnsiTheme="majorHAnsi" w:cstheme="majorBidi"/>
      <w:color w:val="141A1F" w:themeColor="accent1" w:themeShade="BF"/>
    </w:rPr>
  </w:style>
  <w:style w:type="paragraph" w:customStyle="1" w:styleId="SCVnumberloweralphaindent">
    <w:name w:val="SCV number lower alpha indent"/>
    <w:basedOn w:val="SCVbody"/>
    <w:uiPriority w:val="29"/>
    <w:rsid w:val="00E45C9C"/>
    <w:pPr>
      <w:numPr>
        <w:ilvl w:val="1"/>
        <w:numId w:val="8"/>
      </w:numPr>
      <w:spacing w:before="60" w:after="60"/>
    </w:pPr>
    <w:rPr>
      <w:rFonts w:eastAsia="Times New Roman" w:cstheme="minorHAnsi"/>
      <w:lang w:eastAsia="en-US"/>
    </w:rPr>
  </w:style>
  <w:style w:type="paragraph" w:customStyle="1" w:styleId="SCVtablebody">
    <w:name w:val="SCV table body"/>
    <w:qFormat/>
    <w:rsid w:val="00E45C9C"/>
    <w:pPr>
      <w:spacing w:before="80" w:after="60" w:line="240" w:lineRule="atLeast"/>
    </w:pPr>
    <w:rPr>
      <w:rFonts w:eastAsia="Times New Roman" w:cstheme="minorHAnsi"/>
      <w:sz w:val="18"/>
      <w:szCs w:val="21"/>
      <w:lang w:eastAsia="en-US"/>
    </w:rPr>
  </w:style>
  <w:style w:type="paragraph" w:customStyle="1" w:styleId="SCVnumberdigit">
    <w:name w:val="SCV number digit"/>
    <w:basedOn w:val="SCVbody"/>
    <w:uiPriority w:val="29"/>
    <w:rsid w:val="005C07D3"/>
    <w:pPr>
      <w:numPr>
        <w:numId w:val="8"/>
      </w:numPr>
      <w:spacing w:before="60" w:after="60"/>
    </w:pPr>
    <w:rPr>
      <w:rFonts w:eastAsia="Times New Roman" w:cstheme="minorHAnsi"/>
      <w:lang w:eastAsia="en-US"/>
    </w:rPr>
  </w:style>
  <w:style w:type="paragraph" w:customStyle="1" w:styleId="SCVtablecolhead">
    <w:name w:val="SCV table col head"/>
    <w:uiPriority w:val="3"/>
    <w:qFormat/>
    <w:rsid w:val="00E45C9C"/>
    <w:pPr>
      <w:keepNext/>
      <w:keepLines/>
      <w:spacing w:before="80" w:after="60" w:line="240" w:lineRule="auto"/>
    </w:pPr>
    <w:rPr>
      <w:rFonts w:eastAsia="Times New Roman" w:cstheme="minorHAnsi"/>
      <w:b/>
      <w:color w:val="007586" w:themeColor="text2"/>
      <w:sz w:val="18"/>
      <w:szCs w:val="18"/>
      <w:lang w:eastAsia="en-US"/>
    </w:rPr>
  </w:style>
  <w:style w:type="paragraph" w:customStyle="1" w:styleId="SCVbodyaftertablefigure">
    <w:name w:val="SCV body after table/figure"/>
    <w:basedOn w:val="SCVbody"/>
    <w:next w:val="SCVbody"/>
    <w:uiPriority w:val="24"/>
    <w:rsid w:val="00E45C9C"/>
    <w:pPr>
      <w:spacing w:before="240"/>
    </w:pPr>
    <w:rPr>
      <w:rFonts w:eastAsia="Times New Roman" w:cstheme="minorHAnsi"/>
      <w:lang w:eastAsia="en-US"/>
    </w:rPr>
  </w:style>
  <w:style w:type="paragraph" w:customStyle="1" w:styleId="SCVquote">
    <w:name w:val="SCV quote"/>
    <w:basedOn w:val="SCVbody"/>
    <w:uiPriority w:val="29"/>
    <w:rsid w:val="00E45C9C"/>
    <w:pPr>
      <w:ind w:left="397"/>
    </w:pPr>
    <w:rPr>
      <w:rFonts w:eastAsia="Times New Roman" w:cstheme="minorHAnsi"/>
      <w:color w:val="007586" w:themeColor="text2"/>
      <w:szCs w:val="18"/>
      <w:lang w:eastAsia="en-US"/>
    </w:rPr>
  </w:style>
  <w:style w:type="numbering" w:customStyle="1" w:styleId="ZZBulletsafternumbers">
    <w:name w:val="ZZ Bullets after numbers"/>
    <w:basedOn w:val="NoList"/>
    <w:uiPriority w:val="99"/>
    <w:rsid w:val="00E45C9C"/>
    <w:pPr>
      <w:numPr>
        <w:numId w:val="7"/>
      </w:numPr>
    </w:pPr>
  </w:style>
  <w:style w:type="paragraph" w:customStyle="1" w:styleId="SCVbulletafternumbers">
    <w:name w:val="SCV bullet after numbers"/>
    <w:basedOn w:val="SCVbody"/>
    <w:uiPriority w:val="24"/>
    <w:rsid w:val="00E45C9C"/>
    <w:pPr>
      <w:numPr>
        <w:ilvl w:val="1"/>
        <w:numId w:val="7"/>
      </w:numPr>
      <w:spacing w:before="60" w:after="60"/>
    </w:pPr>
  </w:style>
  <w:style w:type="paragraph" w:customStyle="1" w:styleId="SCVquotebullet1">
    <w:name w:val="SCV quote bullet 1"/>
    <w:basedOn w:val="SCVquote"/>
    <w:uiPriority w:val="29"/>
    <w:rsid w:val="000B7B42"/>
    <w:pPr>
      <w:numPr>
        <w:numId w:val="10"/>
      </w:numPr>
      <w:spacing w:before="60" w:after="60"/>
    </w:pPr>
  </w:style>
  <w:style w:type="paragraph" w:customStyle="1" w:styleId="SCVquotebullet2">
    <w:name w:val="SCV quote bullet 2"/>
    <w:basedOn w:val="SCVquote"/>
    <w:uiPriority w:val="29"/>
    <w:rsid w:val="000B7B42"/>
    <w:pPr>
      <w:numPr>
        <w:ilvl w:val="1"/>
        <w:numId w:val="10"/>
      </w:numPr>
      <w:spacing w:before="60" w:after="60"/>
    </w:pPr>
  </w:style>
  <w:style w:type="paragraph" w:customStyle="1" w:styleId="SCVtablebullet1">
    <w:name w:val="SCV table bullet 1"/>
    <w:basedOn w:val="SCVtablebody"/>
    <w:uiPriority w:val="23"/>
    <w:qFormat/>
    <w:rsid w:val="00E45C9C"/>
    <w:pPr>
      <w:numPr>
        <w:numId w:val="11"/>
      </w:numPr>
    </w:pPr>
    <w:rPr>
      <w:szCs w:val="18"/>
    </w:rPr>
  </w:style>
  <w:style w:type="paragraph" w:customStyle="1" w:styleId="SCVtablebullet2">
    <w:name w:val="SCV table bullet 2"/>
    <w:basedOn w:val="SCVtablebody"/>
    <w:uiPriority w:val="23"/>
    <w:rsid w:val="00E45C9C"/>
    <w:pPr>
      <w:numPr>
        <w:ilvl w:val="1"/>
        <w:numId w:val="11"/>
      </w:numPr>
    </w:pPr>
    <w:rPr>
      <w:szCs w:val="18"/>
    </w:rPr>
  </w:style>
  <w:style w:type="character" w:customStyle="1" w:styleId="SCVbodyChar">
    <w:name w:val="SCV body Char"/>
    <w:basedOn w:val="DefaultParagraphFont"/>
    <w:link w:val="SCVbody"/>
    <w:locked/>
    <w:rsid w:val="00E45C9C"/>
  </w:style>
  <w:style w:type="numbering" w:customStyle="1" w:styleId="ZZNumbersdigit">
    <w:name w:val="ZZ Numbers digit"/>
    <w:rsid w:val="00E45C9C"/>
    <w:pPr>
      <w:numPr>
        <w:numId w:val="8"/>
      </w:numPr>
    </w:pPr>
  </w:style>
  <w:style w:type="numbering" w:customStyle="1" w:styleId="ZZTablebullets">
    <w:name w:val="ZZ Table bullets"/>
    <w:rsid w:val="00E45C9C"/>
    <w:pPr>
      <w:numPr>
        <w:numId w:val="11"/>
      </w:numPr>
    </w:pPr>
  </w:style>
  <w:style w:type="numbering" w:customStyle="1" w:styleId="ZZQuotebullets">
    <w:name w:val="ZZ Quote bullets"/>
    <w:rsid w:val="000B7B42"/>
    <w:pPr>
      <w:numPr>
        <w:numId w:val="10"/>
      </w:numPr>
    </w:pPr>
  </w:style>
  <w:style w:type="paragraph" w:customStyle="1" w:styleId="SCVheader">
    <w:name w:val="SCV header"/>
    <w:basedOn w:val="Header"/>
    <w:uiPriority w:val="1"/>
    <w:rsid w:val="00E45C9C"/>
    <w:pPr>
      <w:pBdr>
        <w:bottom w:val="single" w:sz="24" w:space="1" w:color="CCCCD0"/>
      </w:pBdr>
    </w:pPr>
  </w:style>
  <w:style w:type="paragraph" w:customStyle="1" w:styleId="SCVtablerowhead">
    <w:name w:val="SCV table row head"/>
    <w:basedOn w:val="SCVtablecolhead"/>
    <w:uiPriority w:val="21"/>
    <w:qFormat/>
    <w:rsid w:val="00E45C9C"/>
    <w:rPr>
      <w:rFonts w:cs="Times New Roman"/>
    </w:rPr>
  </w:style>
  <w:style w:type="paragraph" w:customStyle="1" w:styleId="SCVaccessibilitypara">
    <w:name w:val="SCV accessibility para"/>
    <w:basedOn w:val="SCVbody"/>
    <w:uiPriority w:val="29"/>
    <w:rsid w:val="00E45C9C"/>
    <w:rPr>
      <w:sz w:val="24"/>
    </w:rPr>
  </w:style>
  <w:style w:type="character" w:styleId="UnresolvedMention">
    <w:name w:val="Unresolved Mention"/>
    <w:basedOn w:val="DefaultParagraphFont"/>
    <w:uiPriority w:val="99"/>
    <w:semiHidden/>
    <w:unhideWhenUsed/>
    <w:rsid w:val="00E45C9C"/>
    <w:rPr>
      <w:color w:val="605E5C"/>
      <w:shd w:val="clear" w:color="auto" w:fill="E1DFDD"/>
    </w:rPr>
  </w:style>
  <w:style w:type="character" w:styleId="FollowedHyperlink">
    <w:name w:val="FollowedHyperlink"/>
    <w:basedOn w:val="DefaultParagraphFont"/>
    <w:uiPriority w:val="1"/>
    <w:rsid w:val="00E45C9C"/>
    <w:rPr>
      <w:color w:val="007586" w:themeColor="text2"/>
      <w:u w:val="single"/>
    </w:rPr>
  </w:style>
  <w:style w:type="table" w:customStyle="1" w:styleId="SCVpulloutbox">
    <w:name w:val="SCV pullout box"/>
    <w:basedOn w:val="PlainTable1"/>
    <w:uiPriority w:val="99"/>
    <w:rsid w:val="00E45C9C"/>
    <w:pPr>
      <w:spacing w:before="0" w:after="120" w:line="300" w:lineRule="auto"/>
    </w:pPr>
    <w:tblP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4" w:type="dxa"/>
        <w:left w:w="284" w:type="dxa"/>
        <w:bottom w:w="113" w:type="dxa"/>
        <w:right w:w="284" w:type="dxa"/>
      </w:tblCellMar>
    </w:tblPr>
    <w:tcPr>
      <w:shd w:val="clear" w:color="auto" w:fill="EDF5F7"/>
    </w:tc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ZZTablenumbers">
    <w:name w:val="ZZ Table numbers"/>
    <w:basedOn w:val="NoList"/>
    <w:uiPriority w:val="99"/>
    <w:rsid w:val="00E45C9C"/>
    <w:pPr>
      <w:numPr>
        <w:numId w:val="12"/>
      </w:numPr>
    </w:pPr>
  </w:style>
  <w:style w:type="paragraph" w:customStyle="1" w:styleId="SCVtablenumber1">
    <w:name w:val="SCV table number 1"/>
    <w:basedOn w:val="SCVtablebody"/>
    <w:uiPriority w:val="29"/>
    <w:rsid w:val="00E45C9C"/>
    <w:pPr>
      <w:numPr>
        <w:numId w:val="12"/>
      </w:numPr>
    </w:pPr>
  </w:style>
  <w:style w:type="paragraph" w:customStyle="1" w:styleId="SCVtablenumber2">
    <w:name w:val="SCV table number 2"/>
    <w:basedOn w:val="SCVtablebody"/>
    <w:uiPriority w:val="29"/>
    <w:rsid w:val="00E45C9C"/>
    <w:pPr>
      <w:numPr>
        <w:ilvl w:val="1"/>
        <w:numId w:val="12"/>
      </w:numPr>
      <w:spacing w:before="60" w:line="192" w:lineRule="atLeast"/>
    </w:pPr>
    <w:rPr>
      <w:rFonts w:eastAsiaTheme="minorHAnsi"/>
    </w:rPr>
  </w:style>
  <w:style w:type="paragraph" w:customStyle="1" w:styleId="SCVTOCheading">
    <w:name w:val="SCV TOC heading"/>
    <w:basedOn w:val="Heading1"/>
    <w:uiPriority w:val="29"/>
    <w:rsid w:val="00E45C9C"/>
  </w:style>
  <w:style w:type="paragraph" w:customStyle="1" w:styleId="SCVprotectivemarkingbelowsubtitle">
    <w:name w:val="SCV protective marking below subtitle"/>
    <w:basedOn w:val="SCVbody"/>
    <w:uiPriority w:val="1"/>
    <w:rsid w:val="00F64CFF"/>
    <w:pPr>
      <w:spacing w:before="400" w:after="400" w:line="240" w:lineRule="auto"/>
    </w:pPr>
    <w:rPr>
      <w:caps/>
      <w:sz w:val="24"/>
      <w:szCs w:val="24"/>
    </w:rPr>
  </w:style>
  <w:style w:type="character" w:styleId="CommentReference">
    <w:name w:val="annotation reference"/>
    <w:basedOn w:val="DefaultParagraphFont"/>
    <w:uiPriority w:val="1"/>
    <w:semiHidden/>
    <w:unhideWhenUsed/>
    <w:rsid w:val="00E45C9C"/>
    <w:rPr>
      <w:sz w:val="16"/>
      <w:szCs w:val="16"/>
    </w:rPr>
  </w:style>
  <w:style w:type="paragraph" w:styleId="CommentText">
    <w:name w:val="annotation text"/>
    <w:basedOn w:val="Normal"/>
    <w:link w:val="CommentTextChar"/>
    <w:uiPriority w:val="1"/>
    <w:unhideWhenUsed/>
    <w:rsid w:val="00E45C9C"/>
    <w:pPr>
      <w:spacing w:line="240" w:lineRule="auto"/>
    </w:pPr>
  </w:style>
  <w:style w:type="character" w:customStyle="1" w:styleId="CommentTextChar">
    <w:name w:val="Comment Text Char"/>
    <w:basedOn w:val="DefaultParagraphFont"/>
    <w:link w:val="CommentText"/>
    <w:uiPriority w:val="1"/>
    <w:rsid w:val="00E45C9C"/>
  </w:style>
  <w:style w:type="paragraph" w:styleId="CommentSubject">
    <w:name w:val="annotation subject"/>
    <w:basedOn w:val="CommentText"/>
    <w:next w:val="CommentText"/>
    <w:link w:val="CommentSubjectChar"/>
    <w:uiPriority w:val="1"/>
    <w:semiHidden/>
    <w:unhideWhenUsed/>
    <w:rsid w:val="00E45C9C"/>
    <w:rPr>
      <w:b/>
      <w:bCs/>
    </w:rPr>
  </w:style>
  <w:style w:type="character" w:customStyle="1" w:styleId="CommentSubjectChar">
    <w:name w:val="Comment Subject Char"/>
    <w:basedOn w:val="CommentTextChar"/>
    <w:link w:val="CommentSubject"/>
    <w:uiPriority w:val="1"/>
    <w:semiHidden/>
    <w:rsid w:val="00E45C9C"/>
    <w:rPr>
      <w:b/>
      <w:bCs/>
    </w:rPr>
  </w:style>
  <w:style w:type="paragraph" w:styleId="Revision">
    <w:name w:val="Revision"/>
    <w:hidden/>
    <w:uiPriority w:val="99"/>
    <w:semiHidden/>
    <w:rsid w:val="005416D7"/>
    <w:pPr>
      <w:spacing w:before="0" w:after="0" w:line="240" w:lineRule="auto"/>
    </w:pPr>
  </w:style>
  <w:style w:type="paragraph" w:customStyle="1" w:styleId="SCVimprint">
    <w:name w:val="SCV imprint"/>
    <w:basedOn w:val="SCVbody"/>
    <w:uiPriority w:val="1"/>
    <w:rsid w:val="00E45C9C"/>
    <w:pPr>
      <w:spacing w:before="0" w:after="120"/>
    </w:pPr>
    <w:rPr>
      <w:sz w:val="18"/>
      <w:szCs w:val="18"/>
    </w:rPr>
  </w:style>
  <w:style w:type="paragraph" w:customStyle="1" w:styleId="SCVpulloutbullet">
    <w:name w:val="SCV pullout bullet"/>
    <w:basedOn w:val="SCVpullouttext"/>
    <w:uiPriority w:val="1"/>
    <w:rsid w:val="00E45C9C"/>
    <w:pPr>
      <w:numPr>
        <w:numId w:val="9"/>
      </w:numPr>
      <w:spacing w:before="0"/>
    </w:pPr>
  </w:style>
  <w:style w:type="numbering" w:customStyle="1" w:styleId="ZZPulloutbullets">
    <w:name w:val="ZZ Pullout bullets"/>
    <w:basedOn w:val="NoList"/>
    <w:uiPriority w:val="99"/>
    <w:rsid w:val="00E45C9C"/>
    <w:pPr>
      <w:numPr>
        <w:numId w:val="9"/>
      </w:numPr>
    </w:pPr>
  </w:style>
  <w:style w:type="paragraph" w:customStyle="1" w:styleId="SCVdate">
    <w:name w:val="SCV date"/>
    <w:basedOn w:val="SCVbody"/>
    <w:uiPriority w:val="1"/>
    <w:rsid w:val="00E45C9C"/>
    <w:pPr>
      <w:spacing w:before="0" w:after="0"/>
    </w:pPr>
    <w:rPr>
      <w:b/>
      <w:bCs/>
      <w:sz w:val="28"/>
      <w:szCs w:val="28"/>
    </w:rPr>
  </w:style>
  <w:style w:type="paragraph" w:customStyle="1" w:styleId="SCVborderabovetitle">
    <w:name w:val="SCV border above title"/>
    <w:basedOn w:val="SCVbody"/>
    <w:uiPriority w:val="1"/>
    <w:rsid w:val="00E45C9C"/>
    <w:pPr>
      <w:pBdr>
        <w:top w:val="single" w:sz="24" w:space="1" w:color="D9D9D9" w:themeColor="background1" w:themeShade="D9"/>
      </w:pBdr>
      <w:spacing w:before="0" w:after="0"/>
    </w:pPr>
    <w:rPr>
      <w:sz w:val="12"/>
    </w:rPr>
  </w:style>
  <w:style w:type="paragraph" w:customStyle="1" w:styleId="SCVfooter">
    <w:name w:val="SCV footer"/>
    <w:basedOn w:val="Footer"/>
    <w:uiPriority w:val="99"/>
    <w:rsid w:val="00E45C9C"/>
    <w:pPr>
      <w:pBdr>
        <w:top w:val="single" w:sz="8" w:space="6" w:color="CCCCD0"/>
      </w:pBdr>
      <w:spacing w:line="240" w:lineRule="auto"/>
    </w:pPr>
    <w:rPr>
      <w:sz w:val="18"/>
    </w:rPr>
  </w:style>
  <w:style w:type="character" w:styleId="Mention">
    <w:name w:val="Mention"/>
    <w:basedOn w:val="DefaultParagraphFont"/>
    <w:uiPriority w:val="99"/>
    <w:unhideWhenUsed/>
    <w:rsid w:val="0003673E"/>
    <w:rPr>
      <w:color w:val="2B579A"/>
      <w:shd w:val="clear" w:color="auto" w:fill="E1DFDD"/>
    </w:rPr>
  </w:style>
  <w:style w:type="character" w:styleId="BookTitle">
    <w:name w:val="Book Title"/>
    <w:basedOn w:val="DefaultParagraphFont"/>
    <w:uiPriority w:val="1"/>
    <w:semiHidden/>
    <w:qFormat/>
    <w:rsid w:val="009854CB"/>
    <w:rPr>
      <w:b/>
      <w:bCs/>
      <w:i/>
      <w:iCs/>
      <w:spacing w:val="5"/>
    </w:rPr>
  </w:style>
  <w:style w:type="character" w:styleId="Emphasis">
    <w:name w:val="Emphasis"/>
    <w:basedOn w:val="DefaultParagraphFont"/>
    <w:uiPriority w:val="1"/>
    <w:semiHidden/>
    <w:rsid w:val="009854CB"/>
    <w:rPr>
      <w:i/>
      <w:iCs/>
    </w:rPr>
  </w:style>
  <w:style w:type="character" w:customStyle="1" w:styleId="Heading6Char">
    <w:name w:val="Heading 6 Char"/>
    <w:basedOn w:val="DefaultParagraphFont"/>
    <w:link w:val="Heading6"/>
    <w:uiPriority w:val="1"/>
    <w:semiHidden/>
    <w:rsid w:val="009854CB"/>
    <w:rPr>
      <w:rFonts w:asciiTheme="majorHAnsi" w:eastAsiaTheme="majorEastAsia" w:hAnsiTheme="majorHAnsi" w:cstheme="majorBidi"/>
      <w:color w:val="0D1114" w:themeColor="accent1" w:themeShade="7F"/>
    </w:rPr>
  </w:style>
  <w:style w:type="character" w:customStyle="1" w:styleId="Heading7Char">
    <w:name w:val="Heading 7 Char"/>
    <w:basedOn w:val="DefaultParagraphFont"/>
    <w:link w:val="Heading7"/>
    <w:uiPriority w:val="1"/>
    <w:semiHidden/>
    <w:rsid w:val="009854CB"/>
    <w:rPr>
      <w:rFonts w:asciiTheme="majorHAnsi" w:eastAsiaTheme="majorEastAsia" w:hAnsiTheme="majorHAnsi" w:cstheme="majorBidi"/>
      <w:i/>
      <w:iCs/>
      <w:color w:val="0D1114" w:themeColor="accent1" w:themeShade="7F"/>
    </w:rPr>
  </w:style>
  <w:style w:type="character" w:customStyle="1" w:styleId="Heading8Char">
    <w:name w:val="Heading 8 Char"/>
    <w:basedOn w:val="DefaultParagraphFont"/>
    <w:link w:val="Heading8"/>
    <w:uiPriority w:val="1"/>
    <w:semiHidden/>
    <w:rsid w:val="009854C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1"/>
    <w:semiHidden/>
    <w:rsid w:val="009854CB"/>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1"/>
    <w:semiHidden/>
    <w:rsid w:val="009854CB"/>
    <w:rPr>
      <w:i/>
      <w:iCs/>
      <w:color w:val="1B242A" w:themeColor="accent1"/>
    </w:rPr>
  </w:style>
  <w:style w:type="paragraph" w:styleId="IntenseQuote">
    <w:name w:val="Intense Quote"/>
    <w:basedOn w:val="Normal"/>
    <w:next w:val="Normal"/>
    <w:link w:val="IntenseQuoteChar"/>
    <w:uiPriority w:val="1"/>
    <w:semiHidden/>
    <w:rsid w:val="009854CB"/>
    <w:pPr>
      <w:pBdr>
        <w:top w:val="single" w:sz="4" w:space="10" w:color="1B242A" w:themeColor="accent1"/>
        <w:bottom w:val="single" w:sz="4" w:space="10" w:color="1B242A" w:themeColor="accent1"/>
      </w:pBdr>
      <w:spacing w:before="360" w:after="360"/>
      <w:ind w:left="864" w:right="864"/>
      <w:jc w:val="center"/>
    </w:pPr>
    <w:rPr>
      <w:i/>
      <w:iCs/>
      <w:color w:val="1B242A" w:themeColor="accent1"/>
    </w:rPr>
  </w:style>
  <w:style w:type="character" w:customStyle="1" w:styleId="IntenseQuoteChar">
    <w:name w:val="Intense Quote Char"/>
    <w:basedOn w:val="DefaultParagraphFont"/>
    <w:link w:val="IntenseQuote"/>
    <w:uiPriority w:val="1"/>
    <w:semiHidden/>
    <w:rsid w:val="009854CB"/>
    <w:rPr>
      <w:i/>
      <w:iCs/>
      <w:color w:val="1B242A" w:themeColor="accent1"/>
    </w:rPr>
  </w:style>
  <w:style w:type="character" w:styleId="IntenseReference">
    <w:name w:val="Intense Reference"/>
    <w:basedOn w:val="DefaultParagraphFont"/>
    <w:uiPriority w:val="1"/>
    <w:semiHidden/>
    <w:rsid w:val="009854CB"/>
    <w:rPr>
      <w:b/>
      <w:bCs/>
      <w:smallCaps/>
      <w:color w:val="1B242A" w:themeColor="accent1"/>
      <w:spacing w:val="5"/>
    </w:rPr>
  </w:style>
  <w:style w:type="character" w:styleId="Strong">
    <w:name w:val="Strong"/>
    <w:basedOn w:val="DefaultParagraphFont"/>
    <w:uiPriority w:val="1"/>
    <w:semiHidden/>
    <w:qFormat/>
    <w:rsid w:val="009854CB"/>
    <w:rPr>
      <w:b/>
      <w:bCs/>
    </w:rPr>
  </w:style>
  <w:style w:type="character" w:styleId="SubtleEmphasis">
    <w:name w:val="Subtle Emphasis"/>
    <w:basedOn w:val="DefaultParagraphFont"/>
    <w:uiPriority w:val="1"/>
    <w:semiHidden/>
    <w:qFormat/>
    <w:rsid w:val="009854CB"/>
    <w:rPr>
      <w:i/>
      <w:iCs/>
      <w:color w:val="404040" w:themeColor="text1" w:themeTint="BF"/>
    </w:rPr>
  </w:style>
  <w:style w:type="character" w:styleId="SubtleReference">
    <w:name w:val="Subtle Reference"/>
    <w:basedOn w:val="DefaultParagraphFont"/>
    <w:uiPriority w:val="1"/>
    <w:semiHidden/>
    <w:qFormat/>
    <w:rsid w:val="009854CB"/>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481469">
      <w:bodyDiv w:val="1"/>
      <w:marLeft w:val="0"/>
      <w:marRight w:val="0"/>
      <w:marTop w:val="0"/>
      <w:marBottom w:val="0"/>
      <w:divBdr>
        <w:top w:val="none" w:sz="0" w:space="0" w:color="auto"/>
        <w:left w:val="none" w:sz="0" w:space="0" w:color="auto"/>
        <w:bottom w:val="none" w:sz="0" w:space="0" w:color="auto"/>
        <w:right w:val="none" w:sz="0" w:space="0" w:color="auto"/>
      </w:divBdr>
    </w:div>
    <w:div w:id="61026969">
      <w:bodyDiv w:val="1"/>
      <w:marLeft w:val="0"/>
      <w:marRight w:val="0"/>
      <w:marTop w:val="0"/>
      <w:marBottom w:val="0"/>
      <w:divBdr>
        <w:top w:val="none" w:sz="0" w:space="0" w:color="auto"/>
        <w:left w:val="none" w:sz="0" w:space="0" w:color="auto"/>
        <w:bottom w:val="none" w:sz="0" w:space="0" w:color="auto"/>
        <w:right w:val="none" w:sz="0" w:space="0" w:color="auto"/>
      </w:divBdr>
    </w:div>
    <w:div w:id="175197944">
      <w:bodyDiv w:val="1"/>
      <w:marLeft w:val="0"/>
      <w:marRight w:val="0"/>
      <w:marTop w:val="0"/>
      <w:marBottom w:val="0"/>
      <w:divBdr>
        <w:top w:val="none" w:sz="0" w:space="0" w:color="auto"/>
        <w:left w:val="none" w:sz="0" w:space="0" w:color="auto"/>
        <w:bottom w:val="none" w:sz="0" w:space="0" w:color="auto"/>
        <w:right w:val="none" w:sz="0" w:space="0" w:color="auto"/>
      </w:divBdr>
    </w:div>
    <w:div w:id="209846884">
      <w:bodyDiv w:val="1"/>
      <w:marLeft w:val="0"/>
      <w:marRight w:val="0"/>
      <w:marTop w:val="0"/>
      <w:marBottom w:val="0"/>
      <w:divBdr>
        <w:top w:val="none" w:sz="0" w:space="0" w:color="auto"/>
        <w:left w:val="none" w:sz="0" w:space="0" w:color="auto"/>
        <w:bottom w:val="none" w:sz="0" w:space="0" w:color="auto"/>
        <w:right w:val="none" w:sz="0" w:space="0" w:color="auto"/>
      </w:divBdr>
    </w:div>
    <w:div w:id="258368106">
      <w:bodyDiv w:val="1"/>
      <w:marLeft w:val="0"/>
      <w:marRight w:val="0"/>
      <w:marTop w:val="0"/>
      <w:marBottom w:val="0"/>
      <w:divBdr>
        <w:top w:val="none" w:sz="0" w:space="0" w:color="auto"/>
        <w:left w:val="none" w:sz="0" w:space="0" w:color="auto"/>
        <w:bottom w:val="none" w:sz="0" w:space="0" w:color="auto"/>
        <w:right w:val="none" w:sz="0" w:space="0" w:color="auto"/>
      </w:divBdr>
    </w:div>
    <w:div w:id="322897077">
      <w:bodyDiv w:val="1"/>
      <w:marLeft w:val="0"/>
      <w:marRight w:val="0"/>
      <w:marTop w:val="0"/>
      <w:marBottom w:val="0"/>
      <w:divBdr>
        <w:top w:val="none" w:sz="0" w:space="0" w:color="auto"/>
        <w:left w:val="none" w:sz="0" w:space="0" w:color="auto"/>
        <w:bottom w:val="none" w:sz="0" w:space="0" w:color="auto"/>
        <w:right w:val="none" w:sz="0" w:space="0" w:color="auto"/>
      </w:divBdr>
    </w:div>
    <w:div w:id="391854816">
      <w:bodyDiv w:val="1"/>
      <w:marLeft w:val="0"/>
      <w:marRight w:val="0"/>
      <w:marTop w:val="0"/>
      <w:marBottom w:val="0"/>
      <w:divBdr>
        <w:top w:val="none" w:sz="0" w:space="0" w:color="auto"/>
        <w:left w:val="none" w:sz="0" w:space="0" w:color="auto"/>
        <w:bottom w:val="none" w:sz="0" w:space="0" w:color="auto"/>
        <w:right w:val="none" w:sz="0" w:space="0" w:color="auto"/>
      </w:divBdr>
    </w:div>
    <w:div w:id="750584430">
      <w:bodyDiv w:val="1"/>
      <w:marLeft w:val="0"/>
      <w:marRight w:val="0"/>
      <w:marTop w:val="0"/>
      <w:marBottom w:val="0"/>
      <w:divBdr>
        <w:top w:val="none" w:sz="0" w:space="0" w:color="auto"/>
        <w:left w:val="none" w:sz="0" w:space="0" w:color="auto"/>
        <w:bottom w:val="none" w:sz="0" w:space="0" w:color="auto"/>
        <w:right w:val="none" w:sz="0" w:space="0" w:color="auto"/>
      </w:divBdr>
    </w:div>
    <w:div w:id="815031036">
      <w:bodyDiv w:val="1"/>
      <w:marLeft w:val="0"/>
      <w:marRight w:val="0"/>
      <w:marTop w:val="0"/>
      <w:marBottom w:val="0"/>
      <w:divBdr>
        <w:top w:val="none" w:sz="0" w:space="0" w:color="auto"/>
        <w:left w:val="none" w:sz="0" w:space="0" w:color="auto"/>
        <w:bottom w:val="none" w:sz="0" w:space="0" w:color="auto"/>
        <w:right w:val="none" w:sz="0" w:space="0" w:color="auto"/>
      </w:divBdr>
    </w:div>
    <w:div w:id="843667623">
      <w:bodyDiv w:val="1"/>
      <w:marLeft w:val="0"/>
      <w:marRight w:val="0"/>
      <w:marTop w:val="0"/>
      <w:marBottom w:val="0"/>
      <w:divBdr>
        <w:top w:val="none" w:sz="0" w:space="0" w:color="auto"/>
        <w:left w:val="none" w:sz="0" w:space="0" w:color="auto"/>
        <w:bottom w:val="none" w:sz="0" w:space="0" w:color="auto"/>
        <w:right w:val="none" w:sz="0" w:space="0" w:color="auto"/>
      </w:divBdr>
    </w:div>
    <w:div w:id="844511306">
      <w:bodyDiv w:val="1"/>
      <w:marLeft w:val="0"/>
      <w:marRight w:val="0"/>
      <w:marTop w:val="0"/>
      <w:marBottom w:val="0"/>
      <w:divBdr>
        <w:top w:val="none" w:sz="0" w:space="0" w:color="auto"/>
        <w:left w:val="none" w:sz="0" w:space="0" w:color="auto"/>
        <w:bottom w:val="none" w:sz="0" w:space="0" w:color="auto"/>
        <w:right w:val="none" w:sz="0" w:space="0" w:color="auto"/>
      </w:divBdr>
    </w:div>
    <w:div w:id="930091415">
      <w:bodyDiv w:val="1"/>
      <w:marLeft w:val="0"/>
      <w:marRight w:val="0"/>
      <w:marTop w:val="0"/>
      <w:marBottom w:val="0"/>
      <w:divBdr>
        <w:top w:val="none" w:sz="0" w:space="0" w:color="auto"/>
        <w:left w:val="none" w:sz="0" w:space="0" w:color="auto"/>
        <w:bottom w:val="none" w:sz="0" w:space="0" w:color="auto"/>
        <w:right w:val="none" w:sz="0" w:space="0" w:color="auto"/>
      </w:divBdr>
    </w:div>
    <w:div w:id="1400245653">
      <w:bodyDiv w:val="1"/>
      <w:marLeft w:val="0"/>
      <w:marRight w:val="0"/>
      <w:marTop w:val="0"/>
      <w:marBottom w:val="0"/>
      <w:divBdr>
        <w:top w:val="none" w:sz="0" w:space="0" w:color="auto"/>
        <w:left w:val="none" w:sz="0" w:space="0" w:color="auto"/>
        <w:bottom w:val="none" w:sz="0" w:space="0" w:color="auto"/>
        <w:right w:val="none" w:sz="0" w:space="0" w:color="auto"/>
      </w:divBdr>
    </w:div>
    <w:div w:id="1557662094">
      <w:bodyDiv w:val="1"/>
      <w:marLeft w:val="0"/>
      <w:marRight w:val="0"/>
      <w:marTop w:val="0"/>
      <w:marBottom w:val="0"/>
      <w:divBdr>
        <w:top w:val="none" w:sz="0" w:space="0" w:color="auto"/>
        <w:left w:val="none" w:sz="0" w:space="0" w:color="auto"/>
        <w:bottom w:val="none" w:sz="0" w:space="0" w:color="auto"/>
        <w:right w:val="none" w:sz="0" w:space="0" w:color="auto"/>
      </w:divBdr>
    </w:div>
    <w:div w:id="1779906270">
      <w:bodyDiv w:val="1"/>
      <w:marLeft w:val="0"/>
      <w:marRight w:val="0"/>
      <w:marTop w:val="0"/>
      <w:marBottom w:val="0"/>
      <w:divBdr>
        <w:top w:val="none" w:sz="0" w:space="0" w:color="auto"/>
        <w:left w:val="none" w:sz="0" w:space="0" w:color="auto"/>
        <w:bottom w:val="none" w:sz="0" w:space="0" w:color="auto"/>
        <w:right w:val="none" w:sz="0" w:space="0" w:color="auto"/>
      </w:divBdr>
    </w:div>
    <w:div w:id="1848133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mailto:safercarevictoria@dhhs.vic" TargetMode="External"/><Relationship Id="rId26" Type="http://schemas.openxmlformats.org/officeDocument/2006/relationships/header" Target="header6.xml"/><Relationship Id="rId39" Type="http://schemas.openxmlformats.org/officeDocument/2006/relationships/footer" Target="footer9.xml"/><Relationship Id="rId21" Type="http://schemas.openxmlformats.org/officeDocument/2006/relationships/image" Target="media/image2.png"/><Relationship Id="rId34" Type="http://schemas.openxmlformats.org/officeDocument/2006/relationships/hyperlink" Target="https://www.health.vic.gov.au/sites/default/files/migrated/files/collections/research-and-reports/h/hospital-safety-and-quality-assurance-in-victoria.pdf" TargetMode="External"/><Relationship Id="rId42" Type="http://schemas.openxmlformats.org/officeDocument/2006/relationships/hyperlink" Target="https://www.safercare.vic.gov.au/best-practice-improvement/clinical-governance/framework" TargetMode="External"/><Relationship Id="rId47" Type="http://schemas.openxmlformats.org/officeDocument/2006/relationships/fontTable" Target="fontTable.xml"/><Relationship Id="rId50" Type="http://schemas.microsoft.com/office/2020/10/relationships/intelligence" Target="intelligence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3.xml"/><Relationship Id="rId29" Type="http://schemas.openxmlformats.org/officeDocument/2006/relationships/header" Target="header8.xml"/><Relationship Id="rId11" Type="http://schemas.openxmlformats.org/officeDocument/2006/relationships/header" Target="header1.xml"/><Relationship Id="rId24" Type="http://schemas.openxmlformats.org/officeDocument/2006/relationships/footer" Target="footer4.xml"/><Relationship Id="rId32" Type="http://schemas.openxmlformats.org/officeDocument/2006/relationships/header" Target="header9.xml"/><Relationship Id="rId37" Type="http://schemas.openxmlformats.org/officeDocument/2006/relationships/hyperlink" Target="http://www.safercare.vic.gov.au/about/ccopmm" TargetMode="External"/><Relationship Id="rId40" Type="http://schemas.openxmlformats.org/officeDocument/2006/relationships/image" Target="media/image4.jpeg"/><Relationship Id="rId45" Type="http://schemas.openxmlformats.org/officeDocument/2006/relationships/footer" Target="footer10.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eader" Target="header5.xml"/><Relationship Id="rId28" Type="http://schemas.openxmlformats.org/officeDocument/2006/relationships/header" Target="header7.xml"/><Relationship Id="rId36" Type="http://schemas.openxmlformats.org/officeDocument/2006/relationships/hyperlink" Target="https://www.safercare.vic.gov.au/about-us/plans-and-reports" TargetMode="External"/><Relationship Id="rId49" Type="http://schemas.microsoft.com/office/2019/05/relationships/documenttasks" Target="documenttasks/documenttasks1.xml"/><Relationship Id="rId10" Type="http://schemas.openxmlformats.org/officeDocument/2006/relationships/endnotes" Target="endnotes.xml"/><Relationship Id="rId19" Type="http://schemas.openxmlformats.org/officeDocument/2006/relationships/hyperlink" Target="https://www.safercare.vic.gov.au" TargetMode="External"/><Relationship Id="rId31" Type="http://schemas.openxmlformats.org/officeDocument/2006/relationships/footer" Target="footer8.xml"/><Relationship Id="rId44" Type="http://schemas.openxmlformats.org/officeDocument/2006/relationships/header" Target="header1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eader" Target="header4.xml"/><Relationship Id="rId27" Type="http://schemas.openxmlformats.org/officeDocument/2006/relationships/footer" Target="footer6.xml"/><Relationship Id="rId30" Type="http://schemas.openxmlformats.org/officeDocument/2006/relationships/footer" Target="footer7.xml"/><Relationship Id="rId35" Type="http://schemas.openxmlformats.org/officeDocument/2006/relationships/hyperlink" Target="https://www.safercare.vic.gov.au/publications/statement-of-expectations" TargetMode="External"/><Relationship Id="rId43" Type="http://schemas.openxmlformats.org/officeDocument/2006/relationships/header" Target="header11.xml"/><Relationship Id="rId48"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hyperlink" Target="mailto:info@safercarevictoria.vic.gov.au" TargetMode="External"/><Relationship Id="rId25" Type="http://schemas.openxmlformats.org/officeDocument/2006/relationships/footer" Target="footer5.xml"/><Relationship Id="rId33" Type="http://schemas.openxmlformats.org/officeDocument/2006/relationships/header" Target="header10.xml"/><Relationship Id="rId38" Type="http://schemas.openxmlformats.org/officeDocument/2006/relationships/hyperlink" Target="https://www.safercare.vic.gov.au/councils/vpcc" TargetMode="External"/><Relationship Id="rId46" Type="http://schemas.openxmlformats.org/officeDocument/2006/relationships/footer" Target="footer11.xml"/><Relationship Id="rId20" Type="http://schemas.openxmlformats.org/officeDocument/2006/relationships/hyperlink" Target="http://www.safercare.vic" TargetMode="External"/><Relationship Id="rId41" Type="http://schemas.openxmlformats.org/officeDocument/2006/relationships/hyperlink" Target="https://www.safetyandquality.gov.au/standards/nsqhs-standards" TargetMode="External"/><Relationship Id="rId1" Type="http://schemas.openxmlformats.org/officeDocument/2006/relationships/customXml" Target="../customXml/item1.xml"/><Relationship Id="rId6"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3.png"/></Relationships>
</file>

<file path=word/_rels/header11.xml.rels><?xml version="1.0" encoding="UTF-8" standalone="yes"?>
<Relationships xmlns="http://schemas.openxmlformats.org/package/2006/relationships"><Relationship Id="rId1" Type="http://schemas.openxmlformats.org/officeDocument/2006/relationships/image" Target="media/image5.jpeg"/></Relationships>
</file>

<file path=word/_rels/header12.xml.rels><?xml version="1.0" encoding="UTF-8" standalone="yes"?>
<Relationships xmlns="http://schemas.openxmlformats.org/package/2006/relationships"><Relationship Id="rId1" Type="http://schemas.openxmlformats.org/officeDocument/2006/relationships/image" Target="media/image5.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icxckd\OneDrive%20-%20DFFH,%20DH%20Victoria\Templates\SCV%20report%20no%20image.dotx" TargetMode="External"/></Relationships>
</file>

<file path=word/documenttasks/documenttasks1.xml><?xml version="1.0" encoding="utf-8"?>
<t:Tasks xmlns:t="http://schemas.microsoft.com/office/tasks/2019/documenttasks" xmlns:oel="http://schemas.microsoft.com/office/2019/extlst">
  <t:Task id="{742ED832-7647-4B29-8460-020E6739F657}">
    <t:Anchor>
      <t:Comment id="1587968981"/>
    </t:Anchor>
    <t:History>
      <t:Event id="{42068EE8-16FC-445D-9C98-3765018D3EE1}" time="2026-06-09T03:24:37.464Z">
        <t:Attribution userId="S::louise.mckinlay@safercare.vic.gov.au::fabd0953-2189-4911-bee3-42f30c7e1715" userProvider="AD" userName="Louise McKinlay (SCV)"/>
        <t:Anchor>
          <t:Comment id="1587968981"/>
        </t:Anchor>
        <t:Create/>
      </t:Event>
      <t:Event id="{371FB81F-1B9C-434F-BD16-717FD530A4B1}" time="2026-06-09T03:24:37.464Z">
        <t:Attribution userId="S::louise.mckinlay@safercare.vic.gov.au::fabd0953-2189-4911-bee3-42f30c7e1715" userProvider="AD" userName="Louise McKinlay (SCV)"/>
        <t:Anchor>
          <t:Comment id="1587968981"/>
        </t:Anchor>
        <t:Assign userId="S::lindsay.mackay@safercare.vic.gov.au::1093799a-3961-446b-9b1b-bc960833b20b" userProvider="AD" userName="Lindsay Mackay (SCV)"/>
      </t:Event>
      <t:Event id="{B2CD23C4-A5F7-4761-9231-97BE10793AE0}" time="2026-06-09T03:24:37.464Z">
        <t:Attribution userId="S::louise.mckinlay@safercare.vic.gov.au::fabd0953-2189-4911-bee3-42f30c7e1715" userProvider="AD" userName="Louise McKinlay (SCV)"/>
        <t:Anchor>
          <t:Comment id="1587968981"/>
        </t:Anchor>
        <t:SetTitle title="@Lindsay Mackay (SCV) is there a better way to frame this? Feels clumsy"/>
      </t:Event>
      <t:Event id="{B53A6E56-37A8-47B0-B72B-13402437FBEC}" time="2026-06-17T01:03:04.302Z">
        <t:Attribution userId="S::lindsay.mackay@safercare.vic.gov.au::1093799a-3961-446b-9b1b-bc960833b20b" userProvider="AD" userName="Lindsay Mackay (SCV)"/>
        <t:Progress percentComplete="100"/>
      </t:Event>
    </t:History>
  </t:Task>
</t:Tasks>
</file>

<file path=word/theme/theme1.xml><?xml version="1.0" encoding="utf-8"?>
<a:theme xmlns:a="http://schemas.openxmlformats.org/drawingml/2006/main" name="Office Theme">
  <a:themeElements>
    <a:clrScheme name="Safer Care Victoria">
      <a:dk1>
        <a:srgbClr val="000000"/>
      </a:dk1>
      <a:lt1>
        <a:srgbClr val="FFFFFF"/>
      </a:lt1>
      <a:dk2>
        <a:srgbClr val="007586"/>
      </a:dk2>
      <a:lt2>
        <a:srgbClr val="EDF5F7"/>
      </a:lt2>
      <a:accent1>
        <a:srgbClr val="1B242A"/>
      </a:accent1>
      <a:accent2>
        <a:srgbClr val="007586"/>
      </a:accent2>
      <a:accent3>
        <a:srgbClr val="5AB9EB"/>
      </a:accent3>
      <a:accent4>
        <a:srgbClr val="004C97"/>
      </a:accent4>
      <a:accent5>
        <a:srgbClr val="5AAA64"/>
      </a:accent5>
      <a:accent6>
        <a:srgbClr val="E6643C"/>
      </a:accent6>
      <a:hlink>
        <a:srgbClr val="004C97"/>
      </a:hlink>
      <a:folHlink>
        <a:srgbClr val="007586"/>
      </a:folHlink>
    </a:clrScheme>
    <a:fontScheme name="Arial">
      <a:majorFont>
        <a:latin typeface="Arial" panose="020F0302020204030204"/>
        <a:ea typeface="Arial"/>
        <a:cs typeface="Arial"/>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panose="020F0502020204030204"/>
        <a:ea typeface="Arial"/>
        <a:cs typeface="Arial"/>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ce0f2b5-5be5-4508-bce9-d7011ece0659" xsi:nil="true"/>
    <lcf76f155ced4ddcb4097134ff3c332f xmlns="31b2e4f9-c376-4e2f-bd2e-796d1bcd5746">
      <Terms xmlns="http://schemas.microsoft.com/office/infopath/2007/PartnerControls"/>
    </lcf76f155ced4ddcb4097134ff3c332f>
    <SharedWithUsers xmlns="7ee2ad8a-2b33-419f-875c-ac0e4cfc6b7f">
      <UserInfo>
        <DisplayName>Kathlene Kumar (SCV)</DisplayName>
        <AccountId>557</AccountId>
        <AccountType/>
      </UserInfo>
      <UserInfo>
        <DisplayName>Simone Pike (SCV)</DisplayName>
        <AccountId>540</AccountId>
        <AccountType/>
      </UserInfo>
      <UserInfo>
        <DisplayName>Julie Kirkpatrick (Health)</DisplayName>
        <AccountId>1416</AccountId>
        <AccountType/>
      </UserInfo>
      <UserInfo>
        <DisplayName>Ross Donnan (Health)</DisplayName>
        <AccountId>1351</AccountId>
        <AccountType/>
      </UserInfo>
    </SharedWithUsers>
    <Status xmlns="31b2e4f9-c376-4e2f-bd2e-796d1bcd5746" xsi:nil="true"/>
    <ID_x002e_ xmlns="31b2e4f9-c376-4e2f-bd2e-796d1bcd5746" xsi:nil="true"/>
    <ContractStart xmlns="31b2e4f9-c376-4e2f-bd2e-796d1bcd5746">2024-07-14T14:00:00+00:00</ContractStart>
    <Date_x002f_Time xmlns="31b2e4f9-c376-4e2f-bd2e-796d1bcd5746" xsi:nil="true"/>
    <Documentorder xmlns="31b2e4f9-c376-4e2f-bd2e-796d1bcd5746"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6D179483B3A4E458E2DA955233B6DD4" ma:contentTypeVersion="24" ma:contentTypeDescription="Create a new document." ma:contentTypeScope="" ma:versionID="b32c864f1e3a00b3ace0a37f1a83c817">
  <xsd:schema xmlns:xsd="http://www.w3.org/2001/XMLSchema" xmlns:xs="http://www.w3.org/2001/XMLSchema" xmlns:p="http://schemas.microsoft.com/office/2006/metadata/properties" xmlns:ns2="31b2e4f9-c376-4e2f-bd2e-796d1bcd5746" xmlns:ns3="7ee2ad8a-2b33-419f-875c-ac0e4cfc6b7f" xmlns:ns4="5ce0f2b5-5be5-4508-bce9-d7011ece0659" targetNamespace="http://schemas.microsoft.com/office/2006/metadata/properties" ma:root="true" ma:fieldsID="1a8e77afa65a6304b1dad0ab68064d70" ns2:_="" ns3:_="" ns4:_="">
    <xsd:import namespace="31b2e4f9-c376-4e2f-bd2e-796d1bcd5746"/>
    <xsd:import namespace="7ee2ad8a-2b33-419f-875c-ac0e4cfc6b7f"/>
    <xsd:import namespace="5ce0f2b5-5be5-4508-bce9-d7011ece06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4:TaxCatchAll" minOccurs="0"/>
                <xsd:element ref="ns2:Status" minOccurs="0"/>
                <xsd:element ref="ns2:MediaServiceObjectDetectorVersions" minOccurs="0"/>
                <xsd:element ref="ns2:MediaServiceSearchProperties" minOccurs="0"/>
                <xsd:element ref="ns2:Date_x002f_Time" minOccurs="0"/>
                <xsd:element ref="ns2:ContractStart" minOccurs="0"/>
                <xsd:element ref="ns2:ID_x002e_" minOccurs="0"/>
                <xsd:element ref="ns2:MediaServiceBillingMetadata" minOccurs="0"/>
                <xsd:element ref="ns2:Documentor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b2e4f9-c376-4e2f-bd2e-796d1bcd57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e24e156-28e6-48ad-9c0f-4171595c9d94" ma:termSetId="09814cd3-568e-fe90-9814-8d621ff8fb84" ma:anchorId="fba54fb3-c3e1-fe81-a776-ca4b69148c4d" ma:open="true" ma:isKeyword="false">
      <xsd:complexType>
        <xsd:sequence>
          <xsd:element ref="pc:Terms" minOccurs="0" maxOccurs="1"/>
        </xsd:sequence>
      </xsd:complexType>
    </xsd:element>
    <xsd:element name="Status" ma:index="24" nillable="true" ma:displayName="Status" ma:format="Dropdown" ma:internalName="Status">
      <xsd:simpleType>
        <xsd:restriction base="dms:Choice">
          <xsd:enumeration value="Current"/>
          <xsd:enumeration value="Can be archived"/>
          <xsd:enumeration value="Update in Progress"/>
        </xsd:restrictio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Date_x002f_Time" ma:index="27" nillable="true" ma:displayName="Date/Time" ma:format="DateOnly" ma:internalName="Date_x002f_Time">
      <xsd:simpleType>
        <xsd:restriction base="dms:DateTime"/>
      </xsd:simpleType>
    </xsd:element>
    <xsd:element name="ContractStart" ma:index="28" nillable="true" ma:displayName="Contract Start" ma:default="2024-07-14T14:00:00.000Z" ma:description="Contract Start Date" ma:format="DateOnly" ma:internalName="ContractStart">
      <xsd:simpleType>
        <xsd:restriction base="dms:DateTime"/>
      </xsd:simpleType>
    </xsd:element>
    <xsd:element name="ID_x002e_" ma:index="29" nillable="true" ma:displayName="ID." ma:format="Dropdown" ma:internalName="ID_x002e_" ma:percentage="FALSE">
      <xsd:simpleType>
        <xsd:restriction base="dms:Number"/>
      </xsd:simpleType>
    </xsd:element>
    <xsd:element name="MediaServiceBillingMetadata" ma:index="30" nillable="true" ma:displayName="MediaServiceBillingMetadata" ma:hidden="true" ma:internalName="MediaServiceBillingMetadata" ma:readOnly="true">
      <xsd:simpleType>
        <xsd:restriction base="dms:Note"/>
      </xsd:simpleType>
    </xsd:element>
    <xsd:element name="Documentorder" ma:index="31" nillable="true" ma:displayName="Document order" ma:format="Dropdown" ma:internalName="Documentord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7ee2ad8a-2b33-419f-875c-ac0e4cfc6b7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e0f2b5-5be5-4508-bce9-d7011ece065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8ecaf7f7-e78e-45fb-a217-3a3dd77171b2}" ma:internalName="TaxCatchAll" ma:showField="CatchAllData" ma:web="7ee2ad8a-2b33-419f-875c-ac0e4cfc6b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A604BED-FF29-4C77-A2C9-C8DBCEC446BD}">
  <ds:schemaRefs>
    <ds:schemaRef ds:uri="http://schemas.microsoft.com/office/2006/metadata/properties"/>
    <ds:schemaRef ds:uri="http://schemas.microsoft.com/office/infopath/2007/PartnerControls"/>
    <ds:schemaRef ds:uri="5ce0f2b5-5be5-4508-bce9-d7011ece0659"/>
    <ds:schemaRef ds:uri="31b2e4f9-c376-4e2f-bd2e-796d1bcd5746"/>
    <ds:schemaRef ds:uri="7ee2ad8a-2b33-419f-875c-ac0e4cfc6b7f"/>
  </ds:schemaRefs>
</ds:datastoreItem>
</file>

<file path=customXml/itemProps2.xml><?xml version="1.0" encoding="utf-8"?>
<ds:datastoreItem xmlns:ds="http://schemas.openxmlformats.org/officeDocument/2006/customXml" ds:itemID="{60439C66-9861-48D1-85C1-8EDD55D5858C}">
  <ds:schemaRefs>
    <ds:schemaRef ds:uri="http://schemas.openxmlformats.org/officeDocument/2006/bibliography"/>
  </ds:schemaRefs>
</ds:datastoreItem>
</file>

<file path=customXml/itemProps3.xml><?xml version="1.0" encoding="utf-8"?>
<ds:datastoreItem xmlns:ds="http://schemas.openxmlformats.org/officeDocument/2006/customXml" ds:itemID="{20131504-940F-4015-BD5F-8C365108F276}">
  <ds:schemaRefs>
    <ds:schemaRef ds:uri="http://schemas.microsoft.com/sharepoint/v3/contenttype/forms"/>
  </ds:schemaRefs>
</ds:datastoreItem>
</file>

<file path=customXml/itemProps4.xml><?xml version="1.0" encoding="utf-8"?>
<ds:datastoreItem xmlns:ds="http://schemas.openxmlformats.org/officeDocument/2006/customXml" ds:itemID="{87810F07-E40E-4D5D-8B55-29EADDAA76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b2e4f9-c376-4e2f-bd2e-796d1bcd5746"/>
    <ds:schemaRef ds:uri="7ee2ad8a-2b33-419f-875c-ac0e4cfc6b7f"/>
    <ds:schemaRef ds:uri="5ce0f2b5-5be5-4508-bce9-d7011ece06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C:\Users\vicxckd\OneDrive - DFFH, DH Victoria\Templates\SCV report no image.dotx</Template>
  <TotalTime>19</TotalTime>
  <Pages>2</Pages>
  <Words>4608</Words>
  <Characters>27793</Characters>
  <Application>Microsoft Office Word</Application>
  <DocSecurity>0</DocSecurity>
  <Lines>694</Lines>
  <Paragraphs>352</Paragraphs>
  <ScaleCrop>false</ScaleCrop>
  <HeadingPairs>
    <vt:vector size="2" baseType="variant">
      <vt:variant>
        <vt:lpstr>Title</vt:lpstr>
      </vt:variant>
      <vt:variant>
        <vt:i4>1</vt:i4>
      </vt:variant>
    </vt:vector>
  </HeadingPairs>
  <TitlesOfParts>
    <vt:vector size="1" baseType="lpstr">
      <vt:lpstr>Insert title here</vt:lpstr>
    </vt:vector>
  </TitlesOfParts>
  <Manager/>
  <Company>Safer Care Victoria</Company>
  <LinksUpToDate>false</LinksUpToDate>
  <CharactersWithSpaces>32049</CharactersWithSpaces>
  <SharedDoc>false</SharedDoc>
  <HyperlinkBase/>
  <HLinks>
    <vt:vector size="114" baseType="variant">
      <vt:variant>
        <vt:i4>327759</vt:i4>
      </vt:variant>
      <vt:variant>
        <vt:i4>84</vt:i4>
      </vt:variant>
      <vt:variant>
        <vt:i4>0</vt:i4>
      </vt:variant>
      <vt:variant>
        <vt:i4>5</vt:i4>
      </vt:variant>
      <vt:variant>
        <vt:lpwstr>https://www.safercare.vic.gov.au/best-practice-improvement/clinical-governance/framework</vt:lpwstr>
      </vt:variant>
      <vt:variant>
        <vt:lpwstr/>
      </vt:variant>
      <vt:variant>
        <vt:i4>1900620</vt:i4>
      </vt:variant>
      <vt:variant>
        <vt:i4>81</vt:i4>
      </vt:variant>
      <vt:variant>
        <vt:i4>0</vt:i4>
      </vt:variant>
      <vt:variant>
        <vt:i4>5</vt:i4>
      </vt:variant>
      <vt:variant>
        <vt:lpwstr>https://www.safetyandquality.gov.au/standards/nsqhs-standards</vt:lpwstr>
      </vt:variant>
      <vt:variant>
        <vt:lpwstr/>
      </vt:variant>
      <vt:variant>
        <vt:i4>2424935</vt:i4>
      </vt:variant>
      <vt:variant>
        <vt:i4>78</vt:i4>
      </vt:variant>
      <vt:variant>
        <vt:i4>0</vt:i4>
      </vt:variant>
      <vt:variant>
        <vt:i4>5</vt:i4>
      </vt:variant>
      <vt:variant>
        <vt:lpwstr>https://www.safercare.vic.gov.au/councils/vpcc</vt:lpwstr>
      </vt:variant>
      <vt:variant>
        <vt:lpwstr/>
      </vt:variant>
      <vt:variant>
        <vt:i4>4456451</vt:i4>
      </vt:variant>
      <vt:variant>
        <vt:i4>75</vt:i4>
      </vt:variant>
      <vt:variant>
        <vt:i4>0</vt:i4>
      </vt:variant>
      <vt:variant>
        <vt:i4>5</vt:i4>
      </vt:variant>
      <vt:variant>
        <vt:lpwstr>http://www.safercare.vic.gov.au/about/ccopmm</vt:lpwstr>
      </vt:variant>
      <vt:variant>
        <vt:lpwstr/>
      </vt:variant>
      <vt:variant>
        <vt:i4>3276855</vt:i4>
      </vt:variant>
      <vt:variant>
        <vt:i4>72</vt:i4>
      </vt:variant>
      <vt:variant>
        <vt:i4>0</vt:i4>
      </vt:variant>
      <vt:variant>
        <vt:i4>5</vt:i4>
      </vt:variant>
      <vt:variant>
        <vt:lpwstr>https://www.safercare.vic.gov.au/about-us/plans-and-reports</vt:lpwstr>
      </vt:variant>
      <vt:variant>
        <vt:lpwstr/>
      </vt:variant>
      <vt:variant>
        <vt:i4>6946861</vt:i4>
      </vt:variant>
      <vt:variant>
        <vt:i4>69</vt:i4>
      </vt:variant>
      <vt:variant>
        <vt:i4>0</vt:i4>
      </vt:variant>
      <vt:variant>
        <vt:i4>5</vt:i4>
      </vt:variant>
      <vt:variant>
        <vt:lpwstr>https://www.safercare.vic.gov.au/publications/statement-of-expectations</vt:lpwstr>
      </vt:variant>
      <vt:variant>
        <vt:lpwstr/>
      </vt:variant>
      <vt:variant>
        <vt:i4>1114183</vt:i4>
      </vt:variant>
      <vt:variant>
        <vt:i4>66</vt:i4>
      </vt:variant>
      <vt:variant>
        <vt:i4>0</vt:i4>
      </vt:variant>
      <vt:variant>
        <vt:i4>5</vt:i4>
      </vt:variant>
      <vt:variant>
        <vt:lpwstr>https://www.health.vic.gov.au/sites/default/files/migrated/files/collections/research-and-reports/h/hospital-safety-and-quality-assurance-in-victoria.pdf</vt:lpwstr>
      </vt:variant>
      <vt:variant>
        <vt:lpwstr/>
      </vt:variant>
      <vt:variant>
        <vt:i4>1048631</vt:i4>
      </vt:variant>
      <vt:variant>
        <vt:i4>59</vt:i4>
      </vt:variant>
      <vt:variant>
        <vt:i4>0</vt:i4>
      </vt:variant>
      <vt:variant>
        <vt:i4>5</vt:i4>
      </vt:variant>
      <vt:variant>
        <vt:lpwstr/>
      </vt:variant>
      <vt:variant>
        <vt:lpwstr>_Toc236818242</vt:lpwstr>
      </vt:variant>
      <vt:variant>
        <vt:i4>1048631</vt:i4>
      </vt:variant>
      <vt:variant>
        <vt:i4>53</vt:i4>
      </vt:variant>
      <vt:variant>
        <vt:i4>0</vt:i4>
      </vt:variant>
      <vt:variant>
        <vt:i4>5</vt:i4>
      </vt:variant>
      <vt:variant>
        <vt:lpwstr/>
      </vt:variant>
      <vt:variant>
        <vt:lpwstr>_Toc236818241</vt:lpwstr>
      </vt:variant>
      <vt:variant>
        <vt:i4>1048631</vt:i4>
      </vt:variant>
      <vt:variant>
        <vt:i4>47</vt:i4>
      </vt:variant>
      <vt:variant>
        <vt:i4>0</vt:i4>
      </vt:variant>
      <vt:variant>
        <vt:i4>5</vt:i4>
      </vt:variant>
      <vt:variant>
        <vt:lpwstr/>
      </vt:variant>
      <vt:variant>
        <vt:lpwstr>_Toc236818240</vt:lpwstr>
      </vt:variant>
      <vt:variant>
        <vt:i4>1507383</vt:i4>
      </vt:variant>
      <vt:variant>
        <vt:i4>41</vt:i4>
      </vt:variant>
      <vt:variant>
        <vt:i4>0</vt:i4>
      </vt:variant>
      <vt:variant>
        <vt:i4>5</vt:i4>
      </vt:variant>
      <vt:variant>
        <vt:lpwstr/>
      </vt:variant>
      <vt:variant>
        <vt:lpwstr>_Toc236818239</vt:lpwstr>
      </vt:variant>
      <vt:variant>
        <vt:i4>1507383</vt:i4>
      </vt:variant>
      <vt:variant>
        <vt:i4>35</vt:i4>
      </vt:variant>
      <vt:variant>
        <vt:i4>0</vt:i4>
      </vt:variant>
      <vt:variant>
        <vt:i4>5</vt:i4>
      </vt:variant>
      <vt:variant>
        <vt:lpwstr/>
      </vt:variant>
      <vt:variant>
        <vt:lpwstr>_Toc236818238</vt:lpwstr>
      </vt:variant>
      <vt:variant>
        <vt:i4>1507383</vt:i4>
      </vt:variant>
      <vt:variant>
        <vt:i4>29</vt:i4>
      </vt:variant>
      <vt:variant>
        <vt:i4>0</vt:i4>
      </vt:variant>
      <vt:variant>
        <vt:i4>5</vt:i4>
      </vt:variant>
      <vt:variant>
        <vt:lpwstr/>
      </vt:variant>
      <vt:variant>
        <vt:lpwstr>_Toc236818237</vt:lpwstr>
      </vt:variant>
      <vt:variant>
        <vt:i4>1507383</vt:i4>
      </vt:variant>
      <vt:variant>
        <vt:i4>23</vt:i4>
      </vt:variant>
      <vt:variant>
        <vt:i4>0</vt:i4>
      </vt:variant>
      <vt:variant>
        <vt:i4>5</vt:i4>
      </vt:variant>
      <vt:variant>
        <vt:lpwstr/>
      </vt:variant>
      <vt:variant>
        <vt:lpwstr>_Toc236818236</vt:lpwstr>
      </vt:variant>
      <vt:variant>
        <vt:i4>1507383</vt:i4>
      </vt:variant>
      <vt:variant>
        <vt:i4>17</vt:i4>
      </vt:variant>
      <vt:variant>
        <vt:i4>0</vt:i4>
      </vt:variant>
      <vt:variant>
        <vt:i4>5</vt:i4>
      </vt:variant>
      <vt:variant>
        <vt:lpwstr/>
      </vt:variant>
      <vt:variant>
        <vt:lpwstr>_Toc236818235</vt:lpwstr>
      </vt:variant>
      <vt:variant>
        <vt:i4>6094850</vt:i4>
      </vt:variant>
      <vt:variant>
        <vt:i4>12</vt:i4>
      </vt:variant>
      <vt:variant>
        <vt:i4>0</vt:i4>
      </vt:variant>
      <vt:variant>
        <vt:i4>5</vt:i4>
      </vt:variant>
      <vt:variant>
        <vt:lpwstr>http://www.safercare.vic/</vt:lpwstr>
      </vt:variant>
      <vt:variant>
        <vt:lpwstr/>
      </vt:variant>
      <vt:variant>
        <vt:i4>70</vt:i4>
      </vt:variant>
      <vt:variant>
        <vt:i4>9</vt:i4>
      </vt:variant>
      <vt:variant>
        <vt:i4>0</vt:i4>
      </vt:variant>
      <vt:variant>
        <vt:i4>5</vt:i4>
      </vt:variant>
      <vt:variant>
        <vt:lpwstr>https://www.safercare.vic.gov.au/</vt:lpwstr>
      </vt:variant>
      <vt:variant>
        <vt:lpwstr/>
      </vt:variant>
      <vt:variant>
        <vt:i4>4456545</vt:i4>
      </vt:variant>
      <vt:variant>
        <vt:i4>6</vt:i4>
      </vt:variant>
      <vt:variant>
        <vt:i4>0</vt:i4>
      </vt:variant>
      <vt:variant>
        <vt:i4>5</vt:i4>
      </vt:variant>
      <vt:variant>
        <vt:lpwstr>mailto:safercarevictoria@dhhs.vic</vt:lpwstr>
      </vt:variant>
      <vt:variant>
        <vt:lpwstr/>
      </vt:variant>
      <vt:variant>
        <vt:i4>7733315</vt:i4>
      </vt:variant>
      <vt:variant>
        <vt:i4>3</vt:i4>
      </vt:variant>
      <vt:variant>
        <vt:i4>0</vt:i4>
      </vt:variant>
      <vt:variant>
        <vt:i4>5</vt:i4>
      </vt:variant>
      <vt:variant>
        <vt:lpwstr>mailto:info@safercarevictoria.vic.gov.au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Safer Care Victoria Annual Plan 2026-27</dc:title>
  <dc:subject/>
  <dc:creator>Safer Care Victoria</dc:creator>
  <cp:keywords/>
  <dc:description/>
  <cp:lastModifiedBy>Max Arnold (Health)</cp:lastModifiedBy>
  <cp:revision>9</cp:revision>
  <cp:lastPrinted>2026-10-13T00:41:00Z</cp:lastPrinted>
  <dcterms:created xsi:type="dcterms:W3CDTF">2026-10-13T00:34:00Z</dcterms:created>
  <dcterms:modified xsi:type="dcterms:W3CDTF">2026-10-13T01:17:00Z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MediaServiceImageTags">
    <vt:lpwstr/>
  </property>
  <property fmtid="{D5CDD505-2E9C-101B-9397-08002B2CF9AE}" pid="4" name="MSIP_Label_43e64453-338c-4f93-8a4d-0039a0a41f2a_Enabled">
    <vt:lpwstr>true</vt:lpwstr>
  </property>
  <property fmtid="{D5CDD505-2E9C-101B-9397-08002B2CF9AE}" pid="5" name="MSIP_Label_43e64453-338c-4f93-8a4d-0039a0a41f2a_SetDate">
    <vt:lpwstr>2023-09-26T05:02:32Z</vt:lpwstr>
  </property>
  <property fmtid="{D5CDD505-2E9C-101B-9397-08002B2CF9AE}" pid="6" name="MSIP_Label_43e64453-338c-4f93-8a4d-0039a0a41f2a_Method">
    <vt:lpwstr>Privileged</vt:lpwstr>
  </property>
  <property fmtid="{D5CDD505-2E9C-101B-9397-08002B2CF9AE}" pid="7" name="MSIP_Label_43e64453-338c-4f93-8a4d-0039a0a41f2a_Name">
    <vt:lpwstr>43e64453-338c-4f93-8a4d-0039a0a41f2a</vt:lpwstr>
  </property>
  <property fmtid="{D5CDD505-2E9C-101B-9397-08002B2CF9AE}" pid="8" name="MSIP_Label_43e64453-338c-4f93-8a4d-0039a0a41f2a_SiteId">
    <vt:lpwstr>c0e0601f-0fac-449c-9c88-a104c4eb9f28</vt:lpwstr>
  </property>
  <property fmtid="{D5CDD505-2E9C-101B-9397-08002B2CF9AE}" pid="9" name="MSIP_Label_43e64453-338c-4f93-8a4d-0039a0a41f2a_ActionId">
    <vt:lpwstr>c659e441-faf9-46ac-92f4-eb48e1473caa</vt:lpwstr>
  </property>
  <property fmtid="{D5CDD505-2E9C-101B-9397-08002B2CF9AE}" pid="10" name="MSIP_Label_43e64453-338c-4f93-8a4d-0039a0a41f2a_ContentBits">
    <vt:lpwstr>2</vt:lpwstr>
  </property>
  <property fmtid="{D5CDD505-2E9C-101B-9397-08002B2CF9AE}" pid="11" name="ContentTypeId">
    <vt:lpwstr>0x01010026D179483B3A4E458E2DA955233B6DD4</vt:lpwstr>
  </property>
  <property fmtid="{D5CDD505-2E9C-101B-9397-08002B2CF9AE}" pid="12" name="docLang">
    <vt:lpwstr>en</vt:lpwstr>
  </property>
</Properties>
</file>